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60752" w14:textId="77777777" w:rsidR="00475F45" w:rsidRDefault="00475F45" w:rsidP="00475F45">
      <w:pPr>
        <w:pStyle w:val="Heading2"/>
        <w:keepLines w:val="0"/>
        <w:pageBreakBefore/>
        <w:numPr>
          <w:ilvl w:val="1"/>
          <w:numId w:val="1"/>
        </w:numPr>
        <w:shd w:val="clear" w:color="auto" w:fill="BFBFBF"/>
        <w:tabs>
          <w:tab w:val="clear" w:pos="567"/>
          <w:tab w:val="left" w:pos="720"/>
        </w:tabs>
        <w:spacing w:after="180" w:line="276" w:lineRule="auto"/>
        <w:ind w:left="562" w:hanging="562"/>
        <w:rPr>
          <w:rFonts w:cs="Arial"/>
          <w:szCs w:val="24"/>
        </w:rPr>
      </w:pPr>
      <w:bookmarkStart w:id="0" w:name="_Toc513063208"/>
      <w:r>
        <w:rPr>
          <w:rFonts w:cs="Arial"/>
          <w:szCs w:val="24"/>
        </w:rPr>
        <w:t>Revenue Allocations</w:t>
      </w:r>
      <w:bookmarkEnd w:id="0"/>
    </w:p>
    <w:p w14:paraId="6C13CA59" w14:textId="04291CC9" w:rsidR="00475F45" w:rsidRDefault="00CC3B98" w:rsidP="00475F45">
      <w:pPr>
        <w:pStyle w:val="Default"/>
        <w:spacing w:after="180" w:line="276" w:lineRule="auto"/>
        <w:rPr>
          <w:rFonts w:ascii="Arial" w:hAnsi="Arial" w:cs="Arial"/>
          <w:color w:val="auto"/>
        </w:rPr>
      </w:pPr>
      <w:r>
        <w:rPr>
          <w:rFonts w:ascii="Arial" w:hAnsi="Arial" w:cs="Arial"/>
          <w:color w:val="auto"/>
        </w:rPr>
        <w:t xml:space="preserve">Full details of </w:t>
      </w:r>
      <w:r w:rsidR="00475F45">
        <w:rPr>
          <w:rFonts w:ascii="Arial" w:hAnsi="Arial" w:cs="Arial"/>
          <w:color w:val="auto"/>
        </w:rPr>
        <w:t>UK Government income and expenditure (outturn figures, estimates and forecasts)</w:t>
      </w:r>
      <w:r>
        <w:rPr>
          <w:rFonts w:ascii="Arial" w:hAnsi="Arial" w:cs="Arial"/>
          <w:color w:val="auto"/>
        </w:rPr>
        <w:t xml:space="preserve"> is published by</w:t>
      </w:r>
      <w:r w:rsidR="00475F45">
        <w:rPr>
          <w:rFonts w:ascii="Arial" w:hAnsi="Arial" w:cs="Arial"/>
          <w:color w:val="auto"/>
        </w:rPr>
        <w:t xml:space="preserve"> the Office for Budget Responsibility</w:t>
      </w:r>
      <w:r w:rsidR="00C1198F">
        <w:rPr>
          <w:rFonts w:ascii="Arial" w:hAnsi="Arial" w:cs="Arial"/>
          <w:color w:val="auto"/>
        </w:rPr>
        <w:t xml:space="preserve"> (OBR)</w:t>
      </w:r>
      <w:r w:rsidR="00475F45">
        <w:rPr>
          <w:rFonts w:ascii="Arial" w:hAnsi="Arial" w:cs="Arial"/>
          <w:color w:val="auto"/>
        </w:rPr>
        <w:t>.</w:t>
      </w:r>
      <w:r w:rsidR="00475F45">
        <w:rPr>
          <w:rStyle w:val="FootnoteReference"/>
          <w:rFonts w:ascii="Arial" w:hAnsi="Arial" w:cs="Arial"/>
          <w:color w:val="auto"/>
        </w:rPr>
        <w:footnoteReference w:id="2"/>
      </w:r>
      <w:r w:rsidR="00475F45">
        <w:rPr>
          <w:rFonts w:ascii="Arial" w:hAnsi="Arial" w:cs="Arial"/>
          <w:color w:val="auto"/>
        </w:rPr>
        <w:t xml:space="preserve"> Government accounts are audited by the National Audit Office (NAO)</w:t>
      </w:r>
      <w:r w:rsidR="00475F45">
        <w:rPr>
          <w:rStyle w:val="FootnoteReference"/>
          <w:rFonts w:ascii="Arial" w:hAnsi="Arial" w:cs="Arial"/>
          <w:color w:val="auto"/>
        </w:rPr>
        <w:footnoteReference w:id="3"/>
      </w:r>
      <w:r w:rsidR="00475F45">
        <w:rPr>
          <w:rFonts w:ascii="Arial" w:hAnsi="Arial" w:cs="Arial"/>
          <w:color w:val="auto"/>
        </w:rPr>
        <w:t xml:space="preserve"> and scrutinised by the Public Accounts Committee.</w:t>
      </w:r>
      <w:r w:rsidR="00475F45">
        <w:rPr>
          <w:rStyle w:val="FootnoteReference"/>
          <w:rFonts w:ascii="Arial" w:hAnsi="Arial" w:cs="Arial"/>
          <w:color w:val="auto"/>
        </w:rPr>
        <w:footnoteReference w:id="4"/>
      </w:r>
    </w:p>
    <w:p w14:paraId="4E46B862" w14:textId="3B28565F" w:rsidR="00475F45" w:rsidRDefault="00475F45" w:rsidP="00475F45">
      <w:pPr>
        <w:autoSpaceDE w:val="0"/>
        <w:autoSpaceDN w:val="0"/>
        <w:adjustRightInd w:val="0"/>
        <w:spacing w:after="240" w:line="276" w:lineRule="auto"/>
        <w:rPr>
          <w:rFonts w:eastAsia="Calibri"/>
          <w:szCs w:val="24"/>
        </w:rPr>
      </w:pPr>
      <w:r>
        <w:rPr>
          <w:rFonts w:eastAsia="Calibri"/>
          <w:szCs w:val="24"/>
        </w:rPr>
        <w:t xml:space="preserve">With very few exceptions, central government receipts are not hypothecated to specific items or types of expenditure. The </w:t>
      </w:r>
      <w:r w:rsidR="00A2289F">
        <w:rPr>
          <w:rFonts w:eastAsia="Calibri"/>
          <w:szCs w:val="24"/>
        </w:rPr>
        <w:t xml:space="preserve">principal </w:t>
      </w:r>
      <w:r>
        <w:rPr>
          <w:rFonts w:eastAsia="Calibri"/>
          <w:szCs w:val="24"/>
        </w:rPr>
        <w:t>central government extractive revenues currently earmarked for specific UK programmes or geographic regions involve the allocation of a population-based share of income from seaward petroleum licences to the Northern Ireland Government, as required by section 2 of the Miscellaneous Financial Provisions Act 1968.</w:t>
      </w:r>
      <w:r w:rsidR="00D653F9">
        <w:rPr>
          <w:rStyle w:val="FootnoteReference"/>
          <w:rFonts w:eastAsia="Calibri"/>
          <w:szCs w:val="24"/>
        </w:rPr>
        <w:footnoteReference w:id="5"/>
      </w:r>
      <w:r>
        <w:rPr>
          <w:rFonts w:eastAsia="Calibri"/>
          <w:szCs w:val="24"/>
        </w:rPr>
        <w:t xml:space="preserve"> The amount transferred in 201</w:t>
      </w:r>
      <w:r w:rsidR="00EA62D7">
        <w:rPr>
          <w:rFonts w:eastAsia="Calibri"/>
          <w:szCs w:val="24"/>
        </w:rPr>
        <w:t>9</w:t>
      </w:r>
      <w:r>
        <w:rPr>
          <w:rFonts w:eastAsia="Calibri"/>
          <w:szCs w:val="24"/>
        </w:rPr>
        <w:t>/</w:t>
      </w:r>
      <w:r w:rsidR="00EA62D7">
        <w:rPr>
          <w:rFonts w:eastAsia="Calibri"/>
          <w:szCs w:val="24"/>
        </w:rPr>
        <w:t>20</w:t>
      </w:r>
      <w:r>
        <w:rPr>
          <w:rFonts w:eastAsia="Calibri"/>
          <w:szCs w:val="24"/>
        </w:rPr>
        <w:t xml:space="preserve"> was £</w:t>
      </w:r>
      <w:r w:rsidR="00036A02">
        <w:rPr>
          <w:rFonts w:eastAsia="Calibri"/>
          <w:szCs w:val="24"/>
        </w:rPr>
        <w:t>2</w:t>
      </w:r>
      <w:r w:rsidR="00EA62D7">
        <w:rPr>
          <w:rFonts w:eastAsia="Calibri"/>
          <w:szCs w:val="24"/>
        </w:rPr>
        <w:t>.</w:t>
      </w:r>
      <w:r>
        <w:rPr>
          <w:rFonts w:eastAsia="Calibri"/>
          <w:szCs w:val="24"/>
        </w:rPr>
        <w:t>0</w:t>
      </w:r>
      <w:r w:rsidR="00EA62D7">
        <w:rPr>
          <w:rFonts w:eastAsia="Calibri"/>
          <w:szCs w:val="24"/>
        </w:rPr>
        <w:t>m</w:t>
      </w:r>
      <w:r>
        <w:rPr>
          <w:rFonts w:eastAsia="Calibri"/>
          <w:szCs w:val="24"/>
        </w:rPr>
        <w:t xml:space="preserve"> (£1</w:t>
      </w:r>
      <w:r w:rsidR="00EA62D7">
        <w:rPr>
          <w:rFonts w:eastAsia="Calibri"/>
          <w:szCs w:val="24"/>
        </w:rPr>
        <w:t>.7m</w:t>
      </w:r>
      <w:r>
        <w:rPr>
          <w:rFonts w:eastAsia="Calibri"/>
          <w:szCs w:val="24"/>
        </w:rPr>
        <w:t xml:space="preserve"> in 201</w:t>
      </w:r>
      <w:r w:rsidR="00EA62D7">
        <w:rPr>
          <w:rFonts w:eastAsia="Calibri"/>
          <w:szCs w:val="24"/>
        </w:rPr>
        <w:t>8</w:t>
      </w:r>
      <w:r>
        <w:rPr>
          <w:rFonts w:eastAsia="Calibri"/>
          <w:szCs w:val="24"/>
        </w:rPr>
        <w:t>/1</w:t>
      </w:r>
      <w:r w:rsidR="00EA62D7">
        <w:rPr>
          <w:rFonts w:eastAsia="Calibri"/>
          <w:szCs w:val="24"/>
        </w:rPr>
        <w:t>9</w:t>
      </w:r>
      <w:r>
        <w:rPr>
          <w:rFonts w:eastAsia="Calibri"/>
          <w:szCs w:val="24"/>
        </w:rPr>
        <w:t>).</w:t>
      </w:r>
      <w:r>
        <w:rPr>
          <w:rFonts w:eastAsia="Calibri"/>
          <w:szCs w:val="24"/>
          <w:vertAlign w:val="superscript"/>
        </w:rPr>
        <w:footnoteReference w:id="6"/>
      </w:r>
    </w:p>
    <w:p w14:paraId="0712972E" w14:textId="564720D1" w:rsidR="00E51273" w:rsidRDefault="00E51273" w:rsidP="00475F45">
      <w:pPr>
        <w:autoSpaceDE w:val="0"/>
        <w:autoSpaceDN w:val="0"/>
        <w:adjustRightInd w:val="0"/>
        <w:spacing w:after="240" w:line="276" w:lineRule="auto"/>
        <w:rPr>
          <w:rFonts w:eastAsia="Calibri"/>
          <w:szCs w:val="24"/>
        </w:rPr>
      </w:pPr>
      <w:r w:rsidRPr="002A5CCF">
        <w:rPr>
          <w:rFonts w:eastAsia="Calibri"/>
          <w:szCs w:val="24"/>
        </w:rPr>
        <w:t xml:space="preserve">All revenue ‘profit’ from Crown Estate Scotland goes to the Scottish Consolidated Fund and it is the responsibility of Scottish Ministers to decide how this is used. Crown Estate Scotland ensures that the assets are developed and enjoyed </w:t>
      </w:r>
      <w:proofErr w:type="gramStart"/>
      <w:r w:rsidRPr="002A5CCF">
        <w:rPr>
          <w:rFonts w:eastAsia="Calibri"/>
          <w:szCs w:val="24"/>
        </w:rPr>
        <w:t>to deliver</w:t>
      </w:r>
      <w:proofErr w:type="gramEnd"/>
      <w:r w:rsidRPr="002A5CCF">
        <w:rPr>
          <w:rFonts w:eastAsia="Calibri"/>
          <w:szCs w:val="24"/>
        </w:rPr>
        <w:t xml:space="preserve"> long-term value for communities and for the nation.</w:t>
      </w:r>
    </w:p>
    <w:p w14:paraId="64B866A0" w14:textId="4284AFF8" w:rsidR="00217C3E" w:rsidRDefault="00217C3E" w:rsidP="00217C3E">
      <w:pPr>
        <w:autoSpaceDE w:val="0"/>
        <w:autoSpaceDN w:val="0"/>
        <w:adjustRightInd w:val="0"/>
        <w:spacing w:after="240" w:line="276" w:lineRule="auto"/>
        <w:rPr>
          <w:rFonts w:eastAsia="Calibri"/>
          <w:szCs w:val="24"/>
        </w:rPr>
      </w:pPr>
      <w:r>
        <w:rPr>
          <w:rFonts w:eastAsia="Calibri"/>
          <w:szCs w:val="24"/>
        </w:rPr>
        <w:t>Onshore petroleum licensing is now devolved in Great Britain as well as to Northern Ireland</w:t>
      </w:r>
      <w:r w:rsidR="00D76907">
        <w:rPr>
          <w:rFonts w:eastAsia="Calibri"/>
          <w:szCs w:val="24"/>
        </w:rPr>
        <w:t>,</w:t>
      </w:r>
      <w:r>
        <w:rPr>
          <w:rFonts w:eastAsia="Calibri"/>
          <w:szCs w:val="24"/>
        </w:rPr>
        <w:t xml:space="preserve"> although the O</w:t>
      </w:r>
      <w:r w:rsidR="00842119">
        <w:rPr>
          <w:rFonts w:eastAsia="Calibri"/>
          <w:szCs w:val="24"/>
        </w:rPr>
        <w:t xml:space="preserve">il and </w:t>
      </w:r>
      <w:r>
        <w:rPr>
          <w:rFonts w:eastAsia="Calibri"/>
          <w:szCs w:val="24"/>
        </w:rPr>
        <w:t>G</w:t>
      </w:r>
      <w:r w:rsidR="00C5481A">
        <w:rPr>
          <w:rFonts w:eastAsia="Calibri"/>
          <w:szCs w:val="24"/>
        </w:rPr>
        <w:t xml:space="preserve">as </w:t>
      </w:r>
      <w:r>
        <w:rPr>
          <w:rFonts w:eastAsia="Calibri"/>
          <w:szCs w:val="24"/>
        </w:rPr>
        <w:t>A</w:t>
      </w:r>
      <w:r w:rsidR="00C5481A">
        <w:rPr>
          <w:rFonts w:eastAsia="Calibri"/>
          <w:szCs w:val="24"/>
        </w:rPr>
        <w:t>uthority (OGA)</w:t>
      </w:r>
      <w:r>
        <w:rPr>
          <w:rFonts w:eastAsia="Calibri"/>
          <w:szCs w:val="24"/>
        </w:rPr>
        <w:t xml:space="preserve"> continues to collect licence fees due on licences in Scotland and Wales as an agent for the respective administrations. Any amounts received in 2018 have been reported as received by the OGA; in practice, fees for licences in Scotland and Wales were waived.</w:t>
      </w:r>
    </w:p>
    <w:p w14:paraId="0A1C71C7" w14:textId="68E25C88" w:rsidR="00475F45" w:rsidRDefault="00475F45" w:rsidP="00475F45">
      <w:pPr>
        <w:autoSpaceDE w:val="0"/>
        <w:autoSpaceDN w:val="0"/>
        <w:adjustRightInd w:val="0"/>
        <w:spacing w:after="240" w:line="276" w:lineRule="auto"/>
        <w:rPr>
          <w:rFonts w:eastAsia="Calibri"/>
          <w:szCs w:val="24"/>
        </w:rPr>
      </w:pPr>
      <w:r>
        <w:rPr>
          <w:rFonts w:eastAsia="Calibri"/>
          <w:szCs w:val="24"/>
        </w:rPr>
        <w:t>In addition, the OGA Levy part-funds the operation of the OGA.</w:t>
      </w:r>
      <w:r>
        <w:rPr>
          <w:rFonts w:eastAsia="Calibri"/>
          <w:szCs w:val="24"/>
          <w:vertAlign w:val="superscript"/>
        </w:rPr>
        <w:footnoteReference w:id="7"/>
      </w:r>
      <w:r>
        <w:rPr>
          <w:rFonts w:eastAsia="Calibri"/>
          <w:szCs w:val="24"/>
        </w:rPr>
        <w:t xml:space="preserve"> The rates of the Levy are set by statutory instrument so </w:t>
      </w:r>
      <w:proofErr w:type="gramStart"/>
      <w:r>
        <w:rPr>
          <w:rFonts w:eastAsia="Calibri"/>
          <w:szCs w:val="24"/>
        </w:rPr>
        <w:t>have to</w:t>
      </w:r>
      <w:proofErr w:type="gramEnd"/>
      <w:r>
        <w:rPr>
          <w:rFonts w:eastAsia="Calibri"/>
          <w:szCs w:val="24"/>
        </w:rPr>
        <w:t xml:space="preserve"> be approved by Parliament. Any excess of income over expenditure is repaid to levy-payers which can result in net refunds for some levy-payers in a calendar year.</w:t>
      </w:r>
      <w:r>
        <w:rPr>
          <w:szCs w:val="24"/>
        </w:rPr>
        <w:t xml:space="preserve"> </w:t>
      </w:r>
      <w:r>
        <w:rPr>
          <w:rFonts w:eastAsia="Calibri"/>
          <w:szCs w:val="24"/>
        </w:rPr>
        <w:t>The OGA is a vested company with operational independence from Government. However, the Secretary of State (</w:t>
      </w:r>
      <w:proofErr w:type="spellStart"/>
      <w:r>
        <w:rPr>
          <w:rFonts w:eastAsia="Calibri"/>
          <w:szCs w:val="24"/>
        </w:rPr>
        <w:t>SoS</w:t>
      </w:r>
      <w:proofErr w:type="spellEnd"/>
      <w:r>
        <w:rPr>
          <w:rFonts w:eastAsia="Calibri"/>
          <w:szCs w:val="24"/>
        </w:rPr>
        <w:t xml:space="preserve">) for Business, </w:t>
      </w:r>
      <w:proofErr w:type="gramStart"/>
      <w:r>
        <w:rPr>
          <w:rFonts w:eastAsia="Calibri"/>
          <w:szCs w:val="24"/>
        </w:rPr>
        <w:t>Energy</w:t>
      </w:r>
      <w:proofErr w:type="gramEnd"/>
      <w:r>
        <w:rPr>
          <w:rFonts w:eastAsia="Calibri"/>
          <w:szCs w:val="24"/>
        </w:rPr>
        <w:t xml:space="preserve"> and Industrial Strategy</w:t>
      </w:r>
      <w:r w:rsidR="00554A16">
        <w:rPr>
          <w:rFonts w:eastAsia="Calibri"/>
          <w:szCs w:val="24"/>
        </w:rPr>
        <w:t xml:space="preserve"> (BEIS)</w:t>
      </w:r>
      <w:r>
        <w:rPr>
          <w:rFonts w:eastAsia="Calibri"/>
          <w:szCs w:val="24"/>
        </w:rPr>
        <w:t xml:space="preserve"> is the company’s sole shareholder and is ultimately responsible to Parliament for the OGA; the OGA Board of Directors is accountable to the </w:t>
      </w:r>
      <w:proofErr w:type="spellStart"/>
      <w:r>
        <w:rPr>
          <w:rFonts w:eastAsia="Calibri"/>
          <w:szCs w:val="24"/>
        </w:rPr>
        <w:t>SoS</w:t>
      </w:r>
      <w:proofErr w:type="spellEnd"/>
      <w:r>
        <w:rPr>
          <w:rFonts w:eastAsia="Calibri"/>
          <w:szCs w:val="24"/>
        </w:rPr>
        <w:t xml:space="preserve">. The Permanent Secretary of BEIS is the </w:t>
      </w:r>
      <w:r>
        <w:rPr>
          <w:rFonts w:eastAsia="Calibri"/>
          <w:szCs w:val="24"/>
        </w:rPr>
        <w:lastRenderedPageBreak/>
        <w:t xml:space="preserve">Principal Accounting Officer for the OGA and is responsible to Parliament for any grant funding of the OGA; the OGA’s Chief Executive is responsible to the Permanent Secretary. The OGA’s Annual Report and Accounts are approved by the Board of Directors and the </w:t>
      </w:r>
      <w:proofErr w:type="spellStart"/>
      <w:r>
        <w:rPr>
          <w:rFonts w:eastAsia="Calibri"/>
          <w:szCs w:val="24"/>
        </w:rPr>
        <w:t>SoS</w:t>
      </w:r>
      <w:proofErr w:type="spellEnd"/>
      <w:r>
        <w:rPr>
          <w:rFonts w:eastAsia="Calibri"/>
          <w:szCs w:val="24"/>
        </w:rPr>
        <w:t>.</w:t>
      </w:r>
    </w:p>
    <w:p w14:paraId="210185DC" w14:textId="11B31D40" w:rsidR="002D163D" w:rsidRDefault="002D163D" w:rsidP="00475F45">
      <w:pPr>
        <w:autoSpaceDE w:val="0"/>
        <w:autoSpaceDN w:val="0"/>
        <w:adjustRightInd w:val="0"/>
        <w:spacing w:after="240" w:line="276" w:lineRule="auto"/>
      </w:pPr>
    </w:p>
    <w:p w14:paraId="0045A189" w14:textId="41ABDD29" w:rsidR="00403977" w:rsidRDefault="00403977"/>
    <w:p w14:paraId="1977D67A" w14:textId="538C9F37" w:rsidR="009828CB" w:rsidRPr="006B0A14" w:rsidRDefault="00141A5B" w:rsidP="009828CB">
      <w:pPr>
        <w:pStyle w:val="Heading1"/>
        <w:keepNext w:val="0"/>
        <w:keepLines w:val="0"/>
        <w:pageBreakBefore/>
        <w:shd w:val="clear" w:color="auto" w:fill="1F4E79"/>
        <w:spacing w:line="276" w:lineRule="auto"/>
        <w:rPr>
          <w:rFonts w:ascii="Arial" w:hAnsi="Arial" w:cs="Arial"/>
          <w:b/>
          <w:color w:val="FFFFFF" w:themeColor="background1"/>
          <w:sz w:val="24"/>
          <w:szCs w:val="24"/>
        </w:rPr>
      </w:pPr>
      <w:r w:rsidRPr="00141A5B">
        <w:rPr>
          <w:rFonts w:ascii="Arial" w:hAnsi="Arial" w:cs="Arial"/>
          <w:b/>
          <w:color w:val="FFFFFF" w:themeColor="background1"/>
          <w:sz w:val="24"/>
          <w:szCs w:val="24"/>
        </w:rPr>
        <w:lastRenderedPageBreak/>
        <w:t>GLOSSARY OF ABBREVIATIONS FOR REVENUE ALLOCATIONS</w:t>
      </w:r>
    </w:p>
    <w:p w14:paraId="256BD1ED" w14:textId="77777777" w:rsidR="009828CB" w:rsidRDefault="009828CB" w:rsidP="009828CB">
      <w:pPr>
        <w:pStyle w:val="Default"/>
        <w:keepNext/>
        <w:rPr>
          <w:rFonts w:ascii="Arial" w:hAnsi="Arial" w:cs="Arial"/>
          <w:b/>
          <w:bCs/>
          <w:sz w:val="22"/>
          <w:szCs w:val="22"/>
          <w:highlight w:val="yellow"/>
        </w:rPr>
      </w:pPr>
    </w:p>
    <w:tbl>
      <w:tblPr>
        <w:tblW w:w="5000" w:type="pct"/>
        <w:tblCellMar>
          <w:left w:w="70" w:type="dxa"/>
          <w:right w:w="70" w:type="dxa"/>
        </w:tblCellMar>
        <w:tblLook w:val="04A0" w:firstRow="1" w:lastRow="0" w:firstColumn="1" w:lastColumn="0" w:noHBand="0" w:noVBand="1"/>
      </w:tblPr>
      <w:tblGrid>
        <w:gridCol w:w="1042"/>
        <w:gridCol w:w="7984"/>
      </w:tblGrid>
      <w:tr w:rsidR="009828CB" w:rsidRPr="00F0567E" w14:paraId="13901DE1" w14:textId="77777777" w:rsidTr="00403977">
        <w:trPr>
          <w:trHeight w:val="340"/>
        </w:trPr>
        <w:tc>
          <w:tcPr>
            <w:tcW w:w="577" w:type="pct"/>
            <w:tcBorders>
              <w:top w:val="nil"/>
              <w:left w:val="nil"/>
              <w:bottom w:val="nil"/>
              <w:right w:val="nil"/>
            </w:tcBorders>
            <w:shd w:val="clear" w:color="000000" w:fill="BDD7EE"/>
            <w:vAlign w:val="center"/>
            <w:hideMark/>
          </w:tcPr>
          <w:p w14:paraId="34612F24"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BEIS</w:t>
            </w:r>
          </w:p>
        </w:tc>
        <w:tc>
          <w:tcPr>
            <w:tcW w:w="4423" w:type="pct"/>
            <w:tcBorders>
              <w:top w:val="nil"/>
              <w:left w:val="nil"/>
              <w:bottom w:val="nil"/>
              <w:right w:val="nil"/>
            </w:tcBorders>
            <w:shd w:val="clear" w:color="000000" w:fill="BDD7EE"/>
            <w:vAlign w:val="center"/>
            <w:hideMark/>
          </w:tcPr>
          <w:p w14:paraId="0F5A3AD8" w14:textId="77777777" w:rsidR="009828CB" w:rsidRPr="00F0567E" w:rsidRDefault="009828CB" w:rsidP="00403977">
            <w:pPr>
              <w:rPr>
                <w:rFonts w:eastAsia="Times New Roman"/>
                <w:color w:val="000000"/>
                <w:sz w:val="18"/>
                <w:szCs w:val="18"/>
                <w:lang w:val="fr-FR" w:eastAsia="fr-FR"/>
              </w:rPr>
            </w:pPr>
            <w:proofErr w:type="spellStart"/>
            <w:r w:rsidRPr="00F0567E">
              <w:rPr>
                <w:rFonts w:eastAsia="Times New Roman"/>
                <w:color w:val="000000"/>
                <w:sz w:val="18"/>
                <w:szCs w:val="18"/>
                <w:lang w:val="fr-FR" w:eastAsia="fr-FR"/>
              </w:rPr>
              <w:t>Department</w:t>
            </w:r>
            <w:proofErr w:type="spellEnd"/>
            <w:r w:rsidRPr="00F0567E">
              <w:rPr>
                <w:rFonts w:eastAsia="Times New Roman"/>
                <w:color w:val="000000"/>
                <w:sz w:val="18"/>
                <w:szCs w:val="18"/>
                <w:lang w:val="fr-FR" w:eastAsia="fr-FR"/>
              </w:rPr>
              <w:t xml:space="preserve"> for Business, Energy &amp; Industrial Strategy</w:t>
            </w:r>
          </w:p>
        </w:tc>
      </w:tr>
      <w:tr w:rsidR="008B6698" w:rsidRPr="00F0567E" w14:paraId="6601519C" w14:textId="77777777" w:rsidTr="00403977">
        <w:trPr>
          <w:trHeight w:val="340"/>
        </w:trPr>
        <w:tc>
          <w:tcPr>
            <w:tcW w:w="577" w:type="pct"/>
            <w:tcBorders>
              <w:top w:val="nil"/>
              <w:left w:val="nil"/>
              <w:bottom w:val="nil"/>
              <w:right w:val="nil"/>
            </w:tcBorders>
            <w:shd w:val="clear" w:color="auto" w:fill="auto"/>
            <w:vAlign w:val="center"/>
          </w:tcPr>
          <w:p w14:paraId="2480EACF" w14:textId="734F9313" w:rsidR="008B6698" w:rsidRPr="00F0567E" w:rsidRDefault="008B6698" w:rsidP="00403977">
            <w:pPr>
              <w:rPr>
                <w:rFonts w:eastAsia="Times New Roman"/>
                <w:color w:val="000000"/>
                <w:sz w:val="18"/>
                <w:szCs w:val="18"/>
                <w:lang w:val="fr-FR" w:eastAsia="fr-FR"/>
              </w:rPr>
            </w:pPr>
            <w:r>
              <w:rPr>
                <w:rFonts w:eastAsia="Times New Roman"/>
                <w:color w:val="000000"/>
                <w:sz w:val="18"/>
                <w:szCs w:val="18"/>
                <w:lang w:val="fr-FR" w:eastAsia="fr-FR"/>
              </w:rPr>
              <w:t>DECC</w:t>
            </w:r>
          </w:p>
        </w:tc>
        <w:tc>
          <w:tcPr>
            <w:tcW w:w="4423" w:type="pct"/>
            <w:tcBorders>
              <w:top w:val="nil"/>
              <w:left w:val="nil"/>
              <w:bottom w:val="nil"/>
              <w:right w:val="nil"/>
            </w:tcBorders>
            <w:shd w:val="clear" w:color="auto" w:fill="auto"/>
            <w:vAlign w:val="center"/>
          </w:tcPr>
          <w:p w14:paraId="00BCCC96" w14:textId="3DAC359A" w:rsidR="008B6698" w:rsidRPr="00F0567E" w:rsidRDefault="00BA2098" w:rsidP="00403977">
            <w:pPr>
              <w:rPr>
                <w:rFonts w:eastAsia="Times New Roman"/>
                <w:color w:val="000000"/>
                <w:sz w:val="18"/>
                <w:szCs w:val="18"/>
                <w:lang w:val="fr-FR" w:eastAsia="fr-FR"/>
              </w:rPr>
            </w:pPr>
            <w:proofErr w:type="spellStart"/>
            <w:r>
              <w:rPr>
                <w:rFonts w:eastAsia="Times New Roman"/>
                <w:color w:val="000000"/>
                <w:sz w:val="18"/>
                <w:szCs w:val="18"/>
                <w:lang w:val="fr-FR" w:eastAsia="fr-FR"/>
              </w:rPr>
              <w:t>Department</w:t>
            </w:r>
            <w:proofErr w:type="spellEnd"/>
            <w:r>
              <w:rPr>
                <w:rFonts w:eastAsia="Times New Roman"/>
                <w:color w:val="000000"/>
                <w:sz w:val="18"/>
                <w:szCs w:val="18"/>
                <w:lang w:val="fr-FR" w:eastAsia="fr-FR"/>
              </w:rPr>
              <w:t xml:space="preserve"> of Energy &amp; </w:t>
            </w:r>
            <w:proofErr w:type="spellStart"/>
            <w:r>
              <w:rPr>
                <w:rFonts w:eastAsia="Times New Roman"/>
                <w:color w:val="000000"/>
                <w:sz w:val="18"/>
                <w:szCs w:val="18"/>
                <w:lang w:val="fr-FR" w:eastAsia="fr-FR"/>
              </w:rPr>
              <w:t>Climate</w:t>
            </w:r>
            <w:proofErr w:type="spellEnd"/>
            <w:r>
              <w:rPr>
                <w:rFonts w:eastAsia="Times New Roman"/>
                <w:color w:val="000000"/>
                <w:sz w:val="18"/>
                <w:szCs w:val="18"/>
                <w:lang w:val="fr-FR" w:eastAsia="fr-FR"/>
              </w:rPr>
              <w:t xml:space="preserve"> Change</w:t>
            </w:r>
          </w:p>
        </w:tc>
      </w:tr>
      <w:tr w:rsidR="009828CB" w:rsidRPr="00F0567E" w14:paraId="41639EE7" w14:textId="77777777" w:rsidTr="00403977">
        <w:trPr>
          <w:trHeight w:val="340"/>
        </w:trPr>
        <w:tc>
          <w:tcPr>
            <w:tcW w:w="577" w:type="pct"/>
            <w:tcBorders>
              <w:top w:val="nil"/>
              <w:left w:val="nil"/>
              <w:bottom w:val="nil"/>
              <w:right w:val="nil"/>
            </w:tcBorders>
            <w:shd w:val="clear" w:color="auto" w:fill="auto"/>
            <w:vAlign w:val="center"/>
            <w:hideMark/>
          </w:tcPr>
          <w:p w14:paraId="1AD6F710"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HM</w:t>
            </w:r>
          </w:p>
        </w:tc>
        <w:tc>
          <w:tcPr>
            <w:tcW w:w="4423" w:type="pct"/>
            <w:tcBorders>
              <w:top w:val="nil"/>
              <w:left w:val="nil"/>
              <w:bottom w:val="nil"/>
              <w:right w:val="nil"/>
            </w:tcBorders>
            <w:shd w:val="clear" w:color="auto" w:fill="auto"/>
            <w:vAlign w:val="center"/>
            <w:hideMark/>
          </w:tcPr>
          <w:p w14:paraId="43D0EEBD"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Her </w:t>
            </w:r>
            <w:proofErr w:type="spellStart"/>
            <w:r w:rsidRPr="00F0567E">
              <w:rPr>
                <w:rFonts w:eastAsia="Times New Roman"/>
                <w:color w:val="000000"/>
                <w:sz w:val="18"/>
                <w:szCs w:val="18"/>
                <w:lang w:val="fr-FR" w:eastAsia="fr-FR"/>
              </w:rPr>
              <w:t>Majesty’s</w:t>
            </w:r>
            <w:proofErr w:type="spellEnd"/>
          </w:p>
        </w:tc>
      </w:tr>
      <w:tr w:rsidR="009828CB" w:rsidRPr="00F0567E" w14:paraId="45445E5E" w14:textId="77777777" w:rsidTr="00403977">
        <w:trPr>
          <w:trHeight w:val="340"/>
        </w:trPr>
        <w:tc>
          <w:tcPr>
            <w:tcW w:w="577" w:type="pct"/>
            <w:tcBorders>
              <w:top w:val="nil"/>
              <w:left w:val="nil"/>
              <w:bottom w:val="nil"/>
              <w:right w:val="nil"/>
            </w:tcBorders>
            <w:shd w:val="clear" w:color="000000" w:fill="BDD7EE"/>
            <w:vAlign w:val="center"/>
            <w:hideMark/>
          </w:tcPr>
          <w:p w14:paraId="25D3E062"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NAO</w:t>
            </w:r>
          </w:p>
        </w:tc>
        <w:tc>
          <w:tcPr>
            <w:tcW w:w="4423" w:type="pct"/>
            <w:tcBorders>
              <w:top w:val="nil"/>
              <w:left w:val="nil"/>
              <w:bottom w:val="nil"/>
              <w:right w:val="nil"/>
            </w:tcBorders>
            <w:shd w:val="clear" w:color="000000" w:fill="BDD7EE"/>
            <w:vAlign w:val="center"/>
            <w:hideMark/>
          </w:tcPr>
          <w:p w14:paraId="4C53C89F"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National Audit Office</w:t>
            </w:r>
          </w:p>
        </w:tc>
      </w:tr>
      <w:tr w:rsidR="009828CB" w:rsidRPr="00F0567E" w14:paraId="5B31DF7B" w14:textId="77777777" w:rsidTr="00403977">
        <w:trPr>
          <w:trHeight w:val="340"/>
        </w:trPr>
        <w:tc>
          <w:tcPr>
            <w:tcW w:w="577" w:type="pct"/>
            <w:tcBorders>
              <w:top w:val="nil"/>
              <w:left w:val="nil"/>
              <w:bottom w:val="nil"/>
              <w:right w:val="nil"/>
            </w:tcBorders>
            <w:shd w:val="clear" w:color="auto" w:fill="auto"/>
            <w:vAlign w:val="center"/>
            <w:hideMark/>
          </w:tcPr>
          <w:p w14:paraId="6AE5177C"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OBR</w:t>
            </w:r>
          </w:p>
        </w:tc>
        <w:tc>
          <w:tcPr>
            <w:tcW w:w="4423" w:type="pct"/>
            <w:tcBorders>
              <w:top w:val="nil"/>
              <w:left w:val="nil"/>
              <w:bottom w:val="nil"/>
              <w:right w:val="nil"/>
            </w:tcBorders>
            <w:shd w:val="clear" w:color="auto" w:fill="auto"/>
            <w:vAlign w:val="center"/>
            <w:hideMark/>
          </w:tcPr>
          <w:p w14:paraId="71C2D9FE"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Office for Budget </w:t>
            </w:r>
            <w:proofErr w:type="spellStart"/>
            <w:r w:rsidRPr="00F0567E">
              <w:rPr>
                <w:rFonts w:eastAsia="Times New Roman"/>
                <w:color w:val="000000"/>
                <w:sz w:val="18"/>
                <w:szCs w:val="18"/>
                <w:lang w:val="fr-FR" w:eastAsia="fr-FR"/>
              </w:rPr>
              <w:t>Responsibility</w:t>
            </w:r>
            <w:proofErr w:type="spellEnd"/>
          </w:p>
        </w:tc>
      </w:tr>
      <w:tr w:rsidR="009828CB" w:rsidRPr="00F0567E" w14:paraId="5B6960A7" w14:textId="77777777" w:rsidTr="00403977">
        <w:trPr>
          <w:trHeight w:val="340"/>
        </w:trPr>
        <w:tc>
          <w:tcPr>
            <w:tcW w:w="577" w:type="pct"/>
            <w:tcBorders>
              <w:top w:val="nil"/>
              <w:left w:val="nil"/>
              <w:bottom w:val="nil"/>
              <w:right w:val="nil"/>
            </w:tcBorders>
            <w:shd w:val="clear" w:color="000000" w:fill="BDD7EE"/>
            <w:vAlign w:val="center"/>
            <w:hideMark/>
          </w:tcPr>
          <w:p w14:paraId="2357556A"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OGA</w:t>
            </w:r>
          </w:p>
        </w:tc>
        <w:tc>
          <w:tcPr>
            <w:tcW w:w="4423" w:type="pct"/>
            <w:tcBorders>
              <w:top w:val="nil"/>
              <w:left w:val="nil"/>
              <w:bottom w:val="nil"/>
              <w:right w:val="nil"/>
            </w:tcBorders>
            <w:shd w:val="clear" w:color="000000" w:fill="BDD7EE"/>
            <w:vAlign w:val="center"/>
            <w:hideMark/>
          </w:tcPr>
          <w:p w14:paraId="68749447"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Oil and Gas Authority</w:t>
            </w:r>
          </w:p>
        </w:tc>
      </w:tr>
      <w:tr w:rsidR="009828CB" w:rsidRPr="00F0567E" w14:paraId="6071C7C8" w14:textId="77777777" w:rsidTr="00403977">
        <w:trPr>
          <w:trHeight w:val="340"/>
        </w:trPr>
        <w:tc>
          <w:tcPr>
            <w:tcW w:w="577" w:type="pct"/>
            <w:tcBorders>
              <w:top w:val="nil"/>
              <w:left w:val="nil"/>
              <w:bottom w:val="nil"/>
              <w:right w:val="nil"/>
            </w:tcBorders>
            <w:shd w:val="clear" w:color="auto" w:fill="auto"/>
            <w:vAlign w:val="center"/>
            <w:hideMark/>
          </w:tcPr>
          <w:p w14:paraId="74ADBFFB" w14:textId="77777777" w:rsidR="009828CB" w:rsidRPr="00F0567E" w:rsidRDefault="009828CB" w:rsidP="00403977">
            <w:pPr>
              <w:rPr>
                <w:rFonts w:eastAsia="Times New Roman"/>
                <w:color w:val="000000"/>
                <w:sz w:val="18"/>
                <w:szCs w:val="18"/>
                <w:lang w:val="fr-FR" w:eastAsia="fr-FR"/>
              </w:rPr>
            </w:pPr>
            <w:proofErr w:type="spellStart"/>
            <w:r w:rsidRPr="00F0567E">
              <w:rPr>
                <w:rFonts w:eastAsia="Times New Roman"/>
                <w:color w:val="000000"/>
                <w:sz w:val="18"/>
                <w:szCs w:val="18"/>
                <w:lang w:val="fr-FR" w:eastAsia="fr-FR"/>
              </w:rPr>
              <w:t>SoS</w:t>
            </w:r>
            <w:proofErr w:type="spellEnd"/>
          </w:p>
        </w:tc>
        <w:tc>
          <w:tcPr>
            <w:tcW w:w="4423" w:type="pct"/>
            <w:tcBorders>
              <w:top w:val="nil"/>
              <w:left w:val="nil"/>
              <w:bottom w:val="nil"/>
              <w:right w:val="nil"/>
            </w:tcBorders>
            <w:shd w:val="clear" w:color="auto" w:fill="auto"/>
            <w:vAlign w:val="center"/>
            <w:hideMark/>
          </w:tcPr>
          <w:p w14:paraId="48AAEDCE"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Secretary of State</w:t>
            </w:r>
          </w:p>
        </w:tc>
      </w:tr>
      <w:tr w:rsidR="009828CB" w:rsidRPr="00F0567E" w14:paraId="5E732136" w14:textId="77777777" w:rsidTr="00403977">
        <w:trPr>
          <w:trHeight w:val="340"/>
        </w:trPr>
        <w:tc>
          <w:tcPr>
            <w:tcW w:w="577" w:type="pct"/>
            <w:tcBorders>
              <w:top w:val="nil"/>
              <w:left w:val="nil"/>
              <w:bottom w:val="nil"/>
              <w:right w:val="nil"/>
            </w:tcBorders>
            <w:shd w:val="clear" w:color="000000" w:fill="BDD7EE"/>
            <w:vAlign w:val="center"/>
            <w:hideMark/>
          </w:tcPr>
          <w:p w14:paraId="080A3C98"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UK</w:t>
            </w:r>
          </w:p>
        </w:tc>
        <w:tc>
          <w:tcPr>
            <w:tcW w:w="4423" w:type="pct"/>
            <w:tcBorders>
              <w:top w:val="nil"/>
              <w:left w:val="nil"/>
              <w:bottom w:val="nil"/>
              <w:right w:val="nil"/>
            </w:tcBorders>
            <w:shd w:val="clear" w:color="000000" w:fill="BDD7EE"/>
            <w:vAlign w:val="center"/>
            <w:hideMark/>
          </w:tcPr>
          <w:p w14:paraId="0BC34D24"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United </w:t>
            </w:r>
            <w:proofErr w:type="spellStart"/>
            <w:r w:rsidRPr="00F0567E">
              <w:rPr>
                <w:rFonts w:eastAsia="Times New Roman"/>
                <w:color w:val="000000"/>
                <w:sz w:val="18"/>
                <w:szCs w:val="18"/>
                <w:lang w:val="fr-FR" w:eastAsia="fr-FR"/>
              </w:rPr>
              <w:t>Kingdom</w:t>
            </w:r>
            <w:proofErr w:type="spellEnd"/>
          </w:p>
        </w:tc>
      </w:tr>
    </w:tbl>
    <w:p w14:paraId="01CE0B3C" w14:textId="77777777" w:rsidR="009828CB" w:rsidRPr="00595CB3" w:rsidRDefault="009828CB" w:rsidP="009828CB">
      <w:pPr>
        <w:pStyle w:val="Default"/>
        <w:keepNext/>
        <w:rPr>
          <w:rFonts w:ascii="Arial" w:hAnsi="Arial" w:cs="Arial"/>
          <w:b/>
          <w:bCs/>
          <w:sz w:val="22"/>
          <w:szCs w:val="22"/>
          <w:highlight w:val="yellow"/>
        </w:rPr>
      </w:pPr>
    </w:p>
    <w:p w14:paraId="79505272" w14:textId="77777777" w:rsidR="009828CB" w:rsidRDefault="009828CB"/>
    <w:sectPr w:rsidR="009828C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E07D5" w14:textId="77777777" w:rsidR="009B75ED" w:rsidRDefault="009B75ED" w:rsidP="00475F45">
      <w:r>
        <w:separator/>
      </w:r>
    </w:p>
  </w:endnote>
  <w:endnote w:type="continuationSeparator" w:id="0">
    <w:p w14:paraId="76128D67" w14:textId="77777777" w:rsidR="009B75ED" w:rsidRDefault="009B75ED" w:rsidP="00475F45">
      <w:r>
        <w:continuationSeparator/>
      </w:r>
    </w:p>
  </w:endnote>
  <w:endnote w:type="continuationNotice" w:id="1">
    <w:p w14:paraId="42809CD8" w14:textId="77777777" w:rsidR="009B75ED" w:rsidRDefault="009B7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55">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A8EDE" w14:textId="2F5D3FA5" w:rsidR="00B57EF1" w:rsidRPr="006B0A14" w:rsidRDefault="00B57EF1" w:rsidP="006B0A14">
    <w:pPr>
      <w:pStyle w:val="Footer"/>
      <w:pBdr>
        <w:top w:val="single" w:sz="4" w:space="1" w:color="0070C0"/>
      </w:pBdr>
      <w:tabs>
        <w:tab w:val="clear" w:pos="4536"/>
        <w:tab w:val="left" w:pos="0"/>
        <w:tab w:val="right" w:pos="8931"/>
      </w:tabs>
      <w:jc w:val="right"/>
      <w:rPr>
        <w:bCs/>
        <w:sz w:val="16"/>
      </w:rPr>
    </w:pPr>
    <w:r w:rsidRPr="00F67DB3">
      <w:rPr>
        <w:sz w:val="16"/>
      </w:rPr>
      <w:t>|</w:t>
    </w:r>
    <w:r w:rsidRPr="00F67DB3">
      <w:rPr>
        <w:color w:val="0070C0"/>
        <w:sz w:val="16"/>
      </w:rPr>
      <w:t xml:space="preserve"> </w:t>
    </w:r>
    <w:r w:rsidRPr="00F67DB3">
      <w:rPr>
        <w:color w:val="0070C0"/>
        <w:spacing w:val="60"/>
        <w:sz w:val="16"/>
        <w:lang w:val="fr-FR" w:eastAsia="fr-FR"/>
      </w:rPr>
      <w:t>Page</w:t>
    </w:r>
    <w:r w:rsidRPr="00F67DB3">
      <w:rPr>
        <w:color w:val="0070C0"/>
        <w:spacing w:val="60"/>
        <w:sz w:val="16"/>
      </w:rPr>
      <w:t xml:space="preserve"> </w:t>
    </w:r>
    <w:r w:rsidRPr="00F67DB3">
      <w:rPr>
        <w:sz w:val="16"/>
      </w:rPr>
      <w:fldChar w:fldCharType="begin"/>
    </w:r>
    <w:r w:rsidRPr="00F67DB3">
      <w:rPr>
        <w:sz w:val="16"/>
      </w:rPr>
      <w:instrText xml:space="preserve"> PAGE   \* MERGEFORMAT </w:instrText>
    </w:r>
    <w:r w:rsidRPr="00F67DB3">
      <w:rPr>
        <w:sz w:val="16"/>
      </w:rPr>
      <w:fldChar w:fldCharType="separate"/>
    </w:r>
    <w:r>
      <w:rPr>
        <w:sz w:val="16"/>
      </w:rPr>
      <w:t>1</w:t>
    </w:r>
    <w:r w:rsidRPr="00F67DB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30159" w14:textId="77777777" w:rsidR="009B75ED" w:rsidRDefault="009B75ED" w:rsidP="00475F45">
      <w:r>
        <w:separator/>
      </w:r>
    </w:p>
  </w:footnote>
  <w:footnote w:type="continuationSeparator" w:id="0">
    <w:p w14:paraId="30CC50CF" w14:textId="77777777" w:rsidR="009B75ED" w:rsidRDefault="009B75ED" w:rsidP="00475F45">
      <w:r>
        <w:continuationSeparator/>
      </w:r>
    </w:p>
  </w:footnote>
  <w:footnote w:type="continuationNotice" w:id="1">
    <w:p w14:paraId="55849971" w14:textId="77777777" w:rsidR="009B75ED" w:rsidRDefault="009B75ED"/>
  </w:footnote>
  <w:footnote w:id="2">
    <w:p w14:paraId="3C505A67" w14:textId="77777777" w:rsidR="00475F45"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OBR, </w:t>
      </w:r>
      <w:hyperlink r:id="rId1" w:history="1">
        <w:r w:rsidRPr="00927FB4">
          <w:rPr>
            <w:rStyle w:val="Hyperlink"/>
            <w:rFonts w:ascii="Arial" w:hAnsi="Arial" w:cs="Arial"/>
            <w:sz w:val="20"/>
            <w:szCs w:val="20"/>
          </w:rPr>
          <w:t>http://obr.uk/</w:t>
        </w:r>
      </w:hyperlink>
    </w:p>
  </w:footnote>
  <w:footnote w:id="3">
    <w:p w14:paraId="71A8F5B6" w14:textId="77777777" w:rsidR="00475F45" w:rsidRPr="00927FB4" w:rsidRDefault="00475F45" w:rsidP="00475F45">
      <w:pPr>
        <w:pStyle w:val="FootnoteText"/>
        <w:keepLines/>
        <w:widowControl w:val="0"/>
        <w:spacing w:before="120" w:line="276" w:lineRule="auto"/>
        <w:rPr>
          <w:rFonts w:cs="Arial"/>
          <w:sz w:val="20"/>
          <w:lang w:val="en-GB"/>
        </w:rPr>
      </w:pPr>
      <w:r w:rsidRPr="00927FB4">
        <w:rPr>
          <w:rStyle w:val="FootnoteReference"/>
          <w:rFonts w:cs="Arial"/>
          <w:sz w:val="20"/>
          <w:lang w:val="en-GB"/>
        </w:rPr>
        <w:footnoteRef/>
      </w:r>
      <w:r w:rsidRPr="00927FB4">
        <w:rPr>
          <w:rFonts w:cs="Arial"/>
          <w:sz w:val="20"/>
          <w:lang w:val="en-GB"/>
        </w:rPr>
        <w:t xml:space="preserve"> NAO, </w:t>
      </w:r>
      <w:hyperlink r:id="rId2" w:history="1">
        <w:r w:rsidRPr="00927FB4">
          <w:rPr>
            <w:rStyle w:val="Hyperlink"/>
            <w:rFonts w:cs="Arial"/>
            <w:sz w:val="20"/>
            <w:lang w:val="en-GB"/>
          </w:rPr>
          <w:t>https://www.nao.org.uk/</w:t>
        </w:r>
      </w:hyperlink>
    </w:p>
  </w:footnote>
  <w:footnote w:id="4">
    <w:p w14:paraId="79E72E37" w14:textId="77777777" w:rsidR="00475F45"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sz w:val="20"/>
          <w:szCs w:val="20"/>
        </w:rPr>
        <w:footnoteRef/>
      </w:r>
      <w:r w:rsidRPr="00927FB4">
        <w:rPr>
          <w:rFonts w:ascii="Arial" w:hAnsi="Arial" w:cs="Arial"/>
          <w:sz w:val="20"/>
          <w:szCs w:val="20"/>
        </w:rPr>
        <w:t xml:space="preserve"> Public Accounts Committee, </w:t>
      </w:r>
      <w:hyperlink r:id="rId3" w:history="1">
        <w:r w:rsidRPr="00927FB4">
          <w:rPr>
            <w:rStyle w:val="Hyperlink"/>
            <w:rFonts w:ascii="Arial" w:hAnsi="Arial" w:cs="Arial"/>
            <w:sz w:val="20"/>
            <w:szCs w:val="20"/>
          </w:rPr>
          <w:t>http://www.parliament.uk/business/committees/committees-a-z/commons-select/public-accounts-committee/</w:t>
        </w:r>
      </w:hyperlink>
    </w:p>
  </w:footnote>
  <w:footnote w:id="5">
    <w:p w14:paraId="158647EA" w14:textId="6FE78BD4" w:rsidR="00D653F9" w:rsidRPr="00D653F9" w:rsidRDefault="00D653F9">
      <w:pPr>
        <w:pStyle w:val="FootnoteText"/>
        <w:rPr>
          <w:lang w:val="en-GB"/>
        </w:rPr>
      </w:pPr>
      <w:r>
        <w:rPr>
          <w:rStyle w:val="FootnoteReference"/>
        </w:rPr>
        <w:footnoteRef/>
      </w:r>
      <w:r>
        <w:t xml:space="preserve"> </w:t>
      </w:r>
      <w:hyperlink r:id="rId4" w:history="1">
        <w:r w:rsidRPr="005B6A81">
          <w:rPr>
            <w:rStyle w:val="Hyperlink"/>
            <w:sz w:val="20"/>
          </w:rPr>
          <w:t>https://www.legislation.gov.uk/ukpga/1968/75/section/2</w:t>
        </w:r>
      </w:hyperlink>
      <w:r>
        <w:rPr>
          <w:sz w:val="20"/>
          <w:lang w:val="en-GB"/>
        </w:rPr>
        <w:t xml:space="preserve"> </w:t>
      </w:r>
    </w:p>
  </w:footnote>
  <w:footnote w:id="6">
    <w:p w14:paraId="34E4F1C9" w14:textId="745DD462" w:rsidR="00475F45" w:rsidRPr="00D653F9" w:rsidRDefault="00475F45" w:rsidP="00475F45">
      <w:pPr>
        <w:pStyle w:val="FootnoteText"/>
        <w:keepLines/>
        <w:widowControl w:val="0"/>
        <w:spacing w:before="120" w:line="276" w:lineRule="auto"/>
        <w:rPr>
          <w:rFonts w:cs="Arial"/>
          <w:sz w:val="20"/>
          <w:lang w:val="en-GB"/>
        </w:rPr>
      </w:pPr>
      <w:r w:rsidRPr="00927FB4">
        <w:rPr>
          <w:rStyle w:val="FootnoteReference"/>
          <w:rFonts w:cs="Arial"/>
          <w:sz w:val="20"/>
          <w:lang w:val="en-GB"/>
        </w:rPr>
        <w:footnoteRef/>
      </w:r>
      <w:r w:rsidRPr="00927FB4">
        <w:rPr>
          <w:rStyle w:val="FootnoteReference"/>
          <w:rFonts w:cs="Arial"/>
          <w:sz w:val="20"/>
          <w:lang w:val="en-GB"/>
        </w:rPr>
        <w:t xml:space="preserve"> </w:t>
      </w:r>
      <w:r w:rsidRPr="00927FB4">
        <w:rPr>
          <w:rStyle w:val="Hyperlink"/>
          <w:rFonts w:cs="Arial"/>
          <w:color w:val="auto"/>
          <w:sz w:val="20"/>
          <w:lang w:val="en-GB"/>
        </w:rPr>
        <w:t>O</w:t>
      </w:r>
      <w:r w:rsidRPr="00927FB4">
        <w:rPr>
          <w:rStyle w:val="Hyperlink"/>
          <w:rFonts w:cs="Arial"/>
          <w:color w:val="auto"/>
          <w:sz w:val="20"/>
        </w:rPr>
        <w:t>GA,</w:t>
      </w:r>
      <w:r w:rsidRPr="00927FB4">
        <w:rPr>
          <w:rFonts w:cs="Arial"/>
          <w:sz w:val="20"/>
        </w:rPr>
        <w:t xml:space="preserve"> </w:t>
      </w:r>
      <w:r w:rsidRPr="00927FB4">
        <w:rPr>
          <w:rStyle w:val="Hyperlink"/>
          <w:rFonts w:cs="Arial"/>
          <w:color w:val="auto"/>
          <w:sz w:val="20"/>
        </w:rPr>
        <w:t>Annual Report and Accounts 201</w:t>
      </w:r>
      <w:r w:rsidR="00D653F9">
        <w:rPr>
          <w:rStyle w:val="Hyperlink"/>
          <w:rFonts w:cs="Arial"/>
          <w:color w:val="auto"/>
          <w:sz w:val="20"/>
          <w:lang w:val="en-GB"/>
        </w:rPr>
        <w:t>9</w:t>
      </w:r>
      <w:r w:rsidRPr="00927FB4">
        <w:rPr>
          <w:rStyle w:val="Hyperlink"/>
          <w:rFonts w:cs="Arial"/>
          <w:color w:val="auto"/>
          <w:sz w:val="20"/>
        </w:rPr>
        <w:t>–</w:t>
      </w:r>
      <w:r w:rsidR="00D653F9">
        <w:rPr>
          <w:rStyle w:val="Hyperlink"/>
          <w:rFonts w:cs="Arial"/>
          <w:color w:val="auto"/>
          <w:sz w:val="20"/>
          <w:lang w:val="en-GB"/>
        </w:rPr>
        <w:t>20</w:t>
      </w:r>
      <w:r w:rsidRPr="00927FB4">
        <w:rPr>
          <w:rStyle w:val="Hyperlink"/>
          <w:rFonts w:cs="Arial"/>
          <w:color w:val="auto"/>
          <w:sz w:val="20"/>
        </w:rPr>
        <w:t xml:space="preserve"> </w:t>
      </w:r>
      <w:hyperlink r:id="rId5" w:history="1">
        <w:r w:rsidR="00D653F9" w:rsidRPr="005B6A81">
          <w:rPr>
            <w:rStyle w:val="Hyperlink"/>
            <w:rFonts w:cs="Arial"/>
            <w:sz w:val="20"/>
          </w:rPr>
          <w:t>https://www.ogauthority.co.uk/about-us/leadership-governance/annual-report-and-accounts/</w:t>
        </w:r>
      </w:hyperlink>
      <w:r w:rsidR="00D653F9">
        <w:rPr>
          <w:rStyle w:val="Hyperlink"/>
          <w:rFonts w:cs="Arial"/>
          <w:color w:val="auto"/>
          <w:sz w:val="20"/>
          <w:lang w:val="en-GB"/>
        </w:rPr>
        <w:t xml:space="preserve"> </w:t>
      </w:r>
    </w:p>
  </w:footnote>
  <w:footnote w:id="7">
    <w:p w14:paraId="4E1C84F5" w14:textId="2C00F0F3" w:rsidR="00475F45" w:rsidRPr="00D653F9" w:rsidRDefault="00475F45" w:rsidP="00475F45">
      <w:pPr>
        <w:pStyle w:val="Default"/>
        <w:keepLines/>
        <w:widowControl w:val="0"/>
        <w:spacing w:before="120" w:line="276" w:lineRule="auto"/>
        <w:rPr>
          <w:rStyle w:val="Hyperlink"/>
          <w:rFonts w:ascii="Arial" w:hAnsi="Arial" w:cs="Arial"/>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DECC, Funding the Oil and Gas Authority, </w:t>
      </w:r>
      <w:hyperlink r:id="rId6" w:history="1">
        <w:r w:rsidRPr="00927FB4">
          <w:rPr>
            <w:rStyle w:val="Hyperlink"/>
            <w:rFonts w:ascii="Arial" w:hAnsi="Arial" w:cs="Arial"/>
            <w:sz w:val="20"/>
            <w:szCs w:val="20"/>
          </w:rPr>
          <w:t>https://www.gov.uk/government/consultations/funding-the-oil-and-gas-authority-consultation-on-levy-design</w:t>
        </w:r>
      </w:hyperlink>
      <w:r w:rsidRPr="00927FB4">
        <w:rPr>
          <w:rStyle w:val="Hyperlink"/>
          <w:rFonts w:ascii="Arial" w:hAnsi="Arial" w:cs="Arial"/>
          <w:sz w:val="20"/>
          <w:szCs w:val="20"/>
        </w:rPr>
        <w:t>;</w:t>
      </w:r>
      <w:r w:rsidRPr="00927FB4">
        <w:rPr>
          <w:rStyle w:val="Hyperlink"/>
          <w:rFonts w:cs="Arial"/>
          <w:color w:val="auto"/>
          <w:sz w:val="20"/>
          <w:szCs w:val="20"/>
        </w:rPr>
        <w:t xml:space="preserve"> </w:t>
      </w:r>
      <w:r w:rsidRPr="00927FB4">
        <w:rPr>
          <w:rStyle w:val="Hyperlink"/>
          <w:rFonts w:ascii="Arial" w:hAnsi="Arial" w:cs="Arial"/>
          <w:color w:val="auto"/>
          <w:sz w:val="20"/>
          <w:szCs w:val="20"/>
        </w:rPr>
        <w:t>OGA,</w:t>
      </w:r>
      <w:r w:rsidRPr="00927FB4">
        <w:rPr>
          <w:rFonts w:ascii="Arial" w:hAnsi="Arial" w:cs="Arial"/>
          <w:sz w:val="20"/>
          <w:szCs w:val="20"/>
        </w:rPr>
        <w:t xml:space="preserve"> </w:t>
      </w:r>
      <w:r w:rsidRPr="00927FB4">
        <w:rPr>
          <w:rStyle w:val="Hyperlink"/>
          <w:rFonts w:ascii="Arial" w:hAnsi="Arial" w:cs="Arial"/>
          <w:color w:val="auto"/>
          <w:sz w:val="20"/>
          <w:szCs w:val="20"/>
        </w:rPr>
        <w:t>Annual Report and Accounts 201</w:t>
      </w:r>
      <w:r w:rsidR="00D653F9">
        <w:rPr>
          <w:rStyle w:val="Hyperlink"/>
          <w:rFonts w:ascii="Arial" w:hAnsi="Arial" w:cs="Arial"/>
          <w:color w:val="auto"/>
          <w:sz w:val="20"/>
          <w:szCs w:val="20"/>
        </w:rPr>
        <w:t>9</w:t>
      </w:r>
      <w:r w:rsidRPr="00927FB4">
        <w:rPr>
          <w:rStyle w:val="Hyperlink"/>
          <w:rFonts w:ascii="Arial" w:hAnsi="Arial" w:cs="Arial"/>
          <w:color w:val="auto"/>
          <w:sz w:val="20"/>
          <w:szCs w:val="20"/>
        </w:rPr>
        <w:t>–</w:t>
      </w:r>
      <w:r w:rsidR="00D653F9">
        <w:rPr>
          <w:rStyle w:val="Hyperlink"/>
          <w:rFonts w:ascii="Arial" w:hAnsi="Arial" w:cs="Arial"/>
          <w:color w:val="auto"/>
          <w:sz w:val="20"/>
          <w:szCs w:val="20"/>
        </w:rPr>
        <w:t>20</w:t>
      </w:r>
      <w:r w:rsidRPr="00927FB4">
        <w:rPr>
          <w:rStyle w:val="Hyperlink"/>
          <w:rFonts w:ascii="Arial" w:hAnsi="Arial" w:cs="Arial"/>
          <w:color w:val="auto"/>
          <w:sz w:val="20"/>
          <w:szCs w:val="20"/>
        </w:rPr>
        <w:t>,</w:t>
      </w:r>
      <w:r w:rsidRPr="00927FB4">
        <w:rPr>
          <w:rStyle w:val="Hyperlink"/>
          <w:rFonts w:cs="Arial"/>
          <w:color w:val="auto"/>
          <w:sz w:val="20"/>
          <w:szCs w:val="20"/>
        </w:rPr>
        <w:t xml:space="preserve"> </w:t>
      </w:r>
      <w:r w:rsidR="00D653F9" w:rsidRPr="00D653F9">
        <w:rPr>
          <w:rStyle w:val="Hyperlink"/>
          <w:rFonts w:ascii="Arial" w:hAnsi="Arial" w:cs="Arial"/>
          <w:color w:val="auto"/>
          <w:sz w:val="20"/>
          <w:szCs w:val="20"/>
        </w:rPr>
        <w:t>https://www.ogauthority.co.uk/about-us/leadership-governance/annual-report-and-accounts/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D6A85" w14:textId="711E1487" w:rsidR="00B57EF1" w:rsidRPr="006B0A14" w:rsidRDefault="00B57EF1" w:rsidP="006B0A14">
    <w:pPr>
      <w:pBdr>
        <w:bottom w:val="single" w:sz="4" w:space="1" w:color="0070C0"/>
      </w:pBdr>
      <w:jc w:val="right"/>
      <w:rPr>
        <w:bCs/>
        <w:i/>
        <w:iCs/>
        <w:color w:val="0070C0"/>
        <w:sz w:val="16"/>
      </w:rPr>
    </w:pPr>
    <w:r>
      <w:rPr>
        <w:bCs/>
        <w:i/>
        <w:iCs/>
        <w:color w:val="0070C0"/>
        <w:sz w:val="16"/>
      </w:rPr>
      <w:t xml:space="preserve">UK EITI report for </w:t>
    </w:r>
    <w:r w:rsidR="001F78EA">
      <w:rPr>
        <w:bCs/>
        <w:i/>
        <w:iCs/>
        <w:color w:val="0070C0"/>
        <w:sz w:val="16"/>
      </w:rPr>
      <w:t>201</w:t>
    </w:r>
    <w:r w:rsidR="00E54448">
      <w:rPr>
        <w:bCs/>
        <w:i/>
        <w:iCs/>
        <w:color w:val="0070C0"/>
        <w:sz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37A4"/>
    <w:multiLevelType w:val="multilevel"/>
    <w:tmpl w:val="040C001F"/>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lvlText w:val="%1."/>
        <w:lvlJc w:val="left"/>
        <w:pPr>
          <w:ind w:left="360" w:hanging="360"/>
        </w:pPr>
        <w:rPr>
          <w:rFonts w:ascii="Arial" w:hAnsi="Arial"/>
          <w:color w:val="auto"/>
          <w:sz w:val="24"/>
        </w:rPr>
      </w:lvl>
    </w:lvlOverride>
    <w:lvlOverride w:ilvl="1">
      <w:lvl w:ilvl="1">
        <w:start w:val="1"/>
        <w:numFmt w:val="decimal"/>
        <w:lvlText w:val="%1.%2."/>
        <w:lvlJc w:val="left"/>
        <w:pPr>
          <w:ind w:left="9080"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45"/>
    <w:rsid w:val="00027F21"/>
    <w:rsid w:val="00036A02"/>
    <w:rsid w:val="000A4FA3"/>
    <w:rsid w:val="000A6ED2"/>
    <w:rsid w:val="000B677E"/>
    <w:rsid w:val="000F2453"/>
    <w:rsid w:val="001317BF"/>
    <w:rsid w:val="00141A5B"/>
    <w:rsid w:val="0015313A"/>
    <w:rsid w:val="00165487"/>
    <w:rsid w:val="001B68F6"/>
    <w:rsid w:val="001B7125"/>
    <w:rsid w:val="001B7E70"/>
    <w:rsid w:val="001E113A"/>
    <w:rsid w:val="001F78EA"/>
    <w:rsid w:val="00211841"/>
    <w:rsid w:val="00217C3E"/>
    <w:rsid w:val="0024335D"/>
    <w:rsid w:val="002502D8"/>
    <w:rsid w:val="002738A8"/>
    <w:rsid w:val="002A5CCF"/>
    <w:rsid w:val="002D163D"/>
    <w:rsid w:val="00341BE8"/>
    <w:rsid w:val="00366081"/>
    <w:rsid w:val="003C63AD"/>
    <w:rsid w:val="003E2001"/>
    <w:rsid w:val="00403977"/>
    <w:rsid w:val="00462DC6"/>
    <w:rsid w:val="00462DCC"/>
    <w:rsid w:val="004663C7"/>
    <w:rsid w:val="00475F45"/>
    <w:rsid w:val="004767DE"/>
    <w:rsid w:val="004937D7"/>
    <w:rsid w:val="004A21E3"/>
    <w:rsid w:val="004C660B"/>
    <w:rsid w:val="00537F70"/>
    <w:rsid w:val="00541D09"/>
    <w:rsid w:val="00554A16"/>
    <w:rsid w:val="005D111A"/>
    <w:rsid w:val="005F583A"/>
    <w:rsid w:val="006219CE"/>
    <w:rsid w:val="00692900"/>
    <w:rsid w:val="006B0A14"/>
    <w:rsid w:val="00733553"/>
    <w:rsid w:val="00760C90"/>
    <w:rsid w:val="007C00E3"/>
    <w:rsid w:val="0080420A"/>
    <w:rsid w:val="00826399"/>
    <w:rsid w:val="00842119"/>
    <w:rsid w:val="008B6698"/>
    <w:rsid w:val="008C4A03"/>
    <w:rsid w:val="008E26A1"/>
    <w:rsid w:val="009157C4"/>
    <w:rsid w:val="00927FB4"/>
    <w:rsid w:val="00934E77"/>
    <w:rsid w:val="009828CB"/>
    <w:rsid w:val="009B75ED"/>
    <w:rsid w:val="009C1CBC"/>
    <w:rsid w:val="00A2289F"/>
    <w:rsid w:val="00A65811"/>
    <w:rsid w:val="00A951EE"/>
    <w:rsid w:val="00AC25C3"/>
    <w:rsid w:val="00AE64C8"/>
    <w:rsid w:val="00B1291B"/>
    <w:rsid w:val="00B155A4"/>
    <w:rsid w:val="00B4435D"/>
    <w:rsid w:val="00B57EF1"/>
    <w:rsid w:val="00B73F61"/>
    <w:rsid w:val="00B745DB"/>
    <w:rsid w:val="00BA2098"/>
    <w:rsid w:val="00BA2DA1"/>
    <w:rsid w:val="00C1198F"/>
    <w:rsid w:val="00C31AA6"/>
    <w:rsid w:val="00C5481A"/>
    <w:rsid w:val="00C94DAA"/>
    <w:rsid w:val="00CA544F"/>
    <w:rsid w:val="00CB719F"/>
    <w:rsid w:val="00CC3B98"/>
    <w:rsid w:val="00D653F9"/>
    <w:rsid w:val="00D76907"/>
    <w:rsid w:val="00D9209D"/>
    <w:rsid w:val="00D934B0"/>
    <w:rsid w:val="00DB08F9"/>
    <w:rsid w:val="00DF426A"/>
    <w:rsid w:val="00E279FE"/>
    <w:rsid w:val="00E51273"/>
    <w:rsid w:val="00E54448"/>
    <w:rsid w:val="00E80D85"/>
    <w:rsid w:val="00EA62D7"/>
    <w:rsid w:val="00EE380C"/>
    <w:rsid w:val="00EE6415"/>
    <w:rsid w:val="00F224F9"/>
    <w:rsid w:val="00F419E4"/>
    <w:rsid w:val="00F76AD6"/>
    <w:rsid w:val="00F92DB0"/>
    <w:rsid w:val="00FB1665"/>
    <w:rsid w:val="00FB5EE1"/>
    <w:rsid w:val="00FD7246"/>
    <w:rsid w:val="00FF58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1F15B"/>
  <w15:chartTrackingRefBased/>
  <w15:docId w15:val="{7D69CA79-22E9-4216-90F7-BD8CA335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45"/>
    <w:pPr>
      <w:spacing w:after="0" w:line="240" w:lineRule="auto"/>
    </w:pPr>
    <w:rPr>
      <w:rFonts w:ascii="Arial" w:hAnsi="Arial" w:cs="Arial"/>
      <w:sz w:val="24"/>
      <w:szCs w:val="16"/>
    </w:rPr>
  </w:style>
  <w:style w:type="paragraph" w:styleId="Heading1">
    <w:name w:val="heading 1"/>
    <w:basedOn w:val="Normal"/>
    <w:next w:val="Normal"/>
    <w:link w:val="Heading1Char"/>
    <w:uiPriority w:val="9"/>
    <w:qFormat/>
    <w:rsid w:val="00CB71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75F45"/>
    <w:pPr>
      <w:keepNext/>
      <w:keepLines/>
      <w:shd w:val="clear" w:color="auto" w:fill="D9D9D9"/>
      <w:tabs>
        <w:tab w:val="left" w:pos="567"/>
      </w:tabs>
      <w:outlineLvl w:val="1"/>
    </w:pPr>
    <w:rPr>
      <w:rFonts w:eastAsia="Times New Roman" w:cs="Times New Roman"/>
      <w:b/>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75F45"/>
    <w:rPr>
      <w:rFonts w:ascii="Arial" w:eastAsia="Times New Roman" w:hAnsi="Arial" w:cs="Times New Roman"/>
      <w:b/>
      <w:color w:val="000000"/>
      <w:sz w:val="24"/>
      <w:szCs w:val="26"/>
      <w:shd w:val="clear" w:color="auto" w:fill="D9D9D9"/>
    </w:rPr>
  </w:style>
  <w:style w:type="character" w:styleId="Hyperlink">
    <w:name w:val="Hyperlink"/>
    <w:uiPriority w:val="99"/>
    <w:unhideWhenUsed/>
    <w:rsid w:val="00475F45"/>
    <w:rPr>
      <w:color w:val="0563C1"/>
      <w:u w:val="singl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semiHidden/>
    <w:locked/>
    <w:rsid w:val="00475F45"/>
    <w:rPr>
      <w:rFonts w:ascii="Arial" w:hAnsi="Arial" w:cs="Times New Roman"/>
      <w:color w:val="000000"/>
      <w:sz w:val="16"/>
      <w:szCs w:val="20"/>
      <w:lang w:val="x-none" w:eastAsia="x-none"/>
    </w:rPr>
  </w:style>
  <w:style w:type="paragraph" w:styleId="FootnoteText">
    <w:name w:val="footnote text"/>
    <w:aliases w:val="FOOTNOTES,fn,single space,footnote text,Char Char Char,Char Char"/>
    <w:basedOn w:val="Normal"/>
    <w:link w:val="FootnoteTextChar"/>
    <w:uiPriority w:val="99"/>
    <w:semiHidden/>
    <w:unhideWhenUsed/>
    <w:rsid w:val="00475F45"/>
    <w:rPr>
      <w:rFonts w:cs="Times New Roman"/>
      <w:color w:val="000000"/>
      <w:sz w:val="16"/>
      <w:szCs w:val="20"/>
      <w:lang w:val="x-none" w:eastAsia="x-none"/>
    </w:rPr>
  </w:style>
  <w:style w:type="character" w:customStyle="1" w:styleId="FootnoteTextChar1">
    <w:name w:val="Footnote Text Char1"/>
    <w:basedOn w:val="DefaultParagraphFont"/>
    <w:uiPriority w:val="99"/>
    <w:semiHidden/>
    <w:rsid w:val="00475F45"/>
    <w:rPr>
      <w:rFonts w:ascii="Arial" w:hAnsi="Arial" w:cs="Arial"/>
      <w:sz w:val="20"/>
      <w:szCs w:val="20"/>
    </w:rPr>
  </w:style>
  <w:style w:type="paragraph" w:styleId="CommentText">
    <w:name w:val="annotation text"/>
    <w:basedOn w:val="Normal"/>
    <w:link w:val="CommentTextChar"/>
    <w:uiPriority w:val="99"/>
    <w:semiHidden/>
    <w:unhideWhenUsed/>
    <w:rsid w:val="00475F45"/>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semiHidden/>
    <w:rsid w:val="00475F45"/>
    <w:rPr>
      <w:rFonts w:ascii="Calibri" w:hAnsi="Calibri" w:cs="Times New Roman"/>
      <w:sz w:val="24"/>
      <w:szCs w:val="20"/>
      <w:lang w:val="x-none" w:eastAsia="x-none"/>
    </w:rPr>
  </w:style>
  <w:style w:type="paragraph" w:customStyle="1" w:styleId="Default">
    <w:name w:val="Default"/>
    <w:rsid w:val="00475F45"/>
    <w:pPr>
      <w:autoSpaceDE w:val="0"/>
      <w:autoSpaceDN w:val="0"/>
      <w:adjustRightInd w:val="0"/>
      <w:spacing w:after="0" w:line="240" w:lineRule="auto"/>
    </w:pPr>
    <w:rPr>
      <w:rFonts w:ascii="Univers 55" w:eastAsia="Calibri" w:hAnsi="Univers 55" w:cs="Univers 55"/>
      <w:color w:val="000000"/>
      <w:sz w:val="24"/>
      <w:szCs w:val="24"/>
    </w:rPr>
  </w:style>
  <w:style w:type="character" w:styleId="FootnoteReference">
    <w:name w:val="footnote reference"/>
    <w:aliases w:val="Error-Fußnotenzeichen5,Error-Fußnotenzeichen6,Error-Fußnotenzeichen3"/>
    <w:uiPriority w:val="99"/>
    <w:semiHidden/>
    <w:unhideWhenUsed/>
    <w:rsid w:val="00475F45"/>
    <w:rPr>
      <w:vertAlign w:val="superscript"/>
    </w:rPr>
  </w:style>
  <w:style w:type="character" w:styleId="CommentReference">
    <w:name w:val="annotation reference"/>
    <w:uiPriority w:val="99"/>
    <w:semiHidden/>
    <w:unhideWhenUsed/>
    <w:rsid w:val="00475F45"/>
    <w:rPr>
      <w:sz w:val="16"/>
      <w:szCs w:val="16"/>
    </w:rPr>
  </w:style>
  <w:style w:type="paragraph" w:styleId="BalloonText">
    <w:name w:val="Balloon Text"/>
    <w:basedOn w:val="Normal"/>
    <w:link w:val="BalloonTextChar"/>
    <w:uiPriority w:val="99"/>
    <w:semiHidden/>
    <w:unhideWhenUsed/>
    <w:rsid w:val="00475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F45"/>
    <w:rPr>
      <w:rFonts w:ascii="Segoe UI" w:hAnsi="Segoe UI" w:cs="Segoe UI"/>
      <w:sz w:val="18"/>
      <w:szCs w:val="18"/>
    </w:rPr>
  </w:style>
  <w:style w:type="character" w:customStyle="1" w:styleId="Heading1Char">
    <w:name w:val="Heading 1 Char"/>
    <w:basedOn w:val="DefaultParagraphFont"/>
    <w:link w:val="Heading1"/>
    <w:uiPriority w:val="9"/>
    <w:rsid w:val="00CB719F"/>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57EF1"/>
    <w:rPr>
      <w:rFonts w:ascii="Arial" w:hAnsi="Arial" w:cs="Arial"/>
      <w:b/>
      <w:bCs/>
      <w:sz w:val="20"/>
      <w:lang w:val="en-GB" w:eastAsia="en-US"/>
    </w:rPr>
  </w:style>
  <w:style w:type="character" w:customStyle="1" w:styleId="CommentSubjectChar">
    <w:name w:val="Comment Subject Char"/>
    <w:basedOn w:val="CommentTextChar"/>
    <w:link w:val="CommentSubject"/>
    <w:uiPriority w:val="99"/>
    <w:semiHidden/>
    <w:rsid w:val="00B57EF1"/>
    <w:rPr>
      <w:rFonts w:ascii="Arial" w:hAnsi="Arial" w:cs="Arial"/>
      <w:b/>
      <w:bCs/>
      <w:sz w:val="20"/>
      <w:szCs w:val="20"/>
      <w:lang w:val="x-none" w:eastAsia="x-none"/>
    </w:rPr>
  </w:style>
  <w:style w:type="paragraph" w:styleId="Header">
    <w:name w:val="header"/>
    <w:basedOn w:val="Normal"/>
    <w:link w:val="HeaderChar"/>
    <w:uiPriority w:val="99"/>
    <w:unhideWhenUsed/>
    <w:rsid w:val="00B57EF1"/>
    <w:pPr>
      <w:tabs>
        <w:tab w:val="center" w:pos="4536"/>
        <w:tab w:val="right" w:pos="9072"/>
      </w:tabs>
    </w:pPr>
  </w:style>
  <w:style w:type="character" w:customStyle="1" w:styleId="HeaderChar">
    <w:name w:val="Header Char"/>
    <w:basedOn w:val="DefaultParagraphFont"/>
    <w:link w:val="Header"/>
    <w:uiPriority w:val="99"/>
    <w:rsid w:val="00B57EF1"/>
    <w:rPr>
      <w:rFonts w:ascii="Arial" w:hAnsi="Arial" w:cs="Arial"/>
      <w:sz w:val="24"/>
      <w:szCs w:val="16"/>
    </w:rPr>
  </w:style>
  <w:style w:type="paragraph" w:styleId="Footer">
    <w:name w:val="footer"/>
    <w:basedOn w:val="Normal"/>
    <w:link w:val="FooterChar"/>
    <w:uiPriority w:val="99"/>
    <w:unhideWhenUsed/>
    <w:rsid w:val="00B57EF1"/>
    <w:pPr>
      <w:tabs>
        <w:tab w:val="center" w:pos="4536"/>
        <w:tab w:val="right" w:pos="9072"/>
      </w:tabs>
    </w:pPr>
  </w:style>
  <w:style w:type="character" w:customStyle="1" w:styleId="FooterChar">
    <w:name w:val="Footer Char"/>
    <w:basedOn w:val="DefaultParagraphFont"/>
    <w:link w:val="Footer"/>
    <w:uiPriority w:val="99"/>
    <w:rsid w:val="00B57EF1"/>
    <w:rPr>
      <w:rFonts w:ascii="Arial" w:hAnsi="Arial" w:cs="Arial"/>
      <w:sz w:val="24"/>
      <w:szCs w:val="16"/>
    </w:rPr>
  </w:style>
  <w:style w:type="character" w:styleId="FollowedHyperlink">
    <w:name w:val="FollowedHyperlink"/>
    <w:basedOn w:val="DefaultParagraphFont"/>
    <w:uiPriority w:val="99"/>
    <w:semiHidden/>
    <w:unhideWhenUsed/>
    <w:rsid w:val="00B4435D"/>
    <w:rPr>
      <w:color w:val="954F72" w:themeColor="followedHyperlink"/>
      <w:u w:val="single"/>
    </w:rPr>
  </w:style>
  <w:style w:type="character" w:styleId="UnresolvedMention">
    <w:name w:val="Unresolved Mention"/>
    <w:basedOn w:val="DefaultParagraphFont"/>
    <w:uiPriority w:val="99"/>
    <w:semiHidden/>
    <w:unhideWhenUsed/>
    <w:rsid w:val="00B4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774630">
      <w:bodyDiv w:val="1"/>
      <w:marLeft w:val="0"/>
      <w:marRight w:val="0"/>
      <w:marTop w:val="0"/>
      <w:marBottom w:val="0"/>
      <w:divBdr>
        <w:top w:val="none" w:sz="0" w:space="0" w:color="auto"/>
        <w:left w:val="none" w:sz="0" w:space="0" w:color="auto"/>
        <w:bottom w:val="none" w:sz="0" w:space="0" w:color="auto"/>
        <w:right w:val="none" w:sz="0" w:space="0" w:color="auto"/>
      </w:divBdr>
    </w:div>
    <w:div w:id="16288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committees/committees-a-z/commons-select/public-accounts-committee/" TargetMode="External"/><Relationship Id="rId2" Type="http://schemas.openxmlformats.org/officeDocument/2006/relationships/hyperlink" Target="https://www.nao.org.uk/" TargetMode="External"/><Relationship Id="rId1" Type="http://schemas.openxmlformats.org/officeDocument/2006/relationships/hyperlink" Target="http://obr.uk/" TargetMode="External"/><Relationship Id="rId6" Type="http://schemas.openxmlformats.org/officeDocument/2006/relationships/hyperlink" Target="https://www.gov.uk/government/consultations/funding-the-oil-and-gas-authority-consultation-on-levy-design" TargetMode="External"/><Relationship Id="rId5" Type="http://schemas.openxmlformats.org/officeDocument/2006/relationships/hyperlink" Target="https://www.ogauthority.co.uk/about-us/leadership-governance/annual-report-and-accounts/" TargetMode="External"/><Relationship Id="rId4" Type="http://schemas.openxmlformats.org/officeDocument/2006/relationships/hyperlink" Target="https://www.legislation.gov.uk/ukpga/1968/75/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e161b0-29ed-4b5f-9407-ee5ab8bd369f">
      <UserInfo>
        <DisplayName>Wallace, Nicola (BEIS)</DisplayName>
        <AccountId>9064</AccountId>
        <AccountType/>
      </UserInfo>
      <UserInfo>
        <DisplayName>Ray, Matthew (Business Frameworks)</DisplayName>
        <AccountId>5836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1" ma:contentTypeDescription="Create a new document." ma:contentTypeScope="" ma:versionID="2d83d0fdec27d48439312ae5a3f2c6c4">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384aab58246821d0499d3509de0948f0"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EED6E-717F-4DCE-A8DE-8F0460682E98}">
  <ds:schemaRefs>
    <ds:schemaRef ds:uri="http://schemas.microsoft.com/office/2006/metadata/properties"/>
    <ds:schemaRef ds:uri="http://schemas.microsoft.com/office/infopath/2007/PartnerControls"/>
    <ds:schemaRef ds:uri="62e161b0-29ed-4b5f-9407-ee5ab8bd369f"/>
  </ds:schemaRefs>
</ds:datastoreItem>
</file>

<file path=customXml/itemProps2.xml><?xml version="1.0" encoding="utf-8"?>
<ds:datastoreItem xmlns:ds="http://schemas.openxmlformats.org/officeDocument/2006/customXml" ds:itemID="{EDF44D51-8582-408F-A69B-D51B237B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29D6C-8FCB-4747-A65E-C989D5723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Links>
    <vt:vector size="42" baseType="variant">
      <vt:variant>
        <vt:i4>5898240</vt:i4>
      </vt:variant>
      <vt:variant>
        <vt:i4>18</vt:i4>
      </vt:variant>
      <vt:variant>
        <vt:i4>0</vt:i4>
      </vt:variant>
      <vt:variant>
        <vt:i4>5</vt:i4>
      </vt:variant>
      <vt:variant>
        <vt:lpwstr>https://www.ogauthority.co.uk/news-publications/publications/2019/the-oil-and-gas-authority-annual-report-and-accounts-20182019/</vt:lpwstr>
      </vt:variant>
      <vt:variant>
        <vt:lpwstr/>
      </vt:variant>
      <vt:variant>
        <vt:i4>4587546</vt:i4>
      </vt:variant>
      <vt:variant>
        <vt:i4>15</vt:i4>
      </vt:variant>
      <vt:variant>
        <vt:i4>0</vt:i4>
      </vt:variant>
      <vt:variant>
        <vt:i4>5</vt:i4>
      </vt:variant>
      <vt:variant>
        <vt:lpwstr>https://www.gov.uk/government/consultations/funding-the-oil-and-gas-authority-consultation-on-levy-design</vt:lpwstr>
      </vt:variant>
      <vt:variant>
        <vt:lpwstr/>
      </vt:variant>
      <vt:variant>
        <vt:i4>5898240</vt:i4>
      </vt:variant>
      <vt:variant>
        <vt:i4>12</vt:i4>
      </vt:variant>
      <vt:variant>
        <vt:i4>0</vt:i4>
      </vt:variant>
      <vt:variant>
        <vt:i4>5</vt:i4>
      </vt:variant>
      <vt:variant>
        <vt:lpwstr>https://www.ogauthority.co.uk/news-publications/publications/2019/the-oil-and-gas-authority-annual-report-and-accounts-20182019/</vt:lpwstr>
      </vt:variant>
      <vt:variant>
        <vt:lpwstr/>
      </vt:variant>
      <vt:variant>
        <vt:i4>1572953</vt:i4>
      </vt:variant>
      <vt:variant>
        <vt:i4>9</vt:i4>
      </vt:variant>
      <vt:variant>
        <vt:i4>0</vt:i4>
      </vt:variant>
      <vt:variant>
        <vt:i4>5</vt:i4>
      </vt:variant>
      <vt:variant>
        <vt:lpwstr>http://www.parliament.uk/business/committees/committees-a-z/commons-select/public-accounts-committee/</vt:lpwstr>
      </vt:variant>
      <vt:variant>
        <vt:lpwstr/>
      </vt:variant>
      <vt:variant>
        <vt:i4>3145788</vt:i4>
      </vt:variant>
      <vt:variant>
        <vt:i4>6</vt:i4>
      </vt:variant>
      <vt:variant>
        <vt:i4>0</vt:i4>
      </vt:variant>
      <vt:variant>
        <vt:i4>5</vt:i4>
      </vt:variant>
      <vt:variant>
        <vt:lpwstr>https://www.nao.org.uk/</vt:lpwstr>
      </vt:variant>
      <vt:variant>
        <vt:lpwstr/>
      </vt:variant>
      <vt:variant>
        <vt:i4>7077934</vt:i4>
      </vt:variant>
      <vt:variant>
        <vt:i4>3</vt:i4>
      </vt:variant>
      <vt:variant>
        <vt:i4>0</vt:i4>
      </vt:variant>
      <vt:variant>
        <vt:i4>5</vt:i4>
      </vt:variant>
      <vt:variant>
        <vt:lpwstr>http://obr.uk/</vt:lpwstr>
      </vt:variant>
      <vt:variant>
        <vt:lpwstr/>
      </vt:variant>
      <vt:variant>
        <vt:i4>4849739</vt:i4>
      </vt:variant>
      <vt:variant>
        <vt:i4>0</vt:i4>
      </vt:variant>
      <vt:variant>
        <vt:i4>0</vt:i4>
      </vt:variant>
      <vt:variant>
        <vt:i4>5</vt:i4>
      </vt:variant>
      <vt:variant>
        <vt:lpwstr>https://www.gov.uk/government/topical-events/budget-2018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Nash</dc:creator>
  <cp:keywords/>
  <dc:description/>
  <cp:lastModifiedBy>Nash, Michael (Business Frameworks)</cp:lastModifiedBy>
  <cp:revision>4</cp:revision>
  <cp:lastPrinted>2019-11-11T09:05:00Z</cp:lastPrinted>
  <dcterms:created xsi:type="dcterms:W3CDTF">2020-11-25T14:11:00Z</dcterms:created>
  <dcterms:modified xsi:type="dcterms:W3CDTF">2020-11-26T13:00:00Z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2019-09-24T08:02:32Z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d3e37c8c-624c-4e11-8633-0000f59b37db</vt:lpwstr>
  </property>
  <property fmtid="{D5CDD505-2E9C-101B-9397-08002B2CF9AE}" pid="8" name="MSIP_Label_ba62f585-b40f-4ab9-bafe-39150f03d124_ContentBits">
    <vt:lpwstr>0</vt:lpwstr>
  </property>
  <property fmtid="{D5CDD505-2E9C-101B-9397-08002B2CF9AE}" pid="9" name="ContentTypeId">
    <vt:lpwstr>0x0101002F90C4493E99B54591FF033CB29A0A1F</vt:lpwstr>
  </property>
  <property fmtid="{D5CDD505-2E9C-101B-9397-08002B2CF9AE}" pid="10" name="Business Unit">
    <vt:lpwstr>91;#Company Law, Transparency and Tax|f73a51f8-bfcd-4e68-a033-6f422088fddd</vt:lpwstr>
  </property>
  <property fmtid="{D5CDD505-2E9C-101B-9397-08002B2CF9AE}" pid="11" name="_dlc_DocIdItemGuid">
    <vt:lpwstr>4746162d-23a5-46c4-b89e-13d445ea5c86</vt:lpwstr>
  </property>
</Properties>
</file>