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4CDEA" w14:textId="09C77B0F" w:rsidR="00243255" w:rsidRPr="000E1A89" w:rsidRDefault="00243255" w:rsidP="005A15CE">
      <w:pPr>
        <w:pStyle w:val="Heading1"/>
        <w:keepNext w:val="0"/>
        <w:keepLines w:val="0"/>
        <w:pageBreakBefore/>
        <w:numPr>
          <w:ilvl w:val="0"/>
          <w:numId w:val="42"/>
        </w:numPr>
        <w:shd w:val="clear" w:color="auto" w:fill="1F4E79"/>
        <w:tabs>
          <w:tab w:val="clear" w:pos="567"/>
        </w:tabs>
        <w:spacing w:line="276" w:lineRule="auto"/>
        <w:ind w:left="567" w:hanging="567"/>
        <w:rPr>
          <w:rFonts w:cs="Arial"/>
          <w:szCs w:val="24"/>
        </w:rPr>
      </w:pPr>
      <w:bookmarkStart w:id="0" w:name="_Toc513063205"/>
      <w:bookmarkStart w:id="1" w:name="_GoBack"/>
      <w:bookmarkEnd w:id="1"/>
      <w:r w:rsidRPr="005A15CE">
        <w:rPr>
          <w:rFonts w:cs="Arial"/>
          <w:szCs w:val="24"/>
          <w:lang w:val="en-GB"/>
        </w:rPr>
        <w:t>Extractive Industries</w:t>
      </w:r>
      <w:bookmarkEnd w:id="0"/>
      <w:r w:rsidR="00711CD1">
        <w:rPr>
          <w:rFonts w:cs="Arial"/>
          <w:szCs w:val="24"/>
          <w:lang w:val="en-GB"/>
        </w:rPr>
        <w:t xml:space="preserve"> IN THE UK</w:t>
      </w:r>
    </w:p>
    <w:p w14:paraId="1D7277CD" w14:textId="77777777" w:rsidR="00AF40F6" w:rsidRDefault="00AF40F6" w:rsidP="005A15CE">
      <w:pPr>
        <w:rPr>
          <w:szCs w:val="24"/>
        </w:rPr>
      </w:pPr>
    </w:p>
    <w:p w14:paraId="29B54A75" w14:textId="4D98A04E" w:rsidR="007D523B" w:rsidRPr="00DA3018" w:rsidRDefault="007D523B" w:rsidP="007D523B">
      <w:pPr>
        <w:spacing w:after="120" w:line="276" w:lineRule="auto"/>
      </w:pPr>
      <w:r w:rsidRPr="00DA3018">
        <w:t>The extractive industries comprise mining and quarrying, including oil and gas production. The sector has made a sizeable contribution to the UK economy for many years and remains an important sector, both directly and by supporting substantial added value in downstream industries and related supply chains. By far the largest economic contribution comes from oil and gas production</w:t>
      </w:r>
      <w:r>
        <w:t xml:space="preserve">. </w:t>
      </w:r>
    </w:p>
    <w:p w14:paraId="2AF6288C" w14:textId="03ED4275" w:rsidR="007D523B" w:rsidRPr="00DA3018" w:rsidRDefault="007D523B" w:rsidP="007D523B">
      <w:pPr>
        <w:spacing w:after="120" w:line="276" w:lineRule="auto"/>
      </w:pPr>
      <w:r w:rsidRPr="00DA3018">
        <w:t xml:space="preserve">In 2018, </w:t>
      </w:r>
      <w:r>
        <w:t xml:space="preserve">total UK extractive </w:t>
      </w:r>
      <w:r w:rsidRPr="00DA3018">
        <w:t xml:space="preserve">industry gross value added </w:t>
      </w:r>
      <w:r>
        <w:t xml:space="preserve">(GVA) </w:t>
      </w:r>
      <w:r w:rsidR="00972626">
        <w:t xml:space="preserve">is now estimated to have been </w:t>
      </w:r>
      <w:r w:rsidRPr="00DA3018">
        <w:t>£</w:t>
      </w:r>
      <w:r w:rsidR="00972626">
        <w:t>18.0</w:t>
      </w:r>
      <w:r w:rsidRPr="00DA3018">
        <w:t xml:space="preserve"> billion, with oil and gas </w:t>
      </w:r>
      <w:r>
        <w:t xml:space="preserve">production </w:t>
      </w:r>
      <w:r w:rsidRPr="00DA3018">
        <w:t xml:space="preserve">and associated support </w:t>
      </w:r>
      <w:r>
        <w:t xml:space="preserve">service </w:t>
      </w:r>
      <w:r w:rsidRPr="00DA3018">
        <w:t>activities accounting for 90% of the sector’s GV</w:t>
      </w:r>
      <w:r w:rsidRPr="00C76C13">
        <w:t>A.</w:t>
      </w:r>
      <w:r w:rsidR="00ED36BF">
        <w:rPr>
          <w:rStyle w:val="FootnoteReference"/>
        </w:rPr>
        <w:footnoteReference w:id="2"/>
      </w:r>
      <w:r w:rsidRPr="00C76C13">
        <w:t xml:space="preserve"> The oil and gas industry was </w:t>
      </w:r>
      <w:r w:rsidRPr="00DA3018">
        <w:t xml:space="preserve">directly responsible for </w:t>
      </w:r>
      <w:r w:rsidR="009E13B6">
        <w:t>4</w:t>
      </w:r>
      <w:r w:rsidR="009E13B6" w:rsidRPr="00DA3018">
        <w:t>0</w:t>
      </w:r>
      <w:r w:rsidRPr="00DA3018">
        <w:t xml:space="preserve">,000 jobs in 2018, with many more supported in the industry’s wider supply chain. It is estimated that in total </w:t>
      </w:r>
      <w:r w:rsidR="009E13B6" w:rsidRPr="00DA3018">
        <w:t>2</w:t>
      </w:r>
      <w:r w:rsidR="009E13B6">
        <w:t>6</w:t>
      </w:r>
      <w:r w:rsidR="009E13B6" w:rsidRPr="00DA3018">
        <w:t>0</w:t>
      </w:r>
      <w:r w:rsidRPr="00DA3018">
        <w:t>,000 jobs across the UK were supported by the offshore oil and gas industry in 2018.</w:t>
      </w:r>
    </w:p>
    <w:p w14:paraId="407E459F" w14:textId="77777777" w:rsidR="007D523B" w:rsidRPr="00DA3018" w:rsidRDefault="007D523B" w:rsidP="007D523B">
      <w:pPr>
        <w:spacing w:after="120" w:line="276" w:lineRule="auto"/>
      </w:pPr>
      <w:proofErr w:type="gramStart"/>
      <w:r w:rsidRPr="00DA3018">
        <w:t>Construction minerals, principally crushed rock and sand and gravel aggregates,</w:t>
      </w:r>
      <w:proofErr w:type="gramEnd"/>
      <w:r w:rsidRPr="00DA3018">
        <w:t xml:space="preserve"> represent the largest materials flow in the UK. The market for these minerals depends upon the level of UK construction activity and longer-term construction-related demand.</w:t>
      </w:r>
    </w:p>
    <w:p w14:paraId="4741B888" w14:textId="4739557C" w:rsidR="007D523B" w:rsidRPr="00061210" w:rsidRDefault="007D523B" w:rsidP="007D523B">
      <w:pPr>
        <w:spacing w:line="276" w:lineRule="auto"/>
      </w:pPr>
      <w:r w:rsidRPr="00DA3018">
        <w:rPr>
          <w:lang w:val="en"/>
        </w:rPr>
        <w:t>Ahead of collection and publication of information on extractive-related payments to the UK government in 2018, the UK EITI M</w:t>
      </w:r>
      <w:r w:rsidR="00350444">
        <w:rPr>
          <w:lang w:val="en"/>
        </w:rPr>
        <w:t>ulti-</w:t>
      </w:r>
      <w:r w:rsidRPr="00DA3018">
        <w:rPr>
          <w:lang w:val="en"/>
        </w:rPr>
        <w:t>S</w:t>
      </w:r>
      <w:r w:rsidR="00350444">
        <w:rPr>
          <w:lang w:val="en"/>
        </w:rPr>
        <w:t xml:space="preserve">takeholder </w:t>
      </w:r>
      <w:r w:rsidRPr="00DA3018">
        <w:rPr>
          <w:lang w:val="en"/>
        </w:rPr>
        <w:t>G</w:t>
      </w:r>
      <w:r w:rsidR="00350444">
        <w:rPr>
          <w:lang w:val="en"/>
        </w:rPr>
        <w:t>roup (MSG)</w:t>
      </w:r>
      <w:r w:rsidRPr="00DA3018">
        <w:rPr>
          <w:lang w:val="en"/>
        </w:rPr>
        <w:t xml:space="preserve"> decided to exclude payments </w:t>
      </w:r>
      <w:r w:rsidR="00437798">
        <w:rPr>
          <w:lang w:val="en"/>
        </w:rPr>
        <w:t xml:space="preserve">made by </w:t>
      </w:r>
      <w:r w:rsidR="00883EE9">
        <w:rPr>
          <w:lang w:val="en"/>
        </w:rPr>
        <w:t xml:space="preserve">coal mining </w:t>
      </w:r>
      <w:r w:rsidR="002D030F">
        <w:rPr>
          <w:lang w:val="en"/>
        </w:rPr>
        <w:t xml:space="preserve">companies </w:t>
      </w:r>
      <w:r w:rsidRPr="00DA3018">
        <w:rPr>
          <w:lang w:val="en"/>
        </w:rPr>
        <w:t>to the Coal Authority</w:t>
      </w:r>
      <w:r w:rsidR="00A77F66">
        <w:rPr>
          <w:lang w:val="en"/>
        </w:rPr>
        <w:t xml:space="preserve"> from this year’s </w:t>
      </w:r>
      <w:r w:rsidR="004F59BF">
        <w:rPr>
          <w:lang w:val="en"/>
        </w:rPr>
        <w:t>recon</w:t>
      </w:r>
      <w:r w:rsidR="00225D1F">
        <w:rPr>
          <w:lang w:val="en"/>
        </w:rPr>
        <w:t>ciliation</w:t>
      </w:r>
      <w:r w:rsidRPr="00DA3018">
        <w:rPr>
          <w:lang w:val="en"/>
        </w:rPr>
        <w:t>. These payments are no longer material relative to overall government revenues and the MSG believes that their exclusion will not affect the comprehensiveness of UK EITI reporting. The continuing economic contribution of the coal sector is, though, still included in the background information set out below.</w:t>
      </w:r>
    </w:p>
    <w:p w14:paraId="626AA7A0" w14:textId="69B930C0" w:rsidR="001B1356" w:rsidRPr="00595CB3" w:rsidRDefault="003B1C81" w:rsidP="00977B99">
      <w:pPr>
        <w:pStyle w:val="Caption"/>
        <w:keepNext/>
        <w:spacing w:before="0"/>
        <w:jc w:val="left"/>
        <w:outlineLvl w:val="0"/>
        <w:rPr>
          <w:rFonts w:ascii="Arial" w:hAnsi="Arial" w:cs="Arial"/>
          <w:b w:val="0"/>
          <w:bCs/>
          <w:sz w:val="22"/>
          <w:szCs w:val="22"/>
        </w:rPr>
      </w:pPr>
      <w:bookmarkStart w:id="2" w:name="_Toc512547338"/>
      <w:r w:rsidRPr="00595CB3">
        <w:rPr>
          <w:rFonts w:ascii="Arial" w:hAnsi="Arial" w:cs="Arial"/>
          <w:sz w:val="22"/>
          <w:szCs w:val="22"/>
        </w:rPr>
        <w:lastRenderedPageBreak/>
        <w:t xml:space="preserve">Figure </w:t>
      </w:r>
      <w:r w:rsidRPr="00595CB3">
        <w:rPr>
          <w:rFonts w:ascii="Arial" w:hAnsi="Arial" w:cs="Arial"/>
          <w:sz w:val="22"/>
          <w:szCs w:val="22"/>
        </w:rPr>
        <w:fldChar w:fldCharType="begin"/>
      </w:r>
      <w:r w:rsidRPr="00595CB3">
        <w:rPr>
          <w:rFonts w:ascii="Arial" w:hAnsi="Arial" w:cs="Arial"/>
          <w:sz w:val="22"/>
          <w:szCs w:val="22"/>
        </w:rPr>
        <w:instrText xml:space="preserve"> SEQ Figure \* ARABIC </w:instrText>
      </w:r>
      <w:r w:rsidRPr="00595CB3">
        <w:rPr>
          <w:rFonts w:ascii="Arial" w:hAnsi="Arial" w:cs="Arial"/>
          <w:sz w:val="22"/>
          <w:szCs w:val="22"/>
        </w:rPr>
        <w:fldChar w:fldCharType="separate"/>
      </w:r>
      <w:r w:rsidR="009E13B6">
        <w:rPr>
          <w:rFonts w:ascii="Arial" w:hAnsi="Arial" w:cs="Arial"/>
          <w:noProof/>
          <w:sz w:val="22"/>
          <w:szCs w:val="22"/>
        </w:rPr>
        <w:t>1</w:t>
      </w:r>
      <w:r w:rsidRPr="00595CB3">
        <w:rPr>
          <w:rFonts w:ascii="Arial" w:hAnsi="Arial" w:cs="Arial"/>
          <w:sz w:val="22"/>
          <w:szCs w:val="22"/>
        </w:rPr>
        <w:fldChar w:fldCharType="end"/>
      </w:r>
      <w:r w:rsidR="00EF0EF3" w:rsidRPr="00595CB3">
        <w:rPr>
          <w:rFonts w:ascii="Arial" w:hAnsi="Arial" w:cs="Arial"/>
          <w:sz w:val="22"/>
          <w:szCs w:val="22"/>
        </w:rPr>
        <w:t>.</w:t>
      </w:r>
      <w:r w:rsidR="00A83146" w:rsidRPr="00595CB3">
        <w:rPr>
          <w:rFonts w:ascii="Arial" w:hAnsi="Arial" w:cs="Arial"/>
          <w:sz w:val="22"/>
          <w:szCs w:val="22"/>
        </w:rPr>
        <w:t xml:space="preserve"> </w:t>
      </w:r>
      <w:r w:rsidR="001B1356" w:rsidRPr="00595CB3">
        <w:rPr>
          <w:rFonts w:ascii="Arial" w:hAnsi="Arial" w:cs="Arial"/>
          <w:sz w:val="22"/>
          <w:szCs w:val="22"/>
        </w:rPr>
        <w:t>Extractive Industry Gross Value Added (GVA)</w:t>
      </w:r>
      <w:r w:rsidR="001B1356" w:rsidRPr="00595CB3">
        <w:rPr>
          <w:rStyle w:val="FootnoteReference"/>
          <w:rFonts w:ascii="Arial" w:hAnsi="Arial" w:cs="Arial"/>
          <w:b w:val="0"/>
          <w:bCs/>
          <w:sz w:val="22"/>
          <w:szCs w:val="22"/>
        </w:rPr>
        <w:footnoteReference w:id="3"/>
      </w:r>
      <w:bookmarkEnd w:id="2"/>
    </w:p>
    <w:p w14:paraId="28283EC9" w14:textId="0146A1D9" w:rsidR="006F36D3" w:rsidRDefault="00C76C13" w:rsidP="007B2CC2">
      <w:pPr>
        <w:spacing w:after="120" w:line="276" w:lineRule="auto"/>
        <w:outlineLvl w:val="0"/>
        <w:rPr>
          <w:sz w:val="22"/>
          <w:szCs w:val="22"/>
        </w:rPr>
      </w:pPr>
      <w:r w:rsidRPr="00C76C13">
        <w:rPr>
          <w:noProof/>
        </w:rPr>
        <w:drawing>
          <wp:inline distT="0" distB="0" distL="0" distR="0" wp14:anchorId="78CD3D65" wp14:editId="4B67F0BD">
            <wp:extent cx="5731510" cy="3482340"/>
            <wp:effectExtent l="0" t="0" r="2540" b="3810"/>
            <wp:docPr id="2" name="Picture 2" descr="Figure 1. Extractive Industry Gross Value Added. Graph showing in billion pounds (2018 prices) extractive industry Gross Value Added (GVA) for the extraction of crude petroleum and natural gas, mining support service activities, mining of coal and other mining and quarrying for the years 1990-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6878"/>
                    <a:stretch/>
                  </pic:blipFill>
                  <pic:spPr bwMode="auto">
                    <a:xfrm>
                      <a:off x="0" y="0"/>
                      <a:ext cx="5731510" cy="3482340"/>
                    </a:xfrm>
                    <a:prstGeom prst="rect">
                      <a:avLst/>
                    </a:prstGeom>
                    <a:noFill/>
                    <a:ln>
                      <a:noFill/>
                    </a:ln>
                    <a:extLst>
                      <a:ext uri="{53640926-AAD7-44D8-BBD7-CCE9431645EC}">
                        <a14:shadowObscured xmlns:a14="http://schemas.microsoft.com/office/drawing/2010/main"/>
                      </a:ext>
                    </a:extLst>
                  </pic:spPr>
                </pic:pic>
              </a:graphicData>
            </a:graphic>
          </wp:inline>
        </w:drawing>
      </w:r>
    </w:p>
    <w:p w14:paraId="48F15043" w14:textId="281772B4" w:rsidR="00ED16A3" w:rsidRDefault="006C66A2" w:rsidP="007B2CC2">
      <w:pPr>
        <w:spacing w:after="120" w:line="276" w:lineRule="auto"/>
        <w:outlineLvl w:val="0"/>
        <w:rPr>
          <w:sz w:val="18"/>
          <w:szCs w:val="20"/>
        </w:rPr>
      </w:pPr>
      <w:r w:rsidRPr="00595CB3">
        <w:rPr>
          <w:sz w:val="18"/>
          <w:szCs w:val="22"/>
        </w:rPr>
        <w:t xml:space="preserve">Source: </w:t>
      </w:r>
      <w:r w:rsidR="00880C1F" w:rsidRPr="00595CB3">
        <w:rPr>
          <w:sz w:val="18"/>
          <w:szCs w:val="20"/>
        </w:rPr>
        <w:t>ONS, UK GDP(O) low level aggregates, published</w:t>
      </w:r>
      <w:r w:rsidR="00146348" w:rsidRPr="00146348">
        <w:t xml:space="preserve"> </w:t>
      </w:r>
      <w:r w:rsidR="008F67B6" w:rsidRPr="008F67B6">
        <w:rPr>
          <w:sz w:val="20"/>
          <w:szCs w:val="12"/>
        </w:rPr>
        <w:t xml:space="preserve">30 September </w:t>
      </w:r>
      <w:r w:rsidR="00146348" w:rsidRPr="00146348">
        <w:rPr>
          <w:sz w:val="18"/>
          <w:szCs w:val="20"/>
        </w:rPr>
        <w:t>2019</w:t>
      </w:r>
      <w:r w:rsidR="00DC206C">
        <w:rPr>
          <w:sz w:val="18"/>
          <w:szCs w:val="20"/>
        </w:rPr>
        <w:t>.</w:t>
      </w:r>
    </w:p>
    <w:p w14:paraId="52E43152" w14:textId="008611D3" w:rsidR="00CD559D" w:rsidRDefault="00243255" w:rsidP="00ED16A3">
      <w:pPr>
        <w:spacing w:line="276" w:lineRule="auto"/>
        <w:outlineLvl w:val="0"/>
        <w:rPr>
          <w:szCs w:val="24"/>
        </w:rPr>
      </w:pPr>
      <w:r w:rsidRPr="00B62734">
        <w:rPr>
          <w:szCs w:val="24"/>
        </w:rPr>
        <w:t>In some of the summary information below, coal is grouped with oil and gas (</w:t>
      </w:r>
      <w:r w:rsidR="00F37B44">
        <w:rPr>
          <w:szCs w:val="24"/>
        </w:rPr>
        <w:t xml:space="preserve">for example </w:t>
      </w:r>
      <w:r w:rsidRPr="00B62734">
        <w:rPr>
          <w:szCs w:val="24"/>
        </w:rPr>
        <w:t xml:space="preserve">where data are available for fossil fuels but not for other parts of the sector). However, for most of this chapter, oil and gas are treated separately from mining and quarrying, including coal. In addition, it should be noted that the phrase “mining and quarrying” as used in UK national statistics </w:t>
      </w:r>
      <w:r w:rsidR="0090356E" w:rsidRPr="00B62734">
        <w:rPr>
          <w:szCs w:val="24"/>
        </w:rPr>
        <w:t>embra</w:t>
      </w:r>
      <w:r w:rsidR="00695C84">
        <w:rPr>
          <w:szCs w:val="24"/>
        </w:rPr>
        <w:t>ces</w:t>
      </w:r>
      <w:r w:rsidR="0090356E" w:rsidRPr="00B62734">
        <w:rPr>
          <w:szCs w:val="24"/>
        </w:rPr>
        <w:t xml:space="preserve"> </w:t>
      </w:r>
      <w:r w:rsidRPr="00B62734">
        <w:rPr>
          <w:szCs w:val="24"/>
        </w:rPr>
        <w:t>the whole UK extractive sector including oil and gas production as well as coal production. Mining support services are also included in this sector. Some of the data reported below include those activities while other data exclude them.</w:t>
      </w:r>
    </w:p>
    <w:p w14:paraId="1744F5CD" w14:textId="77777777" w:rsidR="00243255" w:rsidRPr="004B7F46" w:rsidRDefault="00243255" w:rsidP="005A15CE">
      <w:pPr>
        <w:pStyle w:val="Heading2"/>
        <w:keepLines w:val="0"/>
        <w:numPr>
          <w:ilvl w:val="1"/>
          <w:numId w:val="16"/>
        </w:numPr>
        <w:shd w:val="clear" w:color="auto" w:fill="BFBFBF"/>
        <w:tabs>
          <w:tab w:val="clear" w:pos="567"/>
        </w:tabs>
        <w:spacing w:before="180" w:after="180" w:line="276" w:lineRule="auto"/>
        <w:ind w:left="567" w:hanging="567"/>
        <w:rPr>
          <w:szCs w:val="24"/>
        </w:rPr>
      </w:pPr>
      <w:r w:rsidRPr="004B7F46">
        <w:rPr>
          <w:rFonts w:cs="Arial"/>
          <w:szCs w:val="24"/>
        </w:rPr>
        <w:t>Value of the sector</w:t>
      </w:r>
    </w:p>
    <w:p w14:paraId="5909A785" w14:textId="78A5B53C" w:rsidR="005B0752" w:rsidRDefault="00243255" w:rsidP="005B0752">
      <w:pPr>
        <w:spacing w:after="180" w:line="276" w:lineRule="auto"/>
        <w:rPr>
          <w:szCs w:val="24"/>
        </w:rPr>
      </w:pPr>
      <w:r w:rsidRPr="00B62734">
        <w:rPr>
          <w:szCs w:val="24"/>
        </w:rPr>
        <w:t>Table</w:t>
      </w:r>
      <w:r w:rsidR="00E372CF" w:rsidRPr="00B62734">
        <w:rPr>
          <w:szCs w:val="24"/>
        </w:rPr>
        <w:t xml:space="preserve"> </w:t>
      </w:r>
      <w:r w:rsidR="005B376C">
        <w:rPr>
          <w:szCs w:val="24"/>
        </w:rPr>
        <w:t>1</w:t>
      </w:r>
      <w:r w:rsidR="005B376C" w:rsidRPr="00B62734">
        <w:rPr>
          <w:szCs w:val="24"/>
        </w:rPr>
        <w:t xml:space="preserve"> </w:t>
      </w:r>
      <w:r w:rsidRPr="00B62734">
        <w:rPr>
          <w:szCs w:val="24"/>
        </w:rPr>
        <w:t xml:space="preserve">below shows </w:t>
      </w:r>
      <w:r w:rsidR="006E52FE" w:rsidRPr="00B62734">
        <w:rPr>
          <w:szCs w:val="24"/>
        </w:rPr>
        <w:t>GVA</w:t>
      </w:r>
      <w:r w:rsidRPr="00B62734">
        <w:rPr>
          <w:szCs w:val="24"/>
        </w:rPr>
        <w:t xml:space="preserve"> for the main components of the mining and quarrying sector as reported in UK national statistics. As noted</w:t>
      </w:r>
      <w:r w:rsidR="00D46E28">
        <w:rPr>
          <w:szCs w:val="24"/>
        </w:rPr>
        <w:t xml:space="preserve"> above</w:t>
      </w:r>
      <w:r w:rsidRPr="00B62734">
        <w:rPr>
          <w:szCs w:val="24"/>
        </w:rPr>
        <w:t>, this sector includes fossil fuel production, other mining and quarrying and mining support service activities</w:t>
      </w:r>
      <w:r w:rsidR="00001832" w:rsidRPr="00B62734">
        <w:rPr>
          <w:szCs w:val="24"/>
        </w:rPr>
        <w:t>, but excludes the value of products manufactured with extracted minerals</w:t>
      </w:r>
      <w:r w:rsidRPr="00B62734">
        <w:rPr>
          <w:szCs w:val="24"/>
        </w:rPr>
        <w:t>. The table gives for each subsector its percentage share of total UK GVA</w:t>
      </w:r>
      <w:r w:rsidR="00D46E28">
        <w:rPr>
          <w:szCs w:val="24"/>
        </w:rPr>
        <w:t xml:space="preserve"> for the most recent year</w:t>
      </w:r>
      <w:r w:rsidRPr="00B62734">
        <w:rPr>
          <w:szCs w:val="24"/>
        </w:rPr>
        <w:t>. It also shows the whole sector’s GVA as a percentage of national gross domestic product (GDP) for each year.</w:t>
      </w:r>
      <w:r w:rsidR="00010331" w:rsidRPr="00B62734">
        <w:rPr>
          <w:rStyle w:val="FootnoteReference"/>
          <w:szCs w:val="24"/>
        </w:rPr>
        <w:footnoteReference w:id="4"/>
      </w:r>
      <w:bookmarkStart w:id="3" w:name="_Toc512547325"/>
    </w:p>
    <w:p w14:paraId="66B5E2BD" w14:textId="199E29EF" w:rsidR="00FD7C0E" w:rsidRDefault="00E8058F" w:rsidP="005B0752">
      <w:pPr>
        <w:spacing w:after="180" w:line="276" w:lineRule="auto"/>
        <w:rPr>
          <w:b/>
          <w:sz w:val="22"/>
          <w:szCs w:val="22"/>
        </w:rPr>
      </w:pPr>
      <w:r w:rsidRPr="00463DB6">
        <w:rPr>
          <w:b/>
          <w:sz w:val="22"/>
          <w:szCs w:val="22"/>
        </w:rPr>
        <w:lastRenderedPageBreak/>
        <w:t xml:space="preserve">Table </w:t>
      </w:r>
      <w:r w:rsidR="008270FF">
        <w:rPr>
          <w:b/>
          <w:sz w:val="22"/>
          <w:szCs w:val="22"/>
        </w:rPr>
        <w:t>1</w:t>
      </w:r>
      <w:r w:rsidRPr="00463DB6">
        <w:rPr>
          <w:b/>
          <w:sz w:val="22"/>
          <w:szCs w:val="22"/>
        </w:rPr>
        <w:t>. Gross Value Added (GVA) (£ million)</w:t>
      </w:r>
      <w:r w:rsidRPr="00595CB3">
        <w:rPr>
          <w:rStyle w:val="FootnoteReference"/>
          <w:bCs/>
          <w:sz w:val="22"/>
          <w:szCs w:val="22"/>
        </w:rPr>
        <w:footnoteReference w:id="5"/>
      </w:r>
      <w:bookmarkEnd w:id="3"/>
    </w:p>
    <w:p w14:paraId="63BB6481" w14:textId="02886E1A" w:rsidR="00E21ACB" w:rsidRDefault="0022305F" w:rsidP="005B0752">
      <w:pPr>
        <w:spacing w:after="180" w:line="276" w:lineRule="auto"/>
        <w:rPr>
          <w:b/>
          <w:sz w:val="22"/>
          <w:szCs w:val="22"/>
        </w:rPr>
      </w:pPr>
      <w:r w:rsidRPr="0022305F">
        <w:rPr>
          <w:noProof/>
        </w:rPr>
        <w:drawing>
          <wp:inline distT="0" distB="0" distL="0" distR="0" wp14:anchorId="27BE8A34" wp14:editId="4D672735">
            <wp:extent cx="5731510" cy="2457450"/>
            <wp:effectExtent l="0" t="0" r="2540" b="0"/>
            <wp:docPr id="3" name="Picture 3" descr="Table 1. Gross Value Added (GVA) in million pounds. Table showing the GVA for the extraction of crude petroleum and natural gas, mining support service activities, mining of coal and other mining and quarrying. Also Total UK GDP for each area and the percentage extractives share of total GDP for the years 2014-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457450"/>
                    </a:xfrm>
                    <a:prstGeom prst="rect">
                      <a:avLst/>
                    </a:prstGeom>
                    <a:noFill/>
                    <a:ln>
                      <a:noFill/>
                    </a:ln>
                  </pic:spPr>
                </pic:pic>
              </a:graphicData>
            </a:graphic>
          </wp:inline>
        </w:drawing>
      </w:r>
    </w:p>
    <w:p w14:paraId="7785FFFE" w14:textId="3988D112" w:rsidR="00243255" w:rsidRPr="00B62734" w:rsidRDefault="00243255" w:rsidP="00DB7C1B">
      <w:pPr>
        <w:spacing w:before="240" w:after="180" w:line="276" w:lineRule="auto"/>
        <w:rPr>
          <w:szCs w:val="24"/>
        </w:rPr>
      </w:pPr>
      <w:r w:rsidRPr="00B62734">
        <w:rPr>
          <w:szCs w:val="24"/>
        </w:rPr>
        <w:t>The following table</w:t>
      </w:r>
      <w:r w:rsidR="00211DA2">
        <w:rPr>
          <w:szCs w:val="24"/>
        </w:rPr>
        <w:t>s</w:t>
      </w:r>
      <w:r w:rsidRPr="00B62734">
        <w:rPr>
          <w:szCs w:val="24"/>
        </w:rPr>
        <w:t xml:space="preserve"> give a finer breakdown of the sector in </w:t>
      </w:r>
      <w:r w:rsidR="0065619A">
        <w:rPr>
          <w:szCs w:val="24"/>
        </w:rPr>
        <w:t xml:space="preserve">the </w:t>
      </w:r>
      <w:r w:rsidR="006A38E2">
        <w:rPr>
          <w:szCs w:val="24"/>
        </w:rPr>
        <w:t xml:space="preserve">latest </w:t>
      </w:r>
      <w:r w:rsidR="0065619A">
        <w:rPr>
          <w:szCs w:val="24"/>
        </w:rPr>
        <w:t xml:space="preserve">recent year </w:t>
      </w:r>
      <w:r w:rsidR="006A38E2">
        <w:rPr>
          <w:szCs w:val="24"/>
        </w:rPr>
        <w:t xml:space="preserve">for which data are available </w:t>
      </w:r>
      <w:r w:rsidRPr="00B62734">
        <w:rPr>
          <w:szCs w:val="24"/>
        </w:rPr>
        <w:t xml:space="preserve">to give a sense of the scale of activity in each subsector. Although the </w:t>
      </w:r>
      <w:r w:rsidR="00211DA2">
        <w:rPr>
          <w:szCs w:val="24"/>
        </w:rPr>
        <w:t xml:space="preserve">GVA </w:t>
      </w:r>
      <w:r w:rsidRPr="00B62734">
        <w:rPr>
          <w:szCs w:val="24"/>
        </w:rPr>
        <w:t xml:space="preserve">data in </w:t>
      </w:r>
      <w:r w:rsidR="00211DA2">
        <w:rPr>
          <w:szCs w:val="24"/>
        </w:rPr>
        <w:t xml:space="preserve">the first </w:t>
      </w:r>
      <w:r w:rsidRPr="00B62734">
        <w:rPr>
          <w:szCs w:val="24"/>
        </w:rPr>
        <w:t xml:space="preserve">table and the one above </w:t>
      </w:r>
      <w:proofErr w:type="gramStart"/>
      <w:r w:rsidRPr="00B62734">
        <w:rPr>
          <w:szCs w:val="24"/>
        </w:rPr>
        <w:t>are</w:t>
      </w:r>
      <w:proofErr w:type="gramEnd"/>
      <w:r w:rsidRPr="00B62734">
        <w:rPr>
          <w:szCs w:val="24"/>
        </w:rPr>
        <w:t xml:space="preserve"> sourced from official Office of National Statistics (ONS) data, they are not identical. Note that in value terms support service activities are almost entirely related to extraction of petroleum and natural gas.</w:t>
      </w:r>
    </w:p>
    <w:p w14:paraId="6ABA9AD2" w14:textId="58A1BF07" w:rsidR="00E372CF" w:rsidRDefault="00B36D8B" w:rsidP="00A24BCC">
      <w:pPr>
        <w:pStyle w:val="Caption"/>
        <w:keepNext/>
        <w:rPr>
          <w:rFonts w:ascii="Arial" w:hAnsi="Arial" w:cs="Arial"/>
          <w:sz w:val="22"/>
          <w:szCs w:val="22"/>
        </w:rPr>
      </w:pPr>
      <w:bookmarkStart w:id="4" w:name="_Toc512547326"/>
      <w:r w:rsidRPr="00595CB3">
        <w:rPr>
          <w:rFonts w:ascii="Arial" w:hAnsi="Arial" w:cs="Arial"/>
          <w:sz w:val="22"/>
          <w:szCs w:val="22"/>
        </w:rPr>
        <w:t xml:space="preserve">Table </w:t>
      </w:r>
      <w:r w:rsidR="00B5643A">
        <w:rPr>
          <w:rFonts w:ascii="Arial" w:hAnsi="Arial" w:cs="Arial"/>
          <w:sz w:val="22"/>
          <w:szCs w:val="22"/>
        </w:rPr>
        <w:t>2</w:t>
      </w:r>
      <w:r w:rsidR="0039229F" w:rsidRPr="00595CB3">
        <w:rPr>
          <w:rFonts w:ascii="Arial" w:hAnsi="Arial" w:cs="Arial"/>
          <w:sz w:val="22"/>
          <w:szCs w:val="22"/>
        </w:rPr>
        <w:t>. Mining and Quarrying (including Oil and Gas) – number of enterprises, GVA and employment costs in 201</w:t>
      </w:r>
      <w:r w:rsidR="00060607">
        <w:rPr>
          <w:rFonts w:ascii="Arial" w:hAnsi="Arial" w:cs="Arial"/>
          <w:sz w:val="22"/>
          <w:szCs w:val="22"/>
        </w:rPr>
        <w:t>7</w:t>
      </w:r>
      <w:r w:rsidR="0039229F" w:rsidRPr="00595CB3">
        <w:rPr>
          <w:rStyle w:val="FootnoteReference"/>
          <w:rFonts w:ascii="Arial" w:hAnsi="Arial" w:cs="Arial"/>
          <w:b w:val="0"/>
          <w:bCs/>
          <w:sz w:val="22"/>
          <w:szCs w:val="22"/>
        </w:rPr>
        <w:footnoteReference w:id="6"/>
      </w:r>
      <w:bookmarkEnd w:id="4"/>
    </w:p>
    <w:p w14:paraId="502A4C9A" w14:textId="2923CC4D" w:rsidR="002D5970" w:rsidRPr="007E69AD" w:rsidRDefault="002D5970" w:rsidP="007E69AD">
      <w:r>
        <w:rPr>
          <w:noProof/>
        </w:rPr>
        <w:drawing>
          <wp:inline distT="0" distB="0" distL="0" distR="0" wp14:anchorId="5D617F96" wp14:editId="6CD2AE19">
            <wp:extent cx="5731510" cy="23952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395220"/>
                    </a:xfrm>
                    <a:prstGeom prst="rect">
                      <a:avLst/>
                    </a:prstGeom>
                    <a:noFill/>
                    <a:ln>
                      <a:noFill/>
                    </a:ln>
                  </pic:spPr>
                </pic:pic>
              </a:graphicData>
            </a:graphic>
          </wp:inline>
        </w:drawing>
      </w:r>
    </w:p>
    <w:p w14:paraId="3112472F" w14:textId="70CDD7F8" w:rsidR="00984ABC" w:rsidRPr="00E61D49" w:rsidRDefault="00984ABC" w:rsidP="00984ABC">
      <w:pPr>
        <w:pStyle w:val="Caption"/>
        <w:spacing w:before="240" w:line="276" w:lineRule="auto"/>
        <w:jc w:val="left"/>
        <w:rPr>
          <w:rFonts w:ascii="Arial" w:hAnsi="Arial" w:cs="Arial"/>
          <w:b w:val="0"/>
          <w:bCs/>
          <w:sz w:val="22"/>
          <w:szCs w:val="22"/>
        </w:rPr>
      </w:pPr>
      <w:r w:rsidRPr="00E61D49">
        <w:rPr>
          <w:rFonts w:ascii="Arial" w:hAnsi="Arial" w:cs="Arial"/>
          <w:b w:val="0"/>
          <w:bCs/>
          <w:szCs w:val="24"/>
        </w:rPr>
        <w:lastRenderedPageBreak/>
        <w:t>Note: SIC = Standard Industrial Classification (in which, in the 2007 edition which is still used to classify UK industries, mining and quarrying including oil and gas make up Section B which comprises Divisions 05–09).</w:t>
      </w:r>
    </w:p>
    <w:p w14:paraId="622E4B9A" w14:textId="58D45774" w:rsidR="00514066" w:rsidRDefault="00514066" w:rsidP="00514066">
      <w:pPr>
        <w:pStyle w:val="Caption"/>
        <w:keepNext/>
        <w:spacing w:before="240"/>
        <w:rPr>
          <w:rFonts w:ascii="Arial" w:hAnsi="Arial" w:cs="Arial"/>
          <w:sz w:val="22"/>
          <w:szCs w:val="22"/>
        </w:rPr>
      </w:pPr>
      <w:r w:rsidRPr="00595CB3">
        <w:rPr>
          <w:rFonts w:ascii="Arial" w:hAnsi="Arial" w:cs="Arial"/>
          <w:sz w:val="22"/>
          <w:szCs w:val="22"/>
        </w:rPr>
        <w:t xml:space="preserve">Table </w:t>
      </w:r>
      <w:r w:rsidR="002658DA">
        <w:rPr>
          <w:rFonts w:ascii="Arial" w:hAnsi="Arial" w:cs="Arial"/>
          <w:sz w:val="22"/>
          <w:szCs w:val="22"/>
        </w:rPr>
        <w:t>3</w:t>
      </w:r>
      <w:r w:rsidRPr="00595CB3">
        <w:rPr>
          <w:rFonts w:ascii="Arial" w:hAnsi="Arial" w:cs="Arial"/>
          <w:sz w:val="22"/>
          <w:szCs w:val="22"/>
        </w:rPr>
        <w:t>.</w:t>
      </w:r>
      <w:r w:rsidR="00E547E1" w:rsidRPr="00E547E1">
        <w:t xml:space="preserve"> </w:t>
      </w:r>
      <w:r w:rsidR="00E547E1" w:rsidRPr="00E547E1">
        <w:rPr>
          <w:rFonts w:ascii="Arial" w:hAnsi="Arial" w:cs="Arial"/>
          <w:sz w:val="22"/>
          <w:szCs w:val="22"/>
        </w:rPr>
        <w:t>Number of businesses in the private sector and their associated employment and turnover, by number of employees and industry division, UK, start 2019</w:t>
      </w:r>
      <w:r w:rsidRPr="00595CB3">
        <w:rPr>
          <w:rStyle w:val="FootnoteReference"/>
          <w:rFonts w:ascii="Arial" w:hAnsi="Arial" w:cs="Arial"/>
          <w:b w:val="0"/>
          <w:bCs/>
          <w:sz w:val="22"/>
          <w:szCs w:val="22"/>
        </w:rPr>
        <w:footnoteReference w:id="7"/>
      </w:r>
    </w:p>
    <w:p w14:paraId="217488C3" w14:textId="150308DF" w:rsidR="00514066" w:rsidRDefault="00514066" w:rsidP="00514066">
      <w:pPr>
        <w:spacing w:after="180" w:line="276" w:lineRule="auto"/>
        <w:rPr>
          <w:szCs w:val="24"/>
        </w:rPr>
      </w:pPr>
      <w:r w:rsidRPr="00514066">
        <w:rPr>
          <w:noProof/>
        </w:rPr>
        <w:drawing>
          <wp:inline distT="0" distB="0" distL="0" distR="0" wp14:anchorId="04FACA9F" wp14:editId="3C073F00">
            <wp:extent cx="5731510" cy="4393565"/>
            <wp:effectExtent l="0" t="0" r="2540" b="6985"/>
            <wp:docPr id="9" name="Picture 9" descr="Table 3 showing the number of businesses in the private sector and their associated employment and turnover (in million pounds), by number of employees (thousands) and industry division, UK, start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4393565"/>
                    </a:xfrm>
                    <a:prstGeom prst="rect">
                      <a:avLst/>
                    </a:prstGeom>
                    <a:noFill/>
                    <a:ln>
                      <a:noFill/>
                    </a:ln>
                  </pic:spPr>
                </pic:pic>
              </a:graphicData>
            </a:graphic>
          </wp:inline>
        </w:drawing>
      </w:r>
    </w:p>
    <w:p w14:paraId="2BD9D7FF" w14:textId="77777777" w:rsidR="00243255" w:rsidRPr="004B7F46" w:rsidRDefault="00243255" w:rsidP="005A15CE">
      <w:pPr>
        <w:pStyle w:val="Heading2"/>
        <w:keepLines w:val="0"/>
        <w:numPr>
          <w:ilvl w:val="1"/>
          <w:numId w:val="16"/>
        </w:numPr>
        <w:shd w:val="clear" w:color="auto" w:fill="BFBFBF"/>
        <w:tabs>
          <w:tab w:val="clear" w:pos="567"/>
        </w:tabs>
        <w:spacing w:before="180" w:after="180" w:line="276" w:lineRule="auto"/>
        <w:ind w:left="567" w:hanging="567"/>
        <w:rPr>
          <w:szCs w:val="24"/>
        </w:rPr>
      </w:pPr>
      <w:r w:rsidRPr="004B7F46">
        <w:rPr>
          <w:rFonts w:cs="Arial"/>
          <w:szCs w:val="24"/>
        </w:rPr>
        <w:t>Government revenues</w:t>
      </w:r>
    </w:p>
    <w:p w14:paraId="5F401F30" w14:textId="00E4240E" w:rsidR="00243255" w:rsidRPr="00B62734" w:rsidRDefault="00243255" w:rsidP="1031AEA3">
      <w:pPr>
        <w:spacing w:after="180" w:line="276" w:lineRule="auto"/>
        <w:rPr>
          <w:szCs w:val="24"/>
        </w:rPr>
      </w:pPr>
      <w:r w:rsidRPr="009F46CC">
        <w:t xml:space="preserve">UK Government accounts cover </w:t>
      </w:r>
      <w:r w:rsidR="00AB041A" w:rsidRPr="009F46CC">
        <w:t xml:space="preserve">a financial year running from </w:t>
      </w:r>
      <w:r w:rsidRPr="009F46CC">
        <w:t xml:space="preserve">April–March rather than a calendar year, so </w:t>
      </w:r>
      <w:r w:rsidR="009F46CC">
        <w:t>m</w:t>
      </w:r>
      <w:r w:rsidR="00A80FAD">
        <w:t>ost</w:t>
      </w:r>
      <w:r w:rsidRPr="009F46CC">
        <w:t xml:space="preserve"> of the data on government revenues are of necessity on a financial year basis. Where possible, calendar year data </w:t>
      </w:r>
      <w:r w:rsidR="00594EB7">
        <w:t>have</w:t>
      </w:r>
      <w:r w:rsidRPr="009F46CC">
        <w:t xml:space="preserve"> (also) </w:t>
      </w:r>
      <w:r w:rsidR="00947D02">
        <w:t xml:space="preserve">been </w:t>
      </w:r>
      <w:r w:rsidRPr="009F46CC">
        <w:t>provided</w:t>
      </w:r>
      <w:r w:rsidR="00E96C71" w:rsidRPr="00A80FAD">
        <w:t>.</w:t>
      </w:r>
      <w:r w:rsidR="00561267" w:rsidRPr="00947D02">
        <w:t xml:space="preserve"> </w:t>
      </w:r>
      <w:r w:rsidR="00594EB7">
        <w:t>O</w:t>
      </w:r>
      <w:r w:rsidR="00337D05" w:rsidRPr="00594EB7">
        <w:t>il and gas companies have a disti</w:t>
      </w:r>
      <w:r w:rsidR="00B61B29" w:rsidRPr="00594EB7">
        <w:t>n</w:t>
      </w:r>
      <w:r w:rsidR="00337D05" w:rsidRPr="00594EB7">
        <w:t>ct tax regime</w:t>
      </w:r>
      <w:r w:rsidR="00E96C71" w:rsidRPr="00594EB7">
        <w:t>, allowing identification of their extractive-related tax payments (and repayments)</w:t>
      </w:r>
      <w:r w:rsidR="00337D05" w:rsidRPr="00EE6522">
        <w:t>, whereas mining and quarrying companies pay mainstream corporation tax.</w:t>
      </w:r>
      <w:r w:rsidR="005E5E6A" w:rsidRPr="00EE6522">
        <w:t xml:space="preserve"> This means the data for </w:t>
      </w:r>
      <w:r w:rsidR="001E5C7D" w:rsidRPr="00EE6522">
        <w:t>ext</w:t>
      </w:r>
      <w:r w:rsidR="001E5C7D" w:rsidRPr="004921EC">
        <w:t xml:space="preserve">ractive-related tax receipts </w:t>
      </w:r>
      <w:r w:rsidR="005E5E6A" w:rsidRPr="004921EC">
        <w:t>from mining and quarrying companies cannot be separated out.</w:t>
      </w:r>
      <w:r w:rsidR="00220F9B" w:rsidRPr="004921EC">
        <w:t xml:space="preserve"> </w:t>
      </w:r>
      <w:r w:rsidR="00F47E2B">
        <w:t>D</w:t>
      </w:r>
      <w:r w:rsidR="00220F9B" w:rsidRPr="00F47E2B">
        <w:t xml:space="preserve">etails on tax revenues can </w:t>
      </w:r>
      <w:r w:rsidR="00F47E2B">
        <w:t xml:space="preserve">therefore </w:t>
      </w:r>
      <w:r w:rsidR="00220F9B" w:rsidRPr="00F47E2B">
        <w:t xml:space="preserve">be found in </w:t>
      </w:r>
      <w:r w:rsidR="00C8043A" w:rsidRPr="00F47E2B">
        <w:t xml:space="preserve">the </w:t>
      </w:r>
      <w:r w:rsidR="00F47E2B">
        <w:t xml:space="preserve">separate </w:t>
      </w:r>
      <w:r w:rsidR="00170FAB">
        <w:t xml:space="preserve">upstream </w:t>
      </w:r>
      <w:r w:rsidR="00220F9B" w:rsidRPr="00F47E2B">
        <w:t>oil and gas standalone chapter.</w:t>
      </w:r>
    </w:p>
    <w:p w14:paraId="6043AC28" w14:textId="13E5354A" w:rsidR="00243255" w:rsidRPr="00B62734" w:rsidRDefault="00243255" w:rsidP="00243255">
      <w:pPr>
        <w:pStyle w:val="Default"/>
        <w:spacing w:after="180" w:line="276" w:lineRule="auto"/>
        <w:rPr>
          <w:rFonts w:ascii="Arial" w:hAnsi="Arial" w:cs="Arial"/>
        </w:rPr>
      </w:pPr>
      <w:r w:rsidRPr="00B62734">
        <w:rPr>
          <w:rFonts w:ascii="Arial" w:hAnsi="Arial" w:cs="Arial"/>
        </w:rPr>
        <w:lastRenderedPageBreak/>
        <w:t>Section 106</w:t>
      </w:r>
      <w:r w:rsidR="00E93DB8" w:rsidRPr="00B62734">
        <w:rPr>
          <w:rStyle w:val="FootnoteReference"/>
          <w:rFonts w:ascii="Arial" w:hAnsi="Arial" w:cs="Arial"/>
        </w:rPr>
        <w:footnoteReference w:id="8"/>
      </w:r>
      <w:r w:rsidRPr="00B62734">
        <w:rPr>
          <w:rFonts w:ascii="Arial" w:hAnsi="Arial" w:cs="Arial"/>
        </w:rPr>
        <w:t xml:space="preserve"> payments are made (in England, plus equivalent payments made elsewhere in the UK) to local authorities relating to the granting of planning permission for mining operations to cover, for example, local road and infrastructure improvements.</w:t>
      </w:r>
      <w:r w:rsidR="00E9730D" w:rsidRPr="00B62734">
        <w:rPr>
          <w:rFonts w:ascii="Arial" w:hAnsi="Arial" w:cs="Arial"/>
        </w:rPr>
        <w:t xml:space="preserve"> These are the only </w:t>
      </w:r>
      <w:r w:rsidR="00A64646" w:rsidRPr="00B62734">
        <w:rPr>
          <w:rFonts w:ascii="Arial" w:hAnsi="Arial" w:cs="Arial"/>
        </w:rPr>
        <w:t xml:space="preserve">mandated </w:t>
      </w:r>
      <w:r w:rsidR="00E9730D" w:rsidRPr="00B62734">
        <w:rPr>
          <w:rFonts w:ascii="Arial" w:hAnsi="Arial" w:cs="Arial"/>
        </w:rPr>
        <w:t>social expenditure by extractive companies.</w:t>
      </w:r>
    </w:p>
    <w:p w14:paraId="1F30519A" w14:textId="77777777" w:rsidR="00243255" w:rsidRPr="00B62734" w:rsidRDefault="00243255" w:rsidP="004C78A4">
      <w:pPr>
        <w:pStyle w:val="Default"/>
        <w:spacing w:after="180" w:line="276" w:lineRule="auto"/>
        <w:rPr>
          <w:rFonts w:ascii="Arial" w:hAnsi="Arial" w:cs="Arial"/>
        </w:rPr>
      </w:pPr>
      <w:r w:rsidRPr="00B62734">
        <w:rPr>
          <w:rFonts w:ascii="Arial" w:hAnsi="Arial" w:cs="Arial"/>
        </w:rPr>
        <w:t xml:space="preserve">There are no </w:t>
      </w:r>
      <w:r w:rsidR="002C598C" w:rsidRPr="00B62734">
        <w:rPr>
          <w:rFonts w:ascii="Arial" w:hAnsi="Arial" w:cs="Arial"/>
        </w:rPr>
        <w:t>non-monetary</w:t>
      </w:r>
      <w:r w:rsidRPr="00B62734">
        <w:rPr>
          <w:rFonts w:ascii="Arial" w:hAnsi="Arial" w:cs="Arial"/>
        </w:rPr>
        <w:t xml:space="preserve"> arrangements between extractive companies and the government in the UK.</w:t>
      </w:r>
    </w:p>
    <w:p w14:paraId="384E81F4" w14:textId="37C3A789" w:rsidR="006070B7" w:rsidRDefault="00243255" w:rsidP="00E76EB2">
      <w:pPr>
        <w:pStyle w:val="Default"/>
        <w:spacing w:after="180" w:line="276" w:lineRule="auto"/>
        <w:rPr>
          <w:rFonts w:ascii="Arial" w:hAnsi="Arial" w:cs="Arial"/>
        </w:rPr>
      </w:pPr>
      <w:r w:rsidRPr="00B62734">
        <w:rPr>
          <w:rFonts w:ascii="Arial" w:hAnsi="Arial" w:cs="Arial"/>
        </w:rPr>
        <w:t>Forecasts of UK Government oil and gas revenues are published by the independent Office for Budget Responsibility (OBR).</w:t>
      </w:r>
      <w:r w:rsidR="00B44FF4" w:rsidRPr="00B62734">
        <w:rPr>
          <w:rFonts w:ascii="Arial" w:hAnsi="Arial" w:cs="Arial"/>
          <w:vertAlign w:val="superscript"/>
        </w:rPr>
        <w:footnoteReference w:id="9"/>
      </w:r>
      <w:r w:rsidRPr="00B62734">
        <w:rPr>
          <w:rFonts w:ascii="Arial" w:hAnsi="Arial" w:cs="Arial"/>
        </w:rPr>
        <w:t xml:space="preserve"> The OBR also publishes details of its underlying forecasts of oil and gas production, prices and expenditure broken down between exploration and appraisal, development capital expenditure, operating costs</w:t>
      </w:r>
      <w:r w:rsidR="00F7664D" w:rsidRPr="00B62734">
        <w:rPr>
          <w:rFonts w:ascii="Arial" w:hAnsi="Arial" w:cs="Arial"/>
        </w:rPr>
        <w:t xml:space="preserve"> </w:t>
      </w:r>
      <w:r w:rsidRPr="00B62734">
        <w:rPr>
          <w:rFonts w:ascii="Arial" w:hAnsi="Arial" w:cs="Arial"/>
        </w:rPr>
        <w:t>and decommissioning costs.</w:t>
      </w:r>
    </w:p>
    <w:p w14:paraId="67FEFB5F" w14:textId="20CAFA42" w:rsidR="00962B24" w:rsidRDefault="00962B24" w:rsidP="00E76EB2">
      <w:pPr>
        <w:pStyle w:val="Default"/>
        <w:spacing w:after="180" w:line="276" w:lineRule="auto"/>
        <w:rPr>
          <w:rFonts w:ascii="Arial" w:hAnsi="Arial" w:cs="Arial"/>
        </w:rPr>
      </w:pPr>
      <w:r>
        <w:rPr>
          <w:rFonts w:ascii="Arial" w:hAnsi="Arial" w:cs="Arial"/>
        </w:rPr>
        <w:t>The table below includes environmental taxes paid by the UK extractive industries</w:t>
      </w:r>
      <w:r w:rsidR="004714CE">
        <w:rPr>
          <w:rFonts w:ascii="Arial" w:hAnsi="Arial" w:cs="Arial"/>
        </w:rPr>
        <w:t xml:space="preserve">. These are not </w:t>
      </w:r>
      <w:proofErr w:type="gramStart"/>
      <w:r w:rsidR="004714CE">
        <w:rPr>
          <w:rFonts w:ascii="Arial" w:hAnsi="Arial" w:cs="Arial"/>
        </w:rPr>
        <w:t>extractive-related</w:t>
      </w:r>
      <w:proofErr w:type="gramEnd"/>
      <w:r w:rsidR="004714CE">
        <w:rPr>
          <w:rFonts w:ascii="Arial" w:hAnsi="Arial" w:cs="Arial"/>
        </w:rPr>
        <w:t xml:space="preserve"> so are not included in the reconciliation of payments and receipts.</w:t>
      </w:r>
    </w:p>
    <w:p w14:paraId="25EF82EE" w14:textId="272388DF" w:rsidR="004B5AE4" w:rsidRPr="004B5AE4" w:rsidRDefault="004B5AE4" w:rsidP="00E76EB2">
      <w:pPr>
        <w:pStyle w:val="Default"/>
        <w:spacing w:after="180" w:line="276" w:lineRule="auto"/>
        <w:rPr>
          <w:rFonts w:ascii="Arial" w:hAnsi="Arial" w:cs="Arial"/>
          <w:b/>
          <w:bCs/>
        </w:rPr>
      </w:pPr>
      <w:r w:rsidRPr="004B5AE4">
        <w:rPr>
          <w:rFonts w:ascii="Arial" w:hAnsi="Arial" w:cs="Arial"/>
          <w:b/>
          <w:bCs/>
        </w:rPr>
        <w:t>Table 4</w:t>
      </w:r>
    </w:p>
    <w:p w14:paraId="0873125F" w14:textId="31539633" w:rsidR="000411C8" w:rsidRPr="00B62734" w:rsidRDefault="00571B6F" w:rsidP="00E76EB2">
      <w:pPr>
        <w:pStyle w:val="Default"/>
        <w:spacing w:after="180" w:line="276" w:lineRule="auto"/>
        <w:rPr>
          <w:rFonts w:ascii="Arial" w:hAnsi="Arial" w:cs="Arial"/>
        </w:rPr>
      </w:pPr>
      <w:r>
        <w:rPr>
          <w:noProof/>
        </w:rPr>
        <w:drawing>
          <wp:inline distT="0" distB="0" distL="0" distR="0" wp14:anchorId="6EB5F552" wp14:editId="52F7D288">
            <wp:extent cx="5731510" cy="3542030"/>
            <wp:effectExtent l="0" t="0" r="2540" b="1270"/>
            <wp:docPr id="4" name="Picture 4" descr="Table 4 showing environmental tax payments by the mining and quarrying sector (including oil and gas) in million pounds for energy, transport and pollution and resource taxes for 2012-2018."/>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542030"/>
                    </a:xfrm>
                    <a:prstGeom prst="rect">
                      <a:avLst/>
                    </a:prstGeom>
                    <a:noFill/>
                    <a:ln>
                      <a:noFill/>
                    </a:ln>
                  </pic:spPr>
                </pic:pic>
              </a:graphicData>
            </a:graphic>
          </wp:inline>
        </w:drawing>
      </w:r>
    </w:p>
    <w:p w14:paraId="36DC489B" w14:textId="77777777" w:rsidR="00243255" w:rsidRPr="004B7F46" w:rsidRDefault="00243255" w:rsidP="005A15CE">
      <w:pPr>
        <w:pStyle w:val="Heading2"/>
        <w:keepLines w:val="0"/>
        <w:numPr>
          <w:ilvl w:val="1"/>
          <w:numId w:val="16"/>
        </w:numPr>
        <w:shd w:val="clear" w:color="auto" w:fill="BFBFBF"/>
        <w:tabs>
          <w:tab w:val="clear" w:pos="567"/>
        </w:tabs>
        <w:spacing w:after="180" w:line="276" w:lineRule="auto"/>
        <w:ind w:left="567" w:hanging="567"/>
        <w:rPr>
          <w:szCs w:val="24"/>
        </w:rPr>
      </w:pPr>
      <w:r w:rsidRPr="004B7F46">
        <w:rPr>
          <w:rFonts w:cs="Arial"/>
          <w:szCs w:val="24"/>
        </w:rPr>
        <w:lastRenderedPageBreak/>
        <w:t>Exports</w:t>
      </w:r>
    </w:p>
    <w:p w14:paraId="3BDA296B" w14:textId="622D3B74" w:rsidR="006022A2" w:rsidRPr="00B62734" w:rsidRDefault="00243255" w:rsidP="00E76EB2">
      <w:pPr>
        <w:pStyle w:val="Default"/>
        <w:spacing w:after="180" w:line="276" w:lineRule="auto"/>
        <w:rPr>
          <w:rFonts w:ascii="Arial" w:hAnsi="Arial" w:cs="Arial"/>
        </w:rPr>
      </w:pPr>
      <w:r w:rsidRPr="00B62734">
        <w:rPr>
          <w:rFonts w:ascii="Arial" w:hAnsi="Arial" w:cs="Arial"/>
        </w:rPr>
        <w:t xml:space="preserve">The UK </w:t>
      </w:r>
      <w:r w:rsidR="00B3568B" w:rsidRPr="00B62734">
        <w:rPr>
          <w:rFonts w:ascii="Arial" w:hAnsi="Arial" w:cs="Arial"/>
        </w:rPr>
        <w:t xml:space="preserve">both imports and </w:t>
      </w:r>
      <w:r w:rsidRPr="00B62734">
        <w:rPr>
          <w:rFonts w:ascii="Arial" w:hAnsi="Arial" w:cs="Arial"/>
        </w:rPr>
        <w:t xml:space="preserve">exports </w:t>
      </w:r>
      <w:r w:rsidR="00B3568B" w:rsidRPr="00B62734">
        <w:rPr>
          <w:rFonts w:ascii="Arial" w:hAnsi="Arial" w:cs="Arial"/>
        </w:rPr>
        <w:t xml:space="preserve">all types of mining and quarrying production </w:t>
      </w:r>
      <w:r w:rsidR="009F5C99" w:rsidRPr="00B62734">
        <w:rPr>
          <w:rFonts w:ascii="Arial" w:hAnsi="Arial" w:cs="Arial"/>
        </w:rPr>
        <w:t xml:space="preserve">but is generally </w:t>
      </w:r>
      <w:r w:rsidRPr="00B62734">
        <w:rPr>
          <w:rFonts w:ascii="Arial" w:hAnsi="Arial" w:cs="Arial"/>
        </w:rPr>
        <w:t>a net importer of each</w:t>
      </w:r>
      <w:r w:rsidR="009F5C99" w:rsidRPr="00B62734">
        <w:rPr>
          <w:rFonts w:ascii="Arial" w:hAnsi="Arial" w:cs="Arial"/>
        </w:rPr>
        <w:t xml:space="preserve"> type</w:t>
      </w:r>
      <w:r w:rsidR="002157A2" w:rsidRPr="00B62734">
        <w:rPr>
          <w:rFonts w:ascii="Arial" w:hAnsi="Arial" w:cs="Arial"/>
        </w:rPr>
        <w:t>.</w:t>
      </w:r>
      <w:r w:rsidR="00EB32AE">
        <w:rPr>
          <w:rFonts w:ascii="Arial" w:hAnsi="Arial" w:cs="Arial"/>
        </w:rPr>
        <w:t xml:space="preserve"> Information on trade flows is given in the relevant sectoral sections.</w:t>
      </w:r>
    </w:p>
    <w:p w14:paraId="1222B5AE" w14:textId="04991F6A" w:rsidR="000A2CAE" w:rsidRDefault="000A2CAE" w:rsidP="00CF5B3B">
      <w:pPr>
        <w:pStyle w:val="Default"/>
        <w:spacing w:before="240" w:after="180" w:line="276" w:lineRule="auto"/>
        <w:rPr>
          <w:rFonts w:ascii="Arial" w:hAnsi="Arial" w:cs="Arial"/>
        </w:rPr>
      </w:pPr>
      <w:r>
        <w:rPr>
          <w:rFonts w:ascii="Arial" w:hAnsi="Arial" w:cs="Arial"/>
        </w:rPr>
        <w:t xml:space="preserve">Gross </w:t>
      </w:r>
      <w:r w:rsidR="000738B2">
        <w:rPr>
          <w:rFonts w:ascii="Arial" w:hAnsi="Arial" w:cs="Arial"/>
        </w:rPr>
        <w:t xml:space="preserve">extractives </w:t>
      </w:r>
      <w:r>
        <w:rPr>
          <w:rFonts w:ascii="Arial" w:hAnsi="Arial" w:cs="Arial"/>
        </w:rPr>
        <w:t>exports</w:t>
      </w:r>
      <w:r w:rsidR="008F3DBD">
        <w:rPr>
          <w:rFonts w:ascii="Arial" w:hAnsi="Arial" w:cs="Arial"/>
        </w:rPr>
        <w:t xml:space="preserve"> in 201</w:t>
      </w:r>
      <w:r w:rsidR="00680E03">
        <w:rPr>
          <w:rFonts w:ascii="Arial" w:hAnsi="Arial" w:cs="Arial"/>
        </w:rPr>
        <w:t>8</w:t>
      </w:r>
      <w:r w:rsidR="008F3DBD">
        <w:rPr>
          <w:rFonts w:ascii="Arial" w:hAnsi="Arial" w:cs="Arial"/>
        </w:rPr>
        <w:t xml:space="preserve"> </w:t>
      </w:r>
      <w:r w:rsidR="000738B2">
        <w:rPr>
          <w:rFonts w:ascii="Arial" w:hAnsi="Arial" w:cs="Arial"/>
        </w:rPr>
        <w:t xml:space="preserve">as reported by ONS </w:t>
      </w:r>
      <w:r w:rsidR="008F3DBD">
        <w:rPr>
          <w:rFonts w:ascii="Arial" w:hAnsi="Arial" w:cs="Arial"/>
        </w:rPr>
        <w:t>amounted to 3.</w:t>
      </w:r>
      <w:r w:rsidR="007B1446">
        <w:rPr>
          <w:rFonts w:ascii="Arial" w:hAnsi="Arial" w:cs="Arial"/>
        </w:rPr>
        <w:t>7</w:t>
      </w:r>
      <w:r w:rsidR="008F3DBD">
        <w:rPr>
          <w:rFonts w:ascii="Arial" w:hAnsi="Arial" w:cs="Arial"/>
        </w:rPr>
        <w:t>% of total UK gross exports</w:t>
      </w:r>
      <w:r w:rsidR="00212272">
        <w:rPr>
          <w:rFonts w:ascii="Arial" w:hAnsi="Arial" w:cs="Arial"/>
        </w:rPr>
        <w:t xml:space="preserve"> by value</w:t>
      </w:r>
      <w:r w:rsidR="008F3DBD">
        <w:rPr>
          <w:rFonts w:ascii="Arial" w:hAnsi="Arial" w:cs="Arial"/>
        </w:rPr>
        <w:t>.</w:t>
      </w:r>
    </w:p>
    <w:p w14:paraId="214769D2" w14:textId="77777777" w:rsidR="00243255" w:rsidRPr="004B7F46" w:rsidRDefault="00243255" w:rsidP="005A15CE">
      <w:pPr>
        <w:pStyle w:val="Heading2"/>
        <w:keepLines w:val="0"/>
        <w:numPr>
          <w:ilvl w:val="1"/>
          <w:numId w:val="16"/>
        </w:numPr>
        <w:shd w:val="clear" w:color="auto" w:fill="BFBFBF"/>
        <w:tabs>
          <w:tab w:val="clear" w:pos="567"/>
        </w:tabs>
        <w:spacing w:before="180" w:after="180" w:line="276" w:lineRule="auto"/>
        <w:ind w:left="567" w:hanging="567"/>
        <w:rPr>
          <w:szCs w:val="24"/>
        </w:rPr>
      </w:pPr>
      <w:r w:rsidRPr="004B7F46">
        <w:rPr>
          <w:rFonts w:cs="Arial"/>
          <w:szCs w:val="24"/>
        </w:rPr>
        <w:t>Employment</w:t>
      </w:r>
    </w:p>
    <w:p w14:paraId="4BB3678B" w14:textId="39A62E16" w:rsidR="00243255" w:rsidRPr="00B62734" w:rsidRDefault="009F7E89" w:rsidP="00E76EB2">
      <w:pPr>
        <w:pStyle w:val="Default"/>
        <w:spacing w:after="180" w:line="276" w:lineRule="auto"/>
        <w:rPr>
          <w:rFonts w:ascii="Arial" w:hAnsi="Arial" w:cs="Arial"/>
        </w:rPr>
      </w:pPr>
      <w:r w:rsidRPr="00B62734">
        <w:rPr>
          <w:rFonts w:ascii="Arial" w:hAnsi="Arial" w:cs="Arial"/>
        </w:rPr>
        <w:t xml:space="preserve">Table </w:t>
      </w:r>
      <w:r w:rsidR="005B376C">
        <w:rPr>
          <w:rFonts w:ascii="Arial" w:hAnsi="Arial" w:cs="Arial"/>
        </w:rPr>
        <w:t>5</w:t>
      </w:r>
      <w:r w:rsidRPr="00B62734">
        <w:rPr>
          <w:rFonts w:ascii="Arial" w:hAnsi="Arial" w:cs="Arial"/>
        </w:rPr>
        <w:t xml:space="preserve">, </w:t>
      </w:r>
      <w:r w:rsidR="00243255" w:rsidRPr="00B62734">
        <w:rPr>
          <w:rFonts w:ascii="Arial" w:hAnsi="Arial" w:cs="Arial"/>
        </w:rPr>
        <w:t>below</w:t>
      </w:r>
      <w:r w:rsidRPr="00B62734">
        <w:rPr>
          <w:rFonts w:ascii="Arial" w:hAnsi="Arial" w:cs="Arial"/>
        </w:rPr>
        <w:t>,</w:t>
      </w:r>
      <w:r w:rsidR="00243255" w:rsidRPr="00B62734">
        <w:rPr>
          <w:rFonts w:ascii="Arial" w:hAnsi="Arial" w:cs="Arial"/>
        </w:rPr>
        <w:t xml:space="preserve"> gives estimates of the total UK workforce </w:t>
      </w:r>
      <w:r w:rsidR="00C8231E" w:rsidRPr="00B62734">
        <w:rPr>
          <w:rFonts w:ascii="Arial" w:hAnsi="Arial" w:cs="Arial"/>
        </w:rPr>
        <w:t xml:space="preserve">jobs </w:t>
      </w:r>
      <w:r w:rsidR="00243255" w:rsidRPr="00B62734">
        <w:rPr>
          <w:rFonts w:ascii="Arial" w:hAnsi="Arial" w:cs="Arial"/>
        </w:rPr>
        <w:t xml:space="preserve">directly supported by the UK mining and quarrying sector including its major sub-sectors. It also shows the industries are typically capital- rather than labour-intensive and correspondingly represent a significantly smaller share of workforce </w:t>
      </w:r>
      <w:r w:rsidR="00C8231E" w:rsidRPr="00B62734">
        <w:rPr>
          <w:rFonts w:ascii="Arial" w:hAnsi="Arial" w:cs="Arial"/>
        </w:rPr>
        <w:t xml:space="preserve">jobs </w:t>
      </w:r>
      <w:r w:rsidR="00243255" w:rsidRPr="00B62734">
        <w:rPr>
          <w:rFonts w:ascii="Arial" w:hAnsi="Arial" w:cs="Arial"/>
        </w:rPr>
        <w:t>than of GVA.</w:t>
      </w:r>
    </w:p>
    <w:p w14:paraId="3C98198F" w14:textId="56AC8B2B" w:rsidR="00870275" w:rsidRDefault="00D5683C" w:rsidP="00BC7065">
      <w:pPr>
        <w:pStyle w:val="Caption"/>
        <w:keepNext/>
        <w:outlineLvl w:val="0"/>
        <w:rPr>
          <w:rFonts w:ascii="Arial" w:hAnsi="Arial" w:cs="Arial"/>
          <w:bCs/>
          <w:sz w:val="22"/>
          <w:szCs w:val="22"/>
        </w:rPr>
      </w:pPr>
      <w:bookmarkStart w:id="5" w:name="_Toc512547331"/>
      <w:r w:rsidRPr="00595CB3">
        <w:rPr>
          <w:rFonts w:ascii="Arial" w:hAnsi="Arial" w:cs="Arial"/>
          <w:sz w:val="22"/>
          <w:szCs w:val="22"/>
        </w:rPr>
        <w:t xml:space="preserve">Table </w:t>
      </w:r>
      <w:r w:rsidR="005B376C">
        <w:rPr>
          <w:rFonts w:ascii="Arial" w:hAnsi="Arial" w:cs="Arial"/>
          <w:sz w:val="22"/>
          <w:szCs w:val="22"/>
        </w:rPr>
        <w:t>5</w:t>
      </w:r>
      <w:r w:rsidRPr="00595CB3">
        <w:rPr>
          <w:rFonts w:ascii="Arial" w:hAnsi="Arial" w:cs="Arial"/>
          <w:sz w:val="22"/>
          <w:szCs w:val="22"/>
        </w:rPr>
        <w:t xml:space="preserve">. </w:t>
      </w:r>
      <w:r w:rsidRPr="00595CB3">
        <w:rPr>
          <w:rFonts w:ascii="Arial" w:hAnsi="Arial" w:cs="Arial"/>
          <w:bCs/>
          <w:sz w:val="22"/>
          <w:szCs w:val="22"/>
        </w:rPr>
        <w:t>Workforce jobs estimates</w:t>
      </w:r>
      <w:r w:rsidR="000507CC">
        <w:rPr>
          <w:rFonts w:ascii="Arial" w:hAnsi="Arial" w:cs="Arial"/>
          <w:bCs/>
          <w:sz w:val="22"/>
          <w:szCs w:val="22"/>
        </w:rPr>
        <w:t xml:space="preserve"> (</w:t>
      </w:r>
      <w:r w:rsidR="00E53F09">
        <w:rPr>
          <w:rFonts w:ascii="Arial" w:hAnsi="Arial" w:cs="Arial"/>
          <w:bCs/>
          <w:sz w:val="22"/>
          <w:szCs w:val="22"/>
        </w:rPr>
        <w:t>thousands</w:t>
      </w:r>
      <w:r w:rsidR="000507CC">
        <w:rPr>
          <w:rFonts w:ascii="Arial" w:hAnsi="Arial" w:cs="Arial"/>
          <w:bCs/>
          <w:sz w:val="22"/>
          <w:szCs w:val="22"/>
        </w:rPr>
        <w:t>)</w:t>
      </w:r>
      <w:r w:rsidRPr="00595CB3">
        <w:rPr>
          <w:rStyle w:val="FootnoteReference"/>
          <w:rFonts w:ascii="Arial" w:hAnsi="Arial" w:cs="Arial"/>
          <w:bCs/>
          <w:sz w:val="22"/>
          <w:szCs w:val="22"/>
        </w:rPr>
        <w:footnoteReference w:id="10"/>
      </w:r>
      <w:bookmarkEnd w:id="5"/>
    </w:p>
    <w:p w14:paraId="5D2225A0" w14:textId="3FFDF76C" w:rsidR="00B23834" w:rsidRDefault="00E61D49" w:rsidP="0019680B">
      <w:pPr>
        <w:keepNext/>
        <w:spacing w:after="120"/>
      </w:pPr>
      <w:r w:rsidRPr="00E61D49">
        <w:rPr>
          <w:noProof/>
        </w:rPr>
        <w:drawing>
          <wp:inline distT="0" distB="0" distL="0" distR="0" wp14:anchorId="667F232C" wp14:editId="364E3822">
            <wp:extent cx="4695825" cy="2362200"/>
            <wp:effectExtent l="0" t="0" r="9525" b="0"/>
            <wp:docPr id="11" name="Picture 11" descr="Table 5 showing workforce jobs estimates in thousands for extraction of crude petroleum and natural gas, mining of coal, mining of metal ores and other mining and quarrying and mining support service activities for 2014-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95825" cy="2362200"/>
                    </a:xfrm>
                    <a:prstGeom prst="rect">
                      <a:avLst/>
                    </a:prstGeom>
                    <a:noFill/>
                    <a:ln>
                      <a:noFill/>
                    </a:ln>
                  </pic:spPr>
                </pic:pic>
              </a:graphicData>
            </a:graphic>
          </wp:inline>
        </w:drawing>
      </w:r>
    </w:p>
    <w:p w14:paraId="0D09C593" w14:textId="5EA46862" w:rsidR="00E61D49" w:rsidRPr="002B0561" w:rsidRDefault="00E61D49" w:rsidP="00B23834">
      <w:pPr>
        <w:rPr>
          <w:sz w:val="16"/>
          <w:szCs w:val="8"/>
        </w:rPr>
      </w:pPr>
      <w:r w:rsidRPr="002B0561">
        <w:rPr>
          <w:i/>
          <w:iCs/>
          <w:sz w:val="16"/>
          <w:szCs w:val="8"/>
        </w:rPr>
        <w:t>Sources</w:t>
      </w:r>
      <w:r w:rsidRPr="002B0561">
        <w:rPr>
          <w:sz w:val="16"/>
          <w:szCs w:val="8"/>
        </w:rPr>
        <w:t xml:space="preserve">: </w:t>
      </w:r>
      <w:r w:rsidR="002B0561">
        <w:rPr>
          <w:sz w:val="16"/>
          <w:szCs w:val="8"/>
        </w:rPr>
        <w:t>ONS, BEIS</w:t>
      </w:r>
    </w:p>
    <w:p w14:paraId="458A845C" w14:textId="607DAAB9" w:rsidR="0078252F" w:rsidRPr="00C541B1" w:rsidRDefault="00E97ED0" w:rsidP="0078252F">
      <w:pPr>
        <w:pStyle w:val="Default"/>
        <w:spacing w:before="240" w:after="180" w:line="276" w:lineRule="auto"/>
        <w:rPr>
          <w:rFonts w:ascii="Arial" w:hAnsi="Arial" w:cs="Arial"/>
        </w:rPr>
      </w:pPr>
      <w:r w:rsidRPr="00B62734">
        <w:rPr>
          <w:rFonts w:ascii="Arial" w:hAnsi="Arial" w:cs="Arial"/>
        </w:rPr>
        <w:t>T</w:t>
      </w:r>
      <w:r w:rsidR="00243255" w:rsidRPr="00B62734">
        <w:rPr>
          <w:rFonts w:ascii="Arial" w:hAnsi="Arial" w:cs="Arial"/>
        </w:rPr>
        <w:t xml:space="preserve">able </w:t>
      </w:r>
      <w:r w:rsidR="005B376C">
        <w:rPr>
          <w:rFonts w:ascii="Arial" w:hAnsi="Arial" w:cs="Arial"/>
        </w:rPr>
        <w:t>6</w:t>
      </w:r>
      <w:r w:rsidR="005B376C" w:rsidRPr="00B62734">
        <w:rPr>
          <w:rFonts w:ascii="Arial" w:hAnsi="Arial" w:cs="Arial"/>
        </w:rPr>
        <w:t xml:space="preserve"> </w:t>
      </w:r>
      <w:r w:rsidR="00243255" w:rsidRPr="00B62734">
        <w:rPr>
          <w:rFonts w:ascii="Arial" w:hAnsi="Arial" w:cs="Arial"/>
        </w:rPr>
        <w:t xml:space="preserve">shows estimates of extractive industry employment in Great Britain (GB) </w:t>
      </w:r>
      <w:r w:rsidR="001F4618" w:rsidRPr="00B62734">
        <w:rPr>
          <w:rFonts w:ascii="Arial" w:hAnsi="Arial" w:cs="Arial"/>
        </w:rPr>
        <w:t>(</w:t>
      </w:r>
      <w:r w:rsidR="0010556C" w:rsidRPr="00B62734">
        <w:rPr>
          <w:rFonts w:ascii="Arial" w:hAnsi="Arial" w:cs="Arial"/>
        </w:rPr>
        <w:t xml:space="preserve">i.e. the UK </w:t>
      </w:r>
      <w:r w:rsidR="001F4618" w:rsidRPr="00B62734">
        <w:rPr>
          <w:rFonts w:ascii="Arial" w:hAnsi="Arial" w:cs="Arial"/>
        </w:rPr>
        <w:t xml:space="preserve">excluding Northern Ireland) </w:t>
      </w:r>
      <w:r w:rsidR="00243255" w:rsidRPr="00B62734">
        <w:rPr>
          <w:rFonts w:ascii="Arial" w:hAnsi="Arial" w:cs="Arial"/>
        </w:rPr>
        <w:t xml:space="preserve">at a finer level of disaggregation than is available for the workforce </w:t>
      </w:r>
      <w:r w:rsidR="00C8231E" w:rsidRPr="00B62734">
        <w:rPr>
          <w:rFonts w:ascii="Arial" w:hAnsi="Arial" w:cs="Arial"/>
        </w:rPr>
        <w:t xml:space="preserve">jobs </w:t>
      </w:r>
      <w:r w:rsidR="00243255" w:rsidRPr="00B62734">
        <w:rPr>
          <w:rFonts w:ascii="Arial" w:hAnsi="Arial" w:cs="Arial"/>
        </w:rPr>
        <w:t>estimates for the UK.</w:t>
      </w:r>
      <w:r w:rsidR="00FA104E">
        <w:rPr>
          <w:rFonts w:ascii="Arial" w:hAnsi="Arial" w:cs="Arial"/>
        </w:rPr>
        <w:t xml:space="preserve"> Table </w:t>
      </w:r>
      <w:r w:rsidR="0005114B">
        <w:rPr>
          <w:rFonts w:ascii="Arial" w:hAnsi="Arial" w:cs="Arial"/>
        </w:rPr>
        <w:t xml:space="preserve">7 </w:t>
      </w:r>
      <w:r w:rsidR="00FA104E">
        <w:rPr>
          <w:rFonts w:ascii="Arial" w:hAnsi="Arial" w:cs="Arial"/>
        </w:rPr>
        <w:t xml:space="preserve">shows the </w:t>
      </w:r>
      <w:r w:rsidR="00F30D7E">
        <w:rPr>
          <w:rFonts w:ascii="Arial" w:hAnsi="Arial" w:cs="Arial"/>
        </w:rPr>
        <w:t xml:space="preserve">gender split of employment in recent years for the mining and quarrying </w:t>
      </w:r>
      <w:proofErr w:type="gramStart"/>
      <w:r w:rsidR="00F30D7E">
        <w:rPr>
          <w:rFonts w:ascii="Arial" w:hAnsi="Arial" w:cs="Arial"/>
        </w:rPr>
        <w:t>sector as a whole</w:t>
      </w:r>
      <w:proofErr w:type="gramEnd"/>
      <w:r w:rsidR="00F30D7E">
        <w:rPr>
          <w:rFonts w:ascii="Arial" w:hAnsi="Arial" w:cs="Arial"/>
        </w:rPr>
        <w:t xml:space="preserve">. Although the proportion of </w:t>
      </w:r>
      <w:r w:rsidR="0057064D">
        <w:rPr>
          <w:rFonts w:ascii="Arial" w:hAnsi="Arial" w:cs="Arial"/>
        </w:rPr>
        <w:t xml:space="preserve">women </w:t>
      </w:r>
      <w:r w:rsidR="00596B6D">
        <w:rPr>
          <w:rFonts w:ascii="Arial" w:hAnsi="Arial" w:cs="Arial"/>
        </w:rPr>
        <w:t>in the workforce has declined slightly since 2014 the longer</w:t>
      </w:r>
      <w:r w:rsidR="007E66AE">
        <w:rPr>
          <w:rFonts w:ascii="Arial" w:hAnsi="Arial" w:cs="Arial"/>
        </w:rPr>
        <w:t>-</w:t>
      </w:r>
      <w:r w:rsidR="00596B6D">
        <w:rPr>
          <w:rFonts w:ascii="Arial" w:hAnsi="Arial" w:cs="Arial"/>
        </w:rPr>
        <w:t>term trend is more positive</w:t>
      </w:r>
      <w:r w:rsidR="007E66AE">
        <w:rPr>
          <w:rFonts w:ascii="Arial" w:hAnsi="Arial" w:cs="Arial"/>
        </w:rPr>
        <w:t>; the female share in 1996 was only 7%, less than half the share in 2019</w:t>
      </w:r>
      <w:r w:rsidR="00F30D7E">
        <w:rPr>
          <w:rFonts w:ascii="Arial" w:hAnsi="Arial" w:cs="Arial"/>
        </w:rPr>
        <w:t>.</w:t>
      </w:r>
      <w:r w:rsidR="0078252F" w:rsidRPr="0078252F">
        <w:rPr>
          <w:rFonts w:ascii="Arial" w:hAnsi="Arial" w:cs="Arial"/>
        </w:rPr>
        <w:t xml:space="preserve"> </w:t>
      </w:r>
      <w:r w:rsidR="0078252F" w:rsidRPr="00C541B1">
        <w:rPr>
          <w:rFonts w:ascii="Arial" w:hAnsi="Arial" w:cs="Arial"/>
        </w:rPr>
        <w:t xml:space="preserve">All extractive employment shown in </w:t>
      </w:r>
      <w:r w:rsidR="0078252F">
        <w:rPr>
          <w:rFonts w:ascii="Arial" w:hAnsi="Arial" w:cs="Arial"/>
        </w:rPr>
        <w:t xml:space="preserve">this and subsequent tables </w:t>
      </w:r>
      <w:r w:rsidR="0078252F" w:rsidRPr="00C541B1">
        <w:rPr>
          <w:rFonts w:ascii="Arial" w:hAnsi="Arial" w:cs="Arial"/>
        </w:rPr>
        <w:t>is in the private sector.</w:t>
      </w:r>
    </w:p>
    <w:p w14:paraId="24497E44" w14:textId="0B69D0C1" w:rsidR="00322234" w:rsidRDefault="00322234" w:rsidP="001775F7">
      <w:pPr>
        <w:pStyle w:val="Default"/>
        <w:spacing w:before="240" w:after="180" w:line="276" w:lineRule="auto"/>
        <w:rPr>
          <w:rFonts w:ascii="Arial" w:hAnsi="Arial" w:cs="Arial"/>
        </w:rPr>
      </w:pPr>
    </w:p>
    <w:p w14:paraId="00A034EC" w14:textId="6B60E6F3" w:rsidR="0052183B" w:rsidRPr="00595CB3" w:rsidRDefault="0052183B" w:rsidP="001C2405">
      <w:pPr>
        <w:pStyle w:val="Caption"/>
        <w:keepNext/>
        <w:jc w:val="left"/>
        <w:rPr>
          <w:rFonts w:ascii="Arial" w:hAnsi="Arial" w:cs="Arial"/>
          <w:sz w:val="22"/>
          <w:szCs w:val="22"/>
        </w:rPr>
      </w:pPr>
      <w:r w:rsidRPr="00595CB3">
        <w:rPr>
          <w:rFonts w:ascii="Arial" w:hAnsi="Arial" w:cs="Arial"/>
          <w:sz w:val="22"/>
          <w:szCs w:val="22"/>
        </w:rPr>
        <w:lastRenderedPageBreak/>
        <w:t xml:space="preserve">Table </w:t>
      </w:r>
      <w:r w:rsidR="005B376C">
        <w:rPr>
          <w:rFonts w:ascii="Arial" w:hAnsi="Arial" w:cs="Arial"/>
          <w:sz w:val="22"/>
          <w:szCs w:val="22"/>
        </w:rPr>
        <w:t>6</w:t>
      </w:r>
      <w:r w:rsidRPr="00595CB3">
        <w:rPr>
          <w:rFonts w:ascii="Arial" w:hAnsi="Arial" w:cs="Arial"/>
          <w:sz w:val="22"/>
          <w:szCs w:val="22"/>
        </w:rPr>
        <w:t xml:space="preserve">. </w:t>
      </w:r>
      <w:r w:rsidRPr="00595CB3">
        <w:rPr>
          <w:rFonts w:ascii="Arial" w:hAnsi="Arial" w:cs="Arial"/>
          <w:bCs/>
          <w:sz w:val="22"/>
          <w:szCs w:val="22"/>
        </w:rPr>
        <w:t>Extractive Industry Employment in Great Britain and United Kingdom (in thousands)</w:t>
      </w:r>
      <w:r w:rsidRPr="00595CB3">
        <w:rPr>
          <w:rStyle w:val="FootnoteReference"/>
          <w:rFonts w:ascii="Arial" w:hAnsi="Arial" w:cs="Arial"/>
          <w:bCs/>
          <w:sz w:val="22"/>
          <w:szCs w:val="22"/>
        </w:rPr>
        <w:footnoteRef/>
      </w:r>
    </w:p>
    <w:p w14:paraId="6DA9D42D" w14:textId="166C3DF8" w:rsidR="00870C9F" w:rsidRDefault="00103982" w:rsidP="00947900">
      <w:pPr>
        <w:pStyle w:val="Default"/>
        <w:spacing w:before="240" w:after="180" w:line="276" w:lineRule="auto"/>
        <w:rPr>
          <w:rFonts w:ascii="Arial" w:hAnsi="Arial" w:cs="Arial"/>
        </w:rPr>
      </w:pPr>
      <w:r>
        <w:rPr>
          <w:noProof/>
        </w:rPr>
        <w:drawing>
          <wp:inline distT="0" distB="0" distL="0" distR="0" wp14:anchorId="57B75233" wp14:editId="6F9293CC">
            <wp:extent cx="5661660" cy="4907280"/>
            <wp:effectExtent l="0" t="0" r="0" b="7620"/>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61660" cy="4907280"/>
                    </a:xfrm>
                    <a:prstGeom prst="rect">
                      <a:avLst/>
                    </a:prstGeom>
                    <a:noFill/>
                    <a:ln>
                      <a:noFill/>
                    </a:ln>
                  </pic:spPr>
                </pic:pic>
              </a:graphicData>
            </a:graphic>
          </wp:inline>
        </w:drawing>
      </w:r>
    </w:p>
    <w:p w14:paraId="42F28BF3" w14:textId="5A7C7242" w:rsidR="004B5AE4" w:rsidRPr="004B5AE4" w:rsidRDefault="004B5AE4" w:rsidP="00947900">
      <w:pPr>
        <w:pStyle w:val="Default"/>
        <w:spacing w:before="240" w:after="180" w:line="276" w:lineRule="auto"/>
        <w:rPr>
          <w:rFonts w:ascii="Arial" w:hAnsi="Arial" w:cs="Arial"/>
          <w:b/>
          <w:bCs/>
        </w:rPr>
      </w:pPr>
      <w:r w:rsidRPr="004B5AE4">
        <w:rPr>
          <w:rFonts w:ascii="Arial" w:hAnsi="Arial" w:cs="Arial"/>
          <w:b/>
          <w:bCs/>
        </w:rPr>
        <w:t>Table 7</w:t>
      </w:r>
    </w:p>
    <w:p w14:paraId="37FC84EE" w14:textId="77777777" w:rsidR="00FA104E" w:rsidRPr="00C541B1" w:rsidRDefault="00FA104E" w:rsidP="00FA104E">
      <w:pPr>
        <w:pStyle w:val="Default"/>
        <w:spacing w:after="180" w:line="276" w:lineRule="auto"/>
        <w:rPr>
          <w:rFonts w:ascii="Arial" w:hAnsi="Arial" w:cs="Arial"/>
        </w:rPr>
      </w:pPr>
      <w:r w:rsidRPr="009D1D40">
        <w:rPr>
          <w:noProof/>
        </w:rPr>
        <w:drawing>
          <wp:inline distT="0" distB="0" distL="0" distR="0" wp14:anchorId="6D847454" wp14:editId="48CF72FB">
            <wp:extent cx="5419725" cy="2428875"/>
            <wp:effectExtent l="0" t="0" r="9525" b="9525"/>
            <wp:docPr id="14" name="Picture 14" descr="Table 7 showing the split of male/female workforce jobs in thousands from 2014-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19725" cy="2428875"/>
                    </a:xfrm>
                    <a:prstGeom prst="rect">
                      <a:avLst/>
                    </a:prstGeom>
                    <a:noFill/>
                    <a:ln>
                      <a:noFill/>
                    </a:ln>
                  </pic:spPr>
                </pic:pic>
              </a:graphicData>
            </a:graphic>
          </wp:inline>
        </w:drawing>
      </w:r>
    </w:p>
    <w:p w14:paraId="260BAE71" w14:textId="77777777" w:rsidR="00243255" w:rsidRPr="004B7F46" w:rsidRDefault="00243255" w:rsidP="005A15CE">
      <w:pPr>
        <w:pStyle w:val="Heading2"/>
        <w:keepLines w:val="0"/>
        <w:numPr>
          <w:ilvl w:val="1"/>
          <w:numId w:val="16"/>
        </w:numPr>
        <w:shd w:val="clear" w:color="auto" w:fill="BFBFBF"/>
        <w:tabs>
          <w:tab w:val="clear" w:pos="567"/>
        </w:tabs>
        <w:spacing w:after="180" w:line="276" w:lineRule="auto"/>
        <w:ind w:left="567" w:hanging="567"/>
        <w:rPr>
          <w:szCs w:val="24"/>
        </w:rPr>
      </w:pPr>
      <w:r w:rsidRPr="004B7F46">
        <w:rPr>
          <w:rFonts w:cs="Arial"/>
          <w:szCs w:val="24"/>
        </w:rPr>
        <w:lastRenderedPageBreak/>
        <w:t>Regional location of extractive industries</w:t>
      </w:r>
    </w:p>
    <w:p w14:paraId="260B421C" w14:textId="77777777" w:rsidR="00D63F0E" w:rsidRDefault="00D63F0E" w:rsidP="00D244F2">
      <w:pPr>
        <w:pStyle w:val="Default"/>
        <w:spacing w:after="180" w:line="276" w:lineRule="auto"/>
        <w:rPr>
          <w:rFonts w:ascii="Arial" w:hAnsi="Arial" w:cs="Arial"/>
        </w:rPr>
      </w:pPr>
      <w:r w:rsidRPr="00C541B1">
        <w:rPr>
          <w:rFonts w:ascii="Arial" w:hAnsi="Arial" w:cs="Arial"/>
        </w:rPr>
        <w:t xml:space="preserve">Extractive industry employment levels have fallen markedly from their historic peak decades ago, mainly due to the decline of the coal industry, but extractive-related activities still contribute significantly to local employment in </w:t>
      </w:r>
      <w:proofErr w:type="gramStart"/>
      <w:r w:rsidRPr="00C541B1">
        <w:rPr>
          <w:rFonts w:ascii="Arial" w:hAnsi="Arial" w:cs="Arial"/>
        </w:rPr>
        <w:t>a number of</w:t>
      </w:r>
      <w:proofErr w:type="gramEnd"/>
      <w:r w:rsidRPr="00C541B1">
        <w:rPr>
          <w:rFonts w:ascii="Arial" w:hAnsi="Arial" w:cs="Arial"/>
        </w:rPr>
        <w:t xml:space="preserve"> regions.</w:t>
      </w:r>
    </w:p>
    <w:p w14:paraId="292FEC62" w14:textId="5A69F5E5" w:rsidR="000063B8" w:rsidRDefault="00243255" w:rsidP="000063B8">
      <w:pPr>
        <w:pStyle w:val="Default"/>
        <w:spacing w:after="180" w:line="276" w:lineRule="auto"/>
        <w:rPr>
          <w:rFonts w:ascii="Arial" w:hAnsi="Arial" w:cs="Arial"/>
        </w:rPr>
      </w:pPr>
      <w:r w:rsidRPr="00C541B1">
        <w:rPr>
          <w:rFonts w:ascii="Arial" w:hAnsi="Arial" w:cs="Arial"/>
        </w:rPr>
        <w:t xml:space="preserve">The broad geographic spread of employment in the UK extractive sector (including oil and gas and mining support service activities) is illustrated in </w:t>
      </w:r>
      <w:r w:rsidR="00E97ED0" w:rsidRPr="00C541B1">
        <w:rPr>
          <w:rFonts w:ascii="Arial" w:hAnsi="Arial" w:cs="Arial"/>
        </w:rPr>
        <w:t>T</w:t>
      </w:r>
      <w:r w:rsidRPr="00C541B1">
        <w:rPr>
          <w:rFonts w:ascii="Arial" w:hAnsi="Arial" w:cs="Arial"/>
        </w:rPr>
        <w:t>able</w:t>
      </w:r>
      <w:r w:rsidR="00C45021" w:rsidRPr="00C541B1">
        <w:rPr>
          <w:rFonts w:ascii="Arial" w:hAnsi="Arial" w:cs="Arial"/>
        </w:rPr>
        <w:t xml:space="preserve"> </w:t>
      </w:r>
      <w:r w:rsidR="00DE3B62">
        <w:rPr>
          <w:rFonts w:ascii="Arial" w:hAnsi="Arial" w:cs="Arial"/>
        </w:rPr>
        <w:t>8</w:t>
      </w:r>
      <w:r w:rsidR="00E97ED0" w:rsidRPr="00C541B1">
        <w:rPr>
          <w:rFonts w:ascii="Arial" w:hAnsi="Arial" w:cs="Arial"/>
        </w:rPr>
        <w:t xml:space="preserve">, </w:t>
      </w:r>
      <w:r w:rsidRPr="00C541B1">
        <w:rPr>
          <w:rFonts w:ascii="Arial" w:hAnsi="Arial" w:cs="Arial"/>
        </w:rPr>
        <w:t>below. The concentration of employment in Scotland reflects the dominance of the Aberdeen area in terms of oil and gas-related activity.</w:t>
      </w:r>
      <w:r w:rsidR="00C45021" w:rsidRPr="00C541B1">
        <w:rPr>
          <w:rFonts w:ascii="Arial" w:hAnsi="Arial" w:cs="Arial"/>
        </w:rPr>
        <w:t xml:space="preserve"> While the importance of the sector for the Scottish economy is </w:t>
      </w:r>
      <w:r w:rsidR="00007110">
        <w:rPr>
          <w:rFonts w:ascii="Arial" w:hAnsi="Arial" w:cs="Arial"/>
        </w:rPr>
        <w:t>well known</w:t>
      </w:r>
      <w:r w:rsidR="00C45021" w:rsidRPr="00C541B1">
        <w:rPr>
          <w:rFonts w:ascii="Arial" w:hAnsi="Arial" w:cs="Arial"/>
        </w:rPr>
        <w:t xml:space="preserve">, the relatively high share of activity in the East Midlands is </w:t>
      </w:r>
      <w:r w:rsidR="00007110">
        <w:rPr>
          <w:rFonts w:ascii="Arial" w:hAnsi="Arial" w:cs="Arial"/>
        </w:rPr>
        <w:t xml:space="preserve">also </w:t>
      </w:r>
      <w:r w:rsidR="00C45021" w:rsidRPr="00C541B1">
        <w:rPr>
          <w:rFonts w:ascii="Arial" w:hAnsi="Arial" w:cs="Arial"/>
        </w:rPr>
        <w:t>noteworthy.</w:t>
      </w:r>
    </w:p>
    <w:p w14:paraId="567D1955" w14:textId="77777777" w:rsidR="0067484A" w:rsidRDefault="0067484A" w:rsidP="000063B8">
      <w:pPr>
        <w:pStyle w:val="Default"/>
        <w:spacing w:after="180" w:line="276" w:lineRule="auto"/>
        <w:rPr>
          <w:rFonts w:ascii="Arial" w:hAnsi="Arial" w:cs="Arial"/>
        </w:rPr>
        <w:sectPr w:rsidR="0067484A" w:rsidSect="007C65F8">
          <w:headerReference w:type="even" r:id="rId19"/>
          <w:headerReference w:type="default" r:id="rId20"/>
          <w:footerReference w:type="even" r:id="rId21"/>
          <w:footerReference w:type="default" r:id="rId22"/>
          <w:headerReference w:type="first" r:id="rId23"/>
          <w:footerReference w:type="first" r:id="rId24"/>
          <w:footnotePr>
            <w:numRestart w:val="eachPage"/>
          </w:footnotePr>
          <w:type w:val="continuous"/>
          <w:pgSz w:w="11906" w:h="16838" w:code="9"/>
          <w:pgMar w:top="1440" w:right="1440" w:bottom="1440" w:left="1440" w:header="709" w:footer="709" w:gutter="0"/>
          <w:cols w:space="708"/>
          <w:docGrid w:linePitch="360"/>
        </w:sectPr>
      </w:pPr>
    </w:p>
    <w:p w14:paraId="03FA3E79" w14:textId="257F2DB9" w:rsidR="00D96293" w:rsidRPr="00D96293" w:rsidRDefault="00D96293" w:rsidP="000063B8">
      <w:pPr>
        <w:pStyle w:val="Default"/>
        <w:spacing w:after="180" w:line="276" w:lineRule="auto"/>
        <w:rPr>
          <w:rFonts w:ascii="Arial" w:hAnsi="Arial" w:cs="Arial"/>
          <w:b/>
          <w:bCs/>
        </w:rPr>
      </w:pPr>
      <w:r w:rsidRPr="00D96293">
        <w:rPr>
          <w:rFonts w:ascii="Arial" w:hAnsi="Arial" w:cs="Arial"/>
          <w:b/>
          <w:bCs/>
        </w:rPr>
        <w:lastRenderedPageBreak/>
        <w:t xml:space="preserve">Table </w:t>
      </w:r>
      <w:r w:rsidR="003E1CD8">
        <w:rPr>
          <w:rFonts w:ascii="Arial" w:hAnsi="Arial" w:cs="Arial"/>
          <w:b/>
          <w:bCs/>
        </w:rPr>
        <w:t>8</w:t>
      </w:r>
    </w:p>
    <w:p w14:paraId="3EDBBDB9" w14:textId="63FF6BAA" w:rsidR="0067484A" w:rsidRDefault="0067484A" w:rsidP="000063B8">
      <w:pPr>
        <w:pStyle w:val="Default"/>
        <w:spacing w:after="180" w:line="276" w:lineRule="auto"/>
        <w:rPr>
          <w:rFonts w:ascii="Arial" w:hAnsi="Arial" w:cs="Arial"/>
        </w:rPr>
      </w:pPr>
    </w:p>
    <w:p w14:paraId="57BBE229" w14:textId="77777777" w:rsidR="002F64E8" w:rsidRDefault="002F64E8" w:rsidP="000063B8">
      <w:pPr>
        <w:pStyle w:val="Default"/>
        <w:spacing w:after="180" w:line="276" w:lineRule="auto"/>
        <w:rPr>
          <w:rFonts w:ascii="Arial" w:hAnsi="Arial" w:cs="Arial"/>
        </w:rPr>
      </w:pPr>
    </w:p>
    <w:p w14:paraId="71D4D30F" w14:textId="5D17A8CF" w:rsidR="002F64E8" w:rsidRDefault="002F64E8" w:rsidP="000063B8">
      <w:pPr>
        <w:pStyle w:val="Default"/>
        <w:spacing w:after="180" w:line="276" w:lineRule="auto"/>
        <w:rPr>
          <w:rFonts w:ascii="Arial" w:hAnsi="Arial" w:cs="Arial"/>
        </w:rPr>
        <w:sectPr w:rsidR="002F64E8" w:rsidSect="0067484A">
          <w:footnotePr>
            <w:numRestart w:val="eachPage"/>
          </w:footnotePr>
          <w:pgSz w:w="16838" w:h="11906" w:orient="landscape" w:code="9"/>
          <w:pgMar w:top="1440" w:right="1440" w:bottom="1440" w:left="1440" w:header="709" w:footer="709" w:gutter="0"/>
          <w:cols w:space="708"/>
          <w:docGrid w:linePitch="360"/>
        </w:sectPr>
      </w:pPr>
      <w:r>
        <w:rPr>
          <w:noProof/>
        </w:rPr>
        <w:lastRenderedPageBreak/>
        <w:drawing>
          <wp:inline distT="0" distB="0" distL="0" distR="0" wp14:anchorId="6FB4072E" wp14:editId="688464D2">
            <wp:extent cx="5139690" cy="5731510"/>
            <wp:effectExtent l="0" t="0" r="3810" b="2540"/>
            <wp:docPr id="6" name="Picture 6"/>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39690" cy="5731510"/>
                    </a:xfrm>
                    <a:prstGeom prst="rect">
                      <a:avLst/>
                    </a:prstGeom>
                    <a:noFill/>
                    <a:ln>
                      <a:noFill/>
                    </a:ln>
                  </pic:spPr>
                </pic:pic>
              </a:graphicData>
            </a:graphic>
          </wp:inline>
        </w:drawing>
      </w:r>
    </w:p>
    <w:p w14:paraId="14786DB3" w14:textId="77777777" w:rsidR="00243255" w:rsidRPr="00C541B1" w:rsidRDefault="00243255" w:rsidP="00977B99">
      <w:pPr>
        <w:pStyle w:val="Default"/>
        <w:spacing w:after="120" w:line="276" w:lineRule="auto"/>
        <w:rPr>
          <w:rFonts w:ascii="Arial" w:hAnsi="Arial" w:cs="Arial"/>
        </w:rPr>
      </w:pPr>
      <w:r w:rsidRPr="00C541B1">
        <w:rPr>
          <w:rFonts w:ascii="Arial" w:hAnsi="Arial" w:cs="Arial"/>
        </w:rPr>
        <w:lastRenderedPageBreak/>
        <w:t xml:space="preserve">Almost all UK oil and gas production comes from fields located offshore. Maps showing the location of oil and gas fields in </w:t>
      </w:r>
      <w:r w:rsidR="00A8012E" w:rsidRPr="00C541B1">
        <w:rPr>
          <w:rFonts w:ascii="Arial" w:hAnsi="Arial" w:cs="Arial"/>
        </w:rPr>
        <w:t>GB</w:t>
      </w:r>
      <w:r w:rsidRPr="00C541B1">
        <w:rPr>
          <w:rFonts w:ascii="Arial" w:hAnsi="Arial" w:cs="Arial"/>
        </w:rPr>
        <w:t xml:space="preserve"> and on the UK Continental Shelf (UKCS) are published online by the Oil and Gas Authority (OGA).</w:t>
      </w:r>
      <w:r w:rsidRPr="00C541B1">
        <w:rPr>
          <w:rFonts w:ascii="Arial" w:hAnsi="Arial" w:cs="Arial"/>
          <w:vertAlign w:val="superscript"/>
        </w:rPr>
        <w:footnoteReference w:id="11"/>
      </w:r>
      <w:r w:rsidRPr="00C541B1">
        <w:rPr>
          <w:rFonts w:ascii="Arial" w:hAnsi="Arial" w:cs="Arial"/>
        </w:rPr>
        <w:t xml:space="preserve"> These maps also show which areas are under licence offshore and onshore in Great Britain. A map showing which areas are under licence in Northern Ireland is published by the Northern Ireland Department for the Economy (DfE)</w:t>
      </w:r>
      <w:r w:rsidRPr="00C541B1">
        <w:rPr>
          <w:rFonts w:ascii="Arial" w:hAnsi="Arial" w:cs="Arial"/>
          <w:vertAlign w:val="superscript"/>
        </w:rPr>
        <w:footnoteReference w:id="12"/>
      </w:r>
      <w:r w:rsidRPr="00C541B1">
        <w:rPr>
          <w:rFonts w:ascii="Arial" w:hAnsi="Arial" w:cs="Arial"/>
        </w:rPr>
        <w:t xml:space="preserve"> but there is </w:t>
      </w:r>
      <w:proofErr w:type="gramStart"/>
      <w:r w:rsidRPr="00C541B1">
        <w:rPr>
          <w:rFonts w:ascii="Arial" w:hAnsi="Arial" w:cs="Arial"/>
        </w:rPr>
        <w:t>as yet</w:t>
      </w:r>
      <w:proofErr w:type="gramEnd"/>
      <w:r w:rsidRPr="00C541B1">
        <w:rPr>
          <w:rFonts w:ascii="Arial" w:hAnsi="Arial" w:cs="Arial"/>
        </w:rPr>
        <w:t xml:space="preserve"> no production there.</w:t>
      </w:r>
    </w:p>
    <w:p w14:paraId="6B151A7B" w14:textId="77777777" w:rsidR="00243255" w:rsidRPr="007A5FDE" w:rsidRDefault="00243255" w:rsidP="00977B99">
      <w:pPr>
        <w:pStyle w:val="Default"/>
        <w:spacing w:after="120" w:line="276" w:lineRule="auto"/>
        <w:rPr>
          <w:rFonts w:ascii="Arial" w:hAnsi="Arial" w:cs="Arial"/>
        </w:rPr>
      </w:pPr>
      <w:proofErr w:type="gramStart"/>
      <w:r w:rsidRPr="007A5FDE">
        <w:rPr>
          <w:rFonts w:ascii="Arial" w:hAnsi="Arial" w:cs="Arial"/>
        </w:rPr>
        <w:t>The majority of</w:t>
      </w:r>
      <w:proofErr w:type="gramEnd"/>
      <w:r w:rsidRPr="007A5FDE">
        <w:rPr>
          <w:rFonts w:ascii="Arial" w:hAnsi="Arial" w:cs="Arial"/>
        </w:rPr>
        <w:t xml:space="preserve"> coal production comes from sites in Scotland, England and South Wales, as mapped by the Coal Authority.</w:t>
      </w:r>
      <w:r w:rsidRPr="007A5FDE">
        <w:rPr>
          <w:rFonts w:ascii="Arial" w:hAnsi="Arial" w:cs="Arial"/>
          <w:vertAlign w:val="superscript"/>
        </w:rPr>
        <w:footnoteReference w:id="13"/>
      </w:r>
      <w:r w:rsidRPr="007A5FDE">
        <w:rPr>
          <w:rFonts w:ascii="Arial" w:hAnsi="Arial" w:cs="Arial"/>
        </w:rPr>
        <w:t xml:space="preserve"> The mining and quarrying of non-hydrocarbon minerals are widely distributed across the UK. There are no significant hard-rock aggregate deposits in the South and East of England, so these materials are transported for use in these regions from further afield in the Midlands and South West in particular.</w:t>
      </w:r>
    </w:p>
    <w:p w14:paraId="2B7DCF90" w14:textId="77777777" w:rsidR="00243255" w:rsidRPr="004B7F46" w:rsidRDefault="00243255" w:rsidP="005A15CE">
      <w:pPr>
        <w:pStyle w:val="Heading2"/>
        <w:keepLines w:val="0"/>
        <w:numPr>
          <w:ilvl w:val="1"/>
          <w:numId w:val="16"/>
        </w:numPr>
        <w:shd w:val="clear" w:color="auto" w:fill="BFBFBF"/>
        <w:tabs>
          <w:tab w:val="clear" w:pos="567"/>
        </w:tabs>
        <w:spacing w:after="180" w:line="276" w:lineRule="auto"/>
        <w:ind w:left="567" w:hanging="567"/>
        <w:rPr>
          <w:szCs w:val="24"/>
        </w:rPr>
      </w:pPr>
      <w:r w:rsidRPr="004B7F46">
        <w:rPr>
          <w:rFonts w:cs="Arial"/>
          <w:szCs w:val="24"/>
        </w:rPr>
        <w:t>UK fossil fuel production and UK energy demand</w:t>
      </w:r>
    </w:p>
    <w:p w14:paraId="14908368" w14:textId="037E4F38" w:rsidR="00F02CEF" w:rsidRDefault="00243255" w:rsidP="00977B99">
      <w:pPr>
        <w:pStyle w:val="Default"/>
        <w:spacing w:after="120" w:line="276" w:lineRule="auto"/>
        <w:rPr>
          <w:rFonts w:ascii="Arial" w:hAnsi="Arial" w:cs="Arial"/>
          <w:color w:val="auto"/>
        </w:rPr>
      </w:pPr>
      <w:r w:rsidRPr="007A5FDE">
        <w:rPr>
          <w:rFonts w:ascii="Arial" w:hAnsi="Arial" w:cs="Arial"/>
          <w:color w:val="auto"/>
        </w:rPr>
        <w:t xml:space="preserve">UK production of fossil fuels has been, and continues to be, significant in terms of meeting UK energy demand. This is particularly true of oil and gas but, nowadays, much less so for coal. While the share of total demand represented by fossil fuels has been declining, they still account for </w:t>
      </w:r>
      <w:r w:rsidR="009C146D">
        <w:rPr>
          <w:rFonts w:ascii="Arial" w:hAnsi="Arial" w:cs="Arial"/>
          <w:color w:val="auto"/>
        </w:rPr>
        <w:t xml:space="preserve">around </w:t>
      </w:r>
      <w:r w:rsidRPr="007A5FDE">
        <w:rPr>
          <w:rFonts w:ascii="Arial" w:hAnsi="Arial" w:cs="Arial"/>
          <w:color w:val="auto"/>
        </w:rPr>
        <w:t>four fifths of total primary energy demand</w:t>
      </w:r>
      <w:r w:rsidR="00BF3C18" w:rsidRPr="007A5FDE">
        <w:rPr>
          <w:rFonts w:ascii="Arial" w:hAnsi="Arial" w:cs="Arial"/>
          <w:color w:val="auto"/>
        </w:rPr>
        <w:t xml:space="preserve"> and are </w:t>
      </w:r>
      <w:r w:rsidR="009C146D">
        <w:rPr>
          <w:rFonts w:ascii="Arial" w:hAnsi="Arial" w:cs="Arial"/>
          <w:color w:val="auto"/>
        </w:rPr>
        <w:t xml:space="preserve">currently </w:t>
      </w:r>
      <w:r w:rsidR="00BF3C18" w:rsidRPr="007A5FDE">
        <w:rPr>
          <w:rFonts w:ascii="Arial" w:hAnsi="Arial" w:cs="Arial"/>
          <w:color w:val="auto"/>
        </w:rPr>
        <w:t xml:space="preserve">forecast </w:t>
      </w:r>
      <w:r w:rsidR="009C146D">
        <w:rPr>
          <w:rFonts w:ascii="Arial" w:hAnsi="Arial" w:cs="Arial"/>
          <w:color w:val="auto"/>
        </w:rPr>
        <w:t xml:space="preserve">by BEIS </w:t>
      </w:r>
      <w:r w:rsidR="00BF3C18" w:rsidRPr="007A5FDE">
        <w:rPr>
          <w:rFonts w:ascii="Arial" w:hAnsi="Arial" w:cs="Arial"/>
          <w:color w:val="auto"/>
        </w:rPr>
        <w:t xml:space="preserve">to account for </w:t>
      </w:r>
      <w:r w:rsidR="009C146D">
        <w:rPr>
          <w:rFonts w:ascii="Arial" w:hAnsi="Arial" w:cs="Arial"/>
          <w:color w:val="auto"/>
        </w:rPr>
        <w:t xml:space="preserve">nearly 70% </w:t>
      </w:r>
      <w:r w:rsidR="004465ED" w:rsidRPr="007A5FDE">
        <w:rPr>
          <w:rFonts w:ascii="Arial" w:hAnsi="Arial" w:cs="Arial"/>
          <w:color w:val="auto"/>
        </w:rPr>
        <w:t xml:space="preserve">of total primary energy demand </w:t>
      </w:r>
      <w:r w:rsidR="00350E1D" w:rsidRPr="007A5FDE">
        <w:rPr>
          <w:rFonts w:ascii="Arial" w:hAnsi="Arial" w:cs="Arial"/>
          <w:color w:val="auto"/>
        </w:rPr>
        <w:t xml:space="preserve">even in </w:t>
      </w:r>
      <w:r w:rsidR="004465ED" w:rsidRPr="007A5FDE">
        <w:rPr>
          <w:rFonts w:ascii="Arial" w:hAnsi="Arial" w:cs="Arial"/>
          <w:color w:val="auto"/>
        </w:rPr>
        <w:t>2035</w:t>
      </w:r>
      <w:r w:rsidRPr="007A5FDE">
        <w:rPr>
          <w:rFonts w:ascii="Arial" w:hAnsi="Arial" w:cs="Arial"/>
          <w:color w:val="auto"/>
        </w:rPr>
        <w:t>.</w:t>
      </w:r>
      <w:r w:rsidR="00B328E2" w:rsidRPr="007A5FDE">
        <w:rPr>
          <w:rStyle w:val="FootnoteReference"/>
          <w:rFonts w:ascii="Arial" w:hAnsi="Arial" w:cs="Arial"/>
          <w:color w:val="auto"/>
        </w:rPr>
        <w:footnoteReference w:id="14"/>
      </w:r>
    </w:p>
    <w:p w14:paraId="6792CA14" w14:textId="54E31F07" w:rsidR="00DB6972" w:rsidRPr="007A5FDE" w:rsidRDefault="00DB6972" w:rsidP="00977B99">
      <w:pPr>
        <w:pStyle w:val="Default"/>
        <w:spacing w:after="120" w:line="276" w:lineRule="auto"/>
      </w:pPr>
      <w:r>
        <w:rPr>
          <w:rFonts w:ascii="Arial" w:hAnsi="Arial" w:cs="Arial"/>
          <w:color w:val="auto"/>
        </w:rPr>
        <w:t>The two charts below show the evolution of UK energy demand and production</w:t>
      </w:r>
      <w:r w:rsidR="00855D86">
        <w:rPr>
          <w:rFonts w:ascii="Arial" w:hAnsi="Arial" w:cs="Arial"/>
          <w:color w:val="auto"/>
        </w:rPr>
        <w:t xml:space="preserve"> since 2000</w:t>
      </w:r>
      <w:r>
        <w:rPr>
          <w:rFonts w:ascii="Arial" w:hAnsi="Arial" w:cs="Arial"/>
          <w:color w:val="auto"/>
        </w:rPr>
        <w:t>.</w:t>
      </w:r>
      <w:r w:rsidR="00462DA5">
        <w:rPr>
          <w:rFonts w:ascii="Arial" w:hAnsi="Arial" w:cs="Arial"/>
          <w:color w:val="auto"/>
        </w:rPr>
        <w:t xml:space="preserve"> The recent decline in coal use and growth in renewables are shown clearly</w:t>
      </w:r>
      <w:r w:rsidR="004C4384">
        <w:rPr>
          <w:rFonts w:ascii="Arial" w:hAnsi="Arial" w:cs="Arial"/>
          <w:color w:val="auto"/>
        </w:rPr>
        <w:t>.</w:t>
      </w:r>
    </w:p>
    <w:p w14:paraId="61DAC0AF" w14:textId="03B300F9" w:rsidR="00E909C8" w:rsidRPr="00C41EA5" w:rsidRDefault="00E909C8" w:rsidP="00E909C8">
      <w:pPr>
        <w:spacing w:before="120" w:after="180" w:line="276" w:lineRule="auto"/>
        <w:rPr>
          <w:sz w:val="18"/>
          <w:szCs w:val="18"/>
        </w:rPr>
      </w:pPr>
      <w:bookmarkStart w:id="6" w:name="_Toc512547340"/>
    </w:p>
    <w:p w14:paraId="070DFA30" w14:textId="7D1B06C8" w:rsidR="00515DFC" w:rsidRPr="00595CB3" w:rsidRDefault="00805570" w:rsidP="00BC7065">
      <w:pPr>
        <w:pStyle w:val="Caption"/>
        <w:keepNext/>
        <w:spacing w:before="0" w:line="276" w:lineRule="auto"/>
        <w:outlineLvl w:val="0"/>
        <w:rPr>
          <w:rFonts w:ascii="Arial" w:hAnsi="Arial" w:cs="Arial"/>
          <w:bCs/>
          <w:sz w:val="22"/>
          <w:szCs w:val="22"/>
        </w:rPr>
      </w:pPr>
      <w:r w:rsidRPr="00595CB3">
        <w:rPr>
          <w:rFonts w:ascii="Arial" w:hAnsi="Arial" w:cs="Arial"/>
          <w:sz w:val="22"/>
          <w:szCs w:val="22"/>
        </w:rPr>
        <w:lastRenderedPageBreak/>
        <w:t>Figure</w:t>
      </w:r>
      <w:r w:rsidR="0034451B">
        <w:rPr>
          <w:rFonts w:ascii="Arial" w:hAnsi="Arial" w:cs="Arial"/>
          <w:sz w:val="22"/>
          <w:szCs w:val="22"/>
        </w:rPr>
        <w:t>s</w:t>
      </w:r>
      <w:r w:rsidRPr="00595CB3">
        <w:rPr>
          <w:rFonts w:ascii="Arial" w:hAnsi="Arial" w:cs="Arial"/>
          <w:sz w:val="22"/>
          <w:szCs w:val="22"/>
        </w:rPr>
        <w:t xml:space="preserve"> </w:t>
      </w:r>
      <w:r w:rsidR="000A05D0">
        <w:rPr>
          <w:rFonts w:ascii="Arial" w:hAnsi="Arial" w:cs="Arial"/>
          <w:sz w:val="22"/>
          <w:szCs w:val="22"/>
        </w:rPr>
        <w:t>2</w:t>
      </w:r>
      <w:r w:rsidR="0034451B">
        <w:rPr>
          <w:rFonts w:ascii="Arial" w:hAnsi="Arial" w:cs="Arial"/>
          <w:sz w:val="22"/>
          <w:szCs w:val="22"/>
        </w:rPr>
        <w:t xml:space="preserve"> and </w:t>
      </w:r>
      <w:r w:rsidR="000D46E9">
        <w:rPr>
          <w:rFonts w:ascii="Arial" w:hAnsi="Arial" w:cs="Arial"/>
          <w:sz w:val="22"/>
          <w:szCs w:val="22"/>
        </w:rPr>
        <w:t>3</w:t>
      </w:r>
      <w:r w:rsidR="00EF0EF3" w:rsidRPr="00595CB3">
        <w:rPr>
          <w:rFonts w:ascii="Arial" w:hAnsi="Arial" w:cs="Arial"/>
          <w:sz w:val="22"/>
          <w:szCs w:val="22"/>
        </w:rPr>
        <w:t>.</w:t>
      </w:r>
      <w:r w:rsidRPr="00595CB3">
        <w:rPr>
          <w:rFonts w:ascii="Arial" w:hAnsi="Arial" w:cs="Arial"/>
          <w:sz w:val="22"/>
          <w:szCs w:val="22"/>
        </w:rPr>
        <w:t xml:space="preserve"> </w:t>
      </w:r>
      <w:r w:rsidR="00515DFC" w:rsidRPr="00595CB3">
        <w:rPr>
          <w:rFonts w:ascii="Arial" w:hAnsi="Arial" w:cs="Arial"/>
          <w:bCs/>
          <w:sz w:val="22"/>
          <w:szCs w:val="22"/>
        </w:rPr>
        <w:t xml:space="preserve">UK </w:t>
      </w:r>
      <w:r w:rsidR="00B2484F">
        <w:rPr>
          <w:rFonts w:ascii="Arial" w:hAnsi="Arial" w:cs="Arial"/>
          <w:bCs/>
          <w:sz w:val="22"/>
          <w:szCs w:val="22"/>
        </w:rPr>
        <w:t xml:space="preserve">energy demand and </w:t>
      </w:r>
      <w:r w:rsidR="00515DFC" w:rsidRPr="00595CB3">
        <w:rPr>
          <w:rFonts w:ascii="Arial" w:hAnsi="Arial" w:cs="Arial"/>
          <w:bCs/>
          <w:sz w:val="22"/>
          <w:szCs w:val="22"/>
        </w:rPr>
        <w:t>production</w:t>
      </w:r>
      <w:r w:rsidR="00B876FD" w:rsidRPr="00595CB3">
        <w:rPr>
          <w:rStyle w:val="FootnoteReference"/>
          <w:rFonts w:ascii="Arial" w:hAnsi="Arial" w:cs="Arial"/>
          <w:sz w:val="22"/>
          <w:szCs w:val="22"/>
        </w:rPr>
        <w:footnoteReference w:id="15"/>
      </w:r>
      <w:bookmarkEnd w:id="6"/>
    </w:p>
    <w:p w14:paraId="39303433" w14:textId="1CA7036A" w:rsidR="00FD402C" w:rsidRDefault="00FD402C" w:rsidP="007A1E34">
      <w:pPr>
        <w:keepNext/>
        <w:spacing w:before="120" w:after="180" w:line="276" w:lineRule="auto"/>
        <w:rPr>
          <w:iCs/>
          <w:sz w:val="18"/>
          <w:szCs w:val="18"/>
        </w:rPr>
      </w:pPr>
    </w:p>
    <w:p w14:paraId="5AB76787" w14:textId="3479380A" w:rsidR="0034451B" w:rsidRDefault="0034451B" w:rsidP="007A1E34">
      <w:pPr>
        <w:keepNext/>
        <w:spacing w:before="120" w:after="180" w:line="276" w:lineRule="auto"/>
        <w:rPr>
          <w:iCs/>
          <w:sz w:val="18"/>
          <w:szCs w:val="18"/>
        </w:rPr>
      </w:pPr>
      <w:r w:rsidRPr="0034451B">
        <w:rPr>
          <w:noProof/>
        </w:rPr>
        <w:drawing>
          <wp:inline distT="0" distB="0" distL="0" distR="0" wp14:anchorId="6DF93A19" wp14:editId="721715C6">
            <wp:extent cx="5731510" cy="3188335"/>
            <wp:effectExtent l="0" t="0" r="2540" b="0"/>
            <wp:docPr id="20" name="Picture 20" descr="Figure 2A showing UK energy demand from 2000-2018 in million tonnes of oil equivalent for oil, coal, gas, renewables and other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1510" cy="3188335"/>
                    </a:xfrm>
                    <a:prstGeom prst="rect">
                      <a:avLst/>
                    </a:prstGeom>
                    <a:noFill/>
                    <a:ln>
                      <a:noFill/>
                    </a:ln>
                  </pic:spPr>
                </pic:pic>
              </a:graphicData>
            </a:graphic>
          </wp:inline>
        </w:drawing>
      </w:r>
    </w:p>
    <w:p w14:paraId="2967B8BE" w14:textId="50F14EF0" w:rsidR="0034451B" w:rsidRDefault="0034451B" w:rsidP="007A1E34">
      <w:pPr>
        <w:keepNext/>
        <w:spacing w:before="120" w:after="180" w:line="276" w:lineRule="auto"/>
        <w:rPr>
          <w:iCs/>
          <w:sz w:val="18"/>
          <w:szCs w:val="18"/>
        </w:rPr>
      </w:pPr>
      <w:r w:rsidRPr="0034451B">
        <w:rPr>
          <w:noProof/>
        </w:rPr>
        <w:drawing>
          <wp:inline distT="0" distB="0" distL="0" distR="0" wp14:anchorId="04A7B3AB" wp14:editId="409199D8">
            <wp:extent cx="5731510" cy="3188335"/>
            <wp:effectExtent l="0" t="0" r="2540" b="0"/>
            <wp:docPr id="23" name="Picture 23" descr="Figure 2B showing energy production from 2000-2018 in million tonnes of oil equivalent for oil, gas, coal, renewables and other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3188335"/>
                    </a:xfrm>
                    <a:prstGeom prst="rect">
                      <a:avLst/>
                    </a:prstGeom>
                    <a:noFill/>
                    <a:ln>
                      <a:noFill/>
                    </a:ln>
                  </pic:spPr>
                </pic:pic>
              </a:graphicData>
            </a:graphic>
          </wp:inline>
        </w:drawing>
      </w:r>
    </w:p>
    <w:p w14:paraId="3E43A8E7" w14:textId="1BB04F18" w:rsidR="00243255" w:rsidRDefault="00243255" w:rsidP="00977B99">
      <w:pPr>
        <w:spacing w:before="120" w:after="180" w:line="276" w:lineRule="auto"/>
        <w:rPr>
          <w:sz w:val="18"/>
          <w:szCs w:val="18"/>
        </w:rPr>
      </w:pPr>
      <w:r w:rsidRPr="00C41EA5">
        <w:rPr>
          <w:iCs/>
          <w:sz w:val="18"/>
          <w:szCs w:val="18"/>
        </w:rPr>
        <w:t>Source</w:t>
      </w:r>
      <w:r w:rsidRPr="00C41EA5">
        <w:rPr>
          <w:sz w:val="18"/>
          <w:szCs w:val="18"/>
        </w:rPr>
        <w:t xml:space="preserve">: </w:t>
      </w:r>
      <w:r w:rsidR="0034451B" w:rsidRPr="0034451B">
        <w:rPr>
          <w:iCs/>
          <w:sz w:val="18"/>
          <w:szCs w:val="18"/>
        </w:rPr>
        <w:t>UK Energy in Brief 2019 dataset (BEIS, August 2019), Aggregated Energy Balances showing proportion of Renewables (BEIS, September 2019) and DUKES 2019 (BEIS, July 2019)</w:t>
      </w:r>
      <w:r w:rsidR="00C41EA5" w:rsidRPr="00C41EA5">
        <w:rPr>
          <w:sz w:val="18"/>
          <w:szCs w:val="18"/>
        </w:rPr>
        <w:t>.</w:t>
      </w:r>
    </w:p>
    <w:p w14:paraId="3E69E384" w14:textId="0BC8DDEF" w:rsidR="002D5F29" w:rsidRDefault="002D5F29" w:rsidP="00075832">
      <w:pPr>
        <w:pStyle w:val="Default"/>
        <w:spacing w:after="180" w:line="276" w:lineRule="auto"/>
        <w:rPr>
          <w:rFonts w:ascii="Arial" w:eastAsiaTheme="minorHAnsi" w:hAnsi="Arial" w:cs="Arial"/>
          <w:iCs/>
          <w:color w:val="auto"/>
          <w:sz w:val="18"/>
          <w:szCs w:val="18"/>
        </w:rPr>
      </w:pPr>
    </w:p>
    <w:p w14:paraId="73CCFF27" w14:textId="77777777" w:rsidR="00065892" w:rsidRPr="00DA0726" w:rsidRDefault="00065892" w:rsidP="00065892">
      <w:pPr>
        <w:pStyle w:val="Heading1"/>
        <w:keepNext w:val="0"/>
        <w:keepLines w:val="0"/>
        <w:pageBreakBefore/>
        <w:shd w:val="clear" w:color="auto" w:fill="1F4E79"/>
        <w:tabs>
          <w:tab w:val="clear" w:pos="567"/>
        </w:tabs>
        <w:spacing w:line="276" w:lineRule="auto"/>
        <w:rPr>
          <w:rFonts w:cs="Arial"/>
          <w:color w:val="FFFFFF" w:themeColor="background1"/>
          <w:szCs w:val="24"/>
          <w:lang w:val="en-GB"/>
        </w:rPr>
      </w:pPr>
      <w:r w:rsidRPr="00DA0726">
        <w:rPr>
          <w:rFonts w:cs="Arial"/>
          <w:color w:val="FFFFFF" w:themeColor="background1"/>
          <w:szCs w:val="24"/>
          <w:lang w:val="en-GB"/>
        </w:rPr>
        <w:lastRenderedPageBreak/>
        <w:t>Glossary of abbreviations FOR EXTRACTIVE INDUSTRIES BACKGROUND INFORMATION</w:t>
      </w:r>
    </w:p>
    <w:p w14:paraId="1A657587" w14:textId="77777777" w:rsidR="00065892" w:rsidRDefault="00065892" w:rsidP="00065892">
      <w:pPr>
        <w:pStyle w:val="Default"/>
        <w:keepNext/>
        <w:rPr>
          <w:rFonts w:ascii="Arial" w:hAnsi="Arial" w:cs="Arial"/>
          <w:b/>
          <w:bCs/>
          <w:sz w:val="22"/>
          <w:szCs w:val="22"/>
          <w:highlight w:val="yellow"/>
        </w:rPr>
      </w:pPr>
    </w:p>
    <w:tbl>
      <w:tblPr>
        <w:tblW w:w="5000" w:type="pct"/>
        <w:tblCellMar>
          <w:left w:w="70" w:type="dxa"/>
          <w:right w:w="70" w:type="dxa"/>
        </w:tblCellMar>
        <w:tblLook w:val="04A0" w:firstRow="1" w:lastRow="0" w:firstColumn="1" w:lastColumn="0" w:noHBand="0" w:noVBand="1"/>
      </w:tblPr>
      <w:tblGrid>
        <w:gridCol w:w="1042"/>
        <w:gridCol w:w="7984"/>
      </w:tblGrid>
      <w:tr w:rsidR="00065892" w:rsidRPr="007D3BE2" w14:paraId="32DDD688" w14:textId="77777777" w:rsidTr="004C7D38">
        <w:trPr>
          <w:trHeight w:val="340"/>
        </w:trPr>
        <w:tc>
          <w:tcPr>
            <w:tcW w:w="577" w:type="pct"/>
            <w:tcBorders>
              <w:top w:val="nil"/>
              <w:left w:val="nil"/>
              <w:bottom w:val="nil"/>
              <w:right w:val="nil"/>
            </w:tcBorders>
            <w:shd w:val="clear" w:color="000000" w:fill="BDD7EE"/>
            <w:vAlign w:val="center"/>
            <w:hideMark/>
          </w:tcPr>
          <w:p w14:paraId="415A8759"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BEIS</w:t>
            </w:r>
          </w:p>
        </w:tc>
        <w:tc>
          <w:tcPr>
            <w:tcW w:w="4423" w:type="pct"/>
            <w:tcBorders>
              <w:top w:val="nil"/>
              <w:left w:val="nil"/>
              <w:bottom w:val="nil"/>
              <w:right w:val="nil"/>
            </w:tcBorders>
            <w:shd w:val="clear" w:color="000000" w:fill="BDD7EE"/>
            <w:vAlign w:val="center"/>
            <w:hideMark/>
          </w:tcPr>
          <w:p w14:paraId="490729DD" w14:textId="77777777" w:rsidR="00065892" w:rsidRPr="007D3BE2" w:rsidRDefault="00065892" w:rsidP="004C7D38">
            <w:pPr>
              <w:rPr>
                <w:rFonts w:eastAsia="Times New Roman"/>
                <w:color w:val="000000"/>
                <w:sz w:val="18"/>
                <w:szCs w:val="18"/>
                <w:lang w:val="fr-FR" w:eastAsia="fr-FR"/>
              </w:rPr>
            </w:pPr>
            <w:proofErr w:type="spellStart"/>
            <w:r w:rsidRPr="007D3BE2">
              <w:rPr>
                <w:rFonts w:eastAsia="Times New Roman"/>
                <w:color w:val="000000"/>
                <w:sz w:val="18"/>
                <w:szCs w:val="18"/>
                <w:lang w:val="fr-FR" w:eastAsia="fr-FR"/>
              </w:rPr>
              <w:t>Department</w:t>
            </w:r>
            <w:proofErr w:type="spellEnd"/>
            <w:r w:rsidRPr="007D3BE2">
              <w:rPr>
                <w:rFonts w:eastAsia="Times New Roman"/>
                <w:color w:val="000000"/>
                <w:sz w:val="18"/>
                <w:szCs w:val="18"/>
                <w:lang w:val="fr-FR" w:eastAsia="fr-FR"/>
              </w:rPr>
              <w:t xml:space="preserve"> for Business, Energy &amp; Industrial Strategy</w:t>
            </w:r>
          </w:p>
        </w:tc>
      </w:tr>
      <w:tr w:rsidR="00065892" w:rsidRPr="007D3BE2" w14:paraId="4867FB62" w14:textId="77777777" w:rsidTr="004C7D38">
        <w:trPr>
          <w:trHeight w:val="340"/>
        </w:trPr>
        <w:tc>
          <w:tcPr>
            <w:tcW w:w="577" w:type="pct"/>
            <w:tcBorders>
              <w:top w:val="nil"/>
              <w:left w:val="nil"/>
              <w:bottom w:val="nil"/>
              <w:right w:val="nil"/>
            </w:tcBorders>
            <w:shd w:val="clear" w:color="auto" w:fill="auto"/>
            <w:vAlign w:val="center"/>
            <w:hideMark/>
          </w:tcPr>
          <w:p w14:paraId="037BF1AE" w14:textId="77777777" w:rsidR="00065892" w:rsidRPr="007D3BE2" w:rsidRDefault="00065892" w:rsidP="004C7D38">
            <w:pPr>
              <w:rPr>
                <w:rFonts w:eastAsia="Times New Roman"/>
                <w:color w:val="000000"/>
                <w:sz w:val="18"/>
                <w:szCs w:val="18"/>
                <w:lang w:val="fr-FR" w:eastAsia="fr-FR"/>
              </w:rPr>
            </w:pPr>
            <w:proofErr w:type="gramStart"/>
            <w:r w:rsidRPr="007D3BE2">
              <w:rPr>
                <w:rFonts w:eastAsia="Times New Roman"/>
                <w:color w:val="000000"/>
                <w:sz w:val="18"/>
                <w:szCs w:val="18"/>
                <w:lang w:val="fr-FR" w:eastAsia="fr-FR"/>
              </w:rPr>
              <w:t>billion</w:t>
            </w:r>
            <w:proofErr w:type="gramEnd"/>
          </w:p>
        </w:tc>
        <w:tc>
          <w:tcPr>
            <w:tcW w:w="4423" w:type="pct"/>
            <w:tcBorders>
              <w:top w:val="nil"/>
              <w:left w:val="nil"/>
              <w:bottom w:val="nil"/>
              <w:right w:val="nil"/>
            </w:tcBorders>
            <w:shd w:val="clear" w:color="auto" w:fill="auto"/>
            <w:vAlign w:val="center"/>
            <w:hideMark/>
          </w:tcPr>
          <w:p w14:paraId="44F3649F" w14:textId="77777777" w:rsidR="00065892" w:rsidRPr="007D3BE2" w:rsidRDefault="00065892" w:rsidP="004C7D38">
            <w:pPr>
              <w:rPr>
                <w:rFonts w:eastAsia="Times New Roman"/>
                <w:color w:val="000000"/>
                <w:sz w:val="18"/>
                <w:szCs w:val="18"/>
                <w:lang w:val="fr-FR" w:eastAsia="fr-FR"/>
              </w:rPr>
            </w:pPr>
            <w:proofErr w:type="gramStart"/>
            <w:r w:rsidRPr="007D3BE2">
              <w:rPr>
                <w:rFonts w:eastAsia="Times New Roman"/>
                <w:color w:val="000000"/>
                <w:sz w:val="18"/>
                <w:szCs w:val="18"/>
                <w:lang w:val="fr-FR" w:eastAsia="fr-FR"/>
              </w:rPr>
              <w:t>one</w:t>
            </w:r>
            <w:proofErr w:type="gramEnd"/>
            <w:r w:rsidRPr="007D3BE2">
              <w:rPr>
                <w:rFonts w:eastAsia="Times New Roman"/>
                <w:color w:val="000000"/>
                <w:sz w:val="18"/>
                <w:szCs w:val="18"/>
                <w:lang w:val="fr-FR" w:eastAsia="fr-FR"/>
              </w:rPr>
              <w:t xml:space="preserve"> </w:t>
            </w:r>
            <w:proofErr w:type="spellStart"/>
            <w:r w:rsidRPr="007D3BE2">
              <w:rPr>
                <w:rFonts w:eastAsia="Times New Roman"/>
                <w:color w:val="000000"/>
                <w:sz w:val="18"/>
                <w:szCs w:val="18"/>
                <w:lang w:val="fr-FR" w:eastAsia="fr-FR"/>
              </w:rPr>
              <w:t>thousand</w:t>
            </w:r>
            <w:proofErr w:type="spellEnd"/>
            <w:r w:rsidRPr="007D3BE2">
              <w:rPr>
                <w:rFonts w:eastAsia="Times New Roman"/>
                <w:color w:val="000000"/>
                <w:sz w:val="18"/>
                <w:szCs w:val="18"/>
                <w:lang w:val="fr-FR" w:eastAsia="fr-FR"/>
              </w:rPr>
              <w:t xml:space="preserve"> million or 10</w:t>
            </w:r>
            <w:r w:rsidRPr="007D3BE2">
              <w:rPr>
                <w:rFonts w:eastAsia="Times New Roman"/>
                <w:color w:val="000000"/>
                <w:sz w:val="18"/>
                <w:szCs w:val="18"/>
                <w:vertAlign w:val="superscript"/>
                <w:lang w:val="fr-FR" w:eastAsia="fr-FR"/>
              </w:rPr>
              <w:t>9</w:t>
            </w:r>
          </w:p>
        </w:tc>
      </w:tr>
      <w:tr w:rsidR="00065892" w:rsidRPr="007D3BE2" w14:paraId="79A592C6" w14:textId="77777777" w:rsidTr="00D244F2">
        <w:trPr>
          <w:trHeight w:val="340"/>
        </w:trPr>
        <w:tc>
          <w:tcPr>
            <w:tcW w:w="577" w:type="pct"/>
            <w:tcBorders>
              <w:top w:val="nil"/>
              <w:left w:val="nil"/>
              <w:bottom w:val="nil"/>
              <w:right w:val="nil"/>
            </w:tcBorders>
            <w:shd w:val="clear" w:color="000000" w:fill="BDD7EE"/>
            <w:vAlign w:val="center"/>
          </w:tcPr>
          <w:p w14:paraId="5823AD5A" w14:textId="27B7C646" w:rsidR="00065892" w:rsidRPr="007D3BE2" w:rsidRDefault="00065892" w:rsidP="004C7D38">
            <w:pPr>
              <w:rPr>
                <w:rFonts w:eastAsia="Times New Roman"/>
                <w:color w:val="000000"/>
                <w:sz w:val="18"/>
                <w:szCs w:val="18"/>
                <w:lang w:val="fr-FR" w:eastAsia="fr-FR"/>
              </w:rPr>
            </w:pPr>
          </w:p>
        </w:tc>
        <w:tc>
          <w:tcPr>
            <w:tcW w:w="4423" w:type="pct"/>
            <w:tcBorders>
              <w:top w:val="nil"/>
              <w:left w:val="nil"/>
              <w:bottom w:val="nil"/>
              <w:right w:val="nil"/>
            </w:tcBorders>
            <w:shd w:val="clear" w:color="000000" w:fill="BDD7EE"/>
            <w:vAlign w:val="center"/>
          </w:tcPr>
          <w:p w14:paraId="6BBE2BDC" w14:textId="503E219A" w:rsidR="00065892" w:rsidRPr="007D3BE2" w:rsidRDefault="00065892" w:rsidP="004C7D38">
            <w:pPr>
              <w:rPr>
                <w:rFonts w:eastAsia="Times New Roman"/>
                <w:color w:val="000000"/>
                <w:sz w:val="18"/>
                <w:szCs w:val="18"/>
                <w:lang w:val="fr-FR" w:eastAsia="fr-FR"/>
              </w:rPr>
            </w:pPr>
          </w:p>
        </w:tc>
      </w:tr>
      <w:tr w:rsidR="00065892" w:rsidRPr="007D3BE2" w14:paraId="52D94D3A" w14:textId="77777777" w:rsidTr="00B354A2">
        <w:trPr>
          <w:trHeight w:val="340"/>
        </w:trPr>
        <w:tc>
          <w:tcPr>
            <w:tcW w:w="577" w:type="pct"/>
            <w:tcBorders>
              <w:top w:val="nil"/>
              <w:left w:val="nil"/>
              <w:bottom w:val="nil"/>
              <w:right w:val="nil"/>
            </w:tcBorders>
            <w:shd w:val="clear" w:color="auto" w:fill="auto"/>
            <w:vAlign w:val="center"/>
          </w:tcPr>
          <w:p w14:paraId="5FFCBFDF" w14:textId="1B09E574" w:rsidR="00065892" w:rsidRPr="007D3BE2" w:rsidRDefault="00065892" w:rsidP="004C7D38">
            <w:pPr>
              <w:rPr>
                <w:rFonts w:eastAsia="Times New Roman"/>
                <w:color w:val="000000"/>
                <w:sz w:val="18"/>
                <w:szCs w:val="18"/>
                <w:lang w:val="fr-FR" w:eastAsia="fr-FR"/>
              </w:rPr>
            </w:pPr>
          </w:p>
        </w:tc>
        <w:tc>
          <w:tcPr>
            <w:tcW w:w="4423" w:type="pct"/>
            <w:tcBorders>
              <w:top w:val="nil"/>
              <w:left w:val="nil"/>
              <w:bottom w:val="nil"/>
              <w:right w:val="nil"/>
            </w:tcBorders>
            <w:shd w:val="clear" w:color="auto" w:fill="auto"/>
            <w:vAlign w:val="center"/>
          </w:tcPr>
          <w:p w14:paraId="7E59B748" w14:textId="1970A5FE" w:rsidR="00065892" w:rsidRPr="007D3BE2" w:rsidRDefault="00065892" w:rsidP="004C7D38">
            <w:pPr>
              <w:rPr>
                <w:rFonts w:eastAsia="Times New Roman"/>
                <w:color w:val="000000"/>
                <w:sz w:val="18"/>
                <w:szCs w:val="18"/>
                <w:lang w:val="fr-FR" w:eastAsia="fr-FR"/>
              </w:rPr>
            </w:pPr>
          </w:p>
        </w:tc>
      </w:tr>
      <w:tr w:rsidR="00065892" w:rsidRPr="007D3BE2" w14:paraId="07BC5BD7" w14:textId="77777777" w:rsidTr="004C7D38">
        <w:trPr>
          <w:trHeight w:val="340"/>
        </w:trPr>
        <w:tc>
          <w:tcPr>
            <w:tcW w:w="577" w:type="pct"/>
            <w:tcBorders>
              <w:top w:val="nil"/>
              <w:left w:val="nil"/>
              <w:bottom w:val="nil"/>
              <w:right w:val="nil"/>
            </w:tcBorders>
            <w:shd w:val="clear" w:color="000000" w:fill="BDD7EE"/>
            <w:vAlign w:val="center"/>
            <w:hideMark/>
          </w:tcPr>
          <w:p w14:paraId="75747E83" w14:textId="77777777" w:rsidR="00065892" w:rsidRPr="007D3BE2" w:rsidRDefault="00065892" w:rsidP="004C7D38">
            <w:pPr>
              <w:rPr>
                <w:rFonts w:eastAsia="Times New Roman"/>
                <w:color w:val="000000"/>
                <w:sz w:val="18"/>
                <w:szCs w:val="18"/>
                <w:lang w:val="fr-FR" w:eastAsia="fr-FR"/>
              </w:rPr>
            </w:pPr>
            <w:proofErr w:type="spellStart"/>
            <w:r w:rsidRPr="007D3BE2">
              <w:rPr>
                <w:rFonts w:eastAsia="Times New Roman"/>
                <w:color w:val="000000"/>
                <w:sz w:val="18"/>
                <w:szCs w:val="18"/>
                <w:lang w:val="fr-FR" w:eastAsia="fr-FR"/>
              </w:rPr>
              <w:t>DfE</w:t>
            </w:r>
            <w:proofErr w:type="spellEnd"/>
          </w:p>
        </w:tc>
        <w:tc>
          <w:tcPr>
            <w:tcW w:w="4423" w:type="pct"/>
            <w:tcBorders>
              <w:top w:val="nil"/>
              <w:left w:val="nil"/>
              <w:bottom w:val="nil"/>
              <w:right w:val="nil"/>
            </w:tcBorders>
            <w:shd w:val="clear" w:color="000000" w:fill="BDD7EE"/>
            <w:vAlign w:val="center"/>
            <w:hideMark/>
          </w:tcPr>
          <w:p w14:paraId="11265CA2" w14:textId="77777777" w:rsidR="00065892" w:rsidRPr="007D3BE2" w:rsidRDefault="00065892" w:rsidP="004C7D38">
            <w:pPr>
              <w:rPr>
                <w:rFonts w:eastAsia="Times New Roman"/>
                <w:color w:val="000000"/>
                <w:sz w:val="18"/>
                <w:szCs w:val="18"/>
                <w:lang w:val="fr-FR" w:eastAsia="fr-FR"/>
              </w:rPr>
            </w:pPr>
            <w:proofErr w:type="spellStart"/>
            <w:r w:rsidRPr="007D3BE2">
              <w:rPr>
                <w:rFonts w:eastAsia="Times New Roman"/>
                <w:color w:val="000000"/>
                <w:sz w:val="18"/>
                <w:szCs w:val="18"/>
                <w:lang w:val="fr-FR" w:eastAsia="fr-FR"/>
              </w:rPr>
              <w:t>Department</w:t>
            </w:r>
            <w:proofErr w:type="spellEnd"/>
            <w:r w:rsidRPr="007D3BE2">
              <w:rPr>
                <w:rFonts w:eastAsia="Times New Roman"/>
                <w:color w:val="000000"/>
                <w:sz w:val="18"/>
                <w:szCs w:val="18"/>
                <w:lang w:val="fr-FR" w:eastAsia="fr-FR"/>
              </w:rPr>
              <w:t xml:space="preserve"> for the Economy</w:t>
            </w:r>
          </w:p>
        </w:tc>
      </w:tr>
      <w:tr w:rsidR="00065892" w:rsidRPr="007D3BE2" w14:paraId="264CFEDB" w14:textId="77777777" w:rsidTr="004C7D38">
        <w:trPr>
          <w:trHeight w:val="340"/>
        </w:trPr>
        <w:tc>
          <w:tcPr>
            <w:tcW w:w="577" w:type="pct"/>
            <w:tcBorders>
              <w:top w:val="nil"/>
              <w:left w:val="nil"/>
              <w:bottom w:val="nil"/>
              <w:right w:val="nil"/>
            </w:tcBorders>
            <w:shd w:val="clear" w:color="auto" w:fill="auto"/>
            <w:vAlign w:val="center"/>
            <w:hideMark/>
          </w:tcPr>
          <w:p w14:paraId="601C084B"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DUKES</w:t>
            </w:r>
          </w:p>
        </w:tc>
        <w:tc>
          <w:tcPr>
            <w:tcW w:w="4423" w:type="pct"/>
            <w:tcBorders>
              <w:top w:val="nil"/>
              <w:left w:val="nil"/>
              <w:bottom w:val="nil"/>
              <w:right w:val="nil"/>
            </w:tcBorders>
            <w:shd w:val="clear" w:color="auto" w:fill="auto"/>
            <w:vAlign w:val="center"/>
            <w:hideMark/>
          </w:tcPr>
          <w:p w14:paraId="2E770023"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 xml:space="preserve">Digest of United </w:t>
            </w:r>
            <w:proofErr w:type="spellStart"/>
            <w:r w:rsidRPr="007D3BE2">
              <w:rPr>
                <w:rFonts w:eastAsia="Times New Roman"/>
                <w:color w:val="000000"/>
                <w:sz w:val="18"/>
                <w:szCs w:val="18"/>
                <w:lang w:val="fr-FR" w:eastAsia="fr-FR"/>
              </w:rPr>
              <w:t>Kingdom</w:t>
            </w:r>
            <w:proofErr w:type="spellEnd"/>
            <w:r w:rsidRPr="007D3BE2">
              <w:rPr>
                <w:rFonts w:eastAsia="Times New Roman"/>
                <w:color w:val="000000"/>
                <w:sz w:val="18"/>
                <w:szCs w:val="18"/>
                <w:lang w:val="fr-FR" w:eastAsia="fr-FR"/>
              </w:rPr>
              <w:t xml:space="preserve"> Energy </w:t>
            </w:r>
            <w:proofErr w:type="spellStart"/>
            <w:r w:rsidRPr="007D3BE2">
              <w:rPr>
                <w:rFonts w:eastAsia="Times New Roman"/>
                <w:color w:val="000000"/>
                <w:sz w:val="18"/>
                <w:szCs w:val="18"/>
                <w:lang w:val="fr-FR" w:eastAsia="fr-FR"/>
              </w:rPr>
              <w:t>Statistics</w:t>
            </w:r>
            <w:proofErr w:type="spellEnd"/>
            <w:r w:rsidRPr="007D3BE2">
              <w:rPr>
                <w:rFonts w:eastAsia="Times New Roman"/>
                <w:color w:val="000000"/>
                <w:sz w:val="18"/>
                <w:szCs w:val="18"/>
                <w:lang w:val="fr-FR" w:eastAsia="fr-FR"/>
              </w:rPr>
              <w:t xml:space="preserve"> </w:t>
            </w:r>
          </w:p>
        </w:tc>
      </w:tr>
      <w:tr w:rsidR="00065892" w:rsidRPr="007D3BE2" w14:paraId="4AA830F9" w14:textId="77777777" w:rsidTr="004C7D38">
        <w:trPr>
          <w:trHeight w:val="340"/>
        </w:trPr>
        <w:tc>
          <w:tcPr>
            <w:tcW w:w="577" w:type="pct"/>
            <w:tcBorders>
              <w:top w:val="nil"/>
              <w:left w:val="nil"/>
              <w:bottom w:val="nil"/>
              <w:right w:val="nil"/>
            </w:tcBorders>
            <w:shd w:val="clear" w:color="000000" w:fill="BDD7EE"/>
            <w:vAlign w:val="center"/>
            <w:hideMark/>
          </w:tcPr>
          <w:p w14:paraId="72D9DD9D"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EITI</w:t>
            </w:r>
          </w:p>
        </w:tc>
        <w:tc>
          <w:tcPr>
            <w:tcW w:w="4423" w:type="pct"/>
            <w:tcBorders>
              <w:top w:val="nil"/>
              <w:left w:val="nil"/>
              <w:bottom w:val="nil"/>
              <w:right w:val="nil"/>
            </w:tcBorders>
            <w:shd w:val="clear" w:color="000000" w:fill="BDD7EE"/>
            <w:vAlign w:val="center"/>
            <w:hideMark/>
          </w:tcPr>
          <w:p w14:paraId="2B17C9DF"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Extractive Industries Transparency Initiative</w:t>
            </w:r>
          </w:p>
        </w:tc>
      </w:tr>
      <w:tr w:rsidR="00065892" w:rsidRPr="007D3BE2" w14:paraId="14DEF98B" w14:textId="77777777" w:rsidTr="004C7D38">
        <w:trPr>
          <w:trHeight w:val="340"/>
        </w:trPr>
        <w:tc>
          <w:tcPr>
            <w:tcW w:w="577" w:type="pct"/>
            <w:tcBorders>
              <w:top w:val="nil"/>
              <w:left w:val="nil"/>
              <w:bottom w:val="nil"/>
              <w:right w:val="nil"/>
            </w:tcBorders>
            <w:shd w:val="clear" w:color="auto" w:fill="auto"/>
            <w:vAlign w:val="center"/>
            <w:hideMark/>
          </w:tcPr>
          <w:p w14:paraId="316BACCE"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GB</w:t>
            </w:r>
          </w:p>
        </w:tc>
        <w:tc>
          <w:tcPr>
            <w:tcW w:w="4423" w:type="pct"/>
            <w:tcBorders>
              <w:top w:val="nil"/>
              <w:left w:val="nil"/>
              <w:bottom w:val="nil"/>
              <w:right w:val="nil"/>
            </w:tcBorders>
            <w:shd w:val="clear" w:color="auto" w:fill="auto"/>
            <w:vAlign w:val="center"/>
            <w:hideMark/>
          </w:tcPr>
          <w:p w14:paraId="0AD12757"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 xml:space="preserve">Great </w:t>
            </w:r>
            <w:proofErr w:type="spellStart"/>
            <w:r w:rsidRPr="007D3BE2">
              <w:rPr>
                <w:rFonts w:eastAsia="Times New Roman"/>
                <w:color w:val="000000"/>
                <w:sz w:val="18"/>
                <w:szCs w:val="18"/>
                <w:lang w:val="fr-FR" w:eastAsia="fr-FR"/>
              </w:rPr>
              <w:t>Britain</w:t>
            </w:r>
            <w:proofErr w:type="spellEnd"/>
          </w:p>
        </w:tc>
      </w:tr>
      <w:tr w:rsidR="00065892" w:rsidRPr="007D3BE2" w14:paraId="299C2B42" w14:textId="77777777" w:rsidTr="004C7D38">
        <w:trPr>
          <w:trHeight w:val="340"/>
        </w:trPr>
        <w:tc>
          <w:tcPr>
            <w:tcW w:w="577" w:type="pct"/>
            <w:tcBorders>
              <w:top w:val="nil"/>
              <w:left w:val="nil"/>
              <w:bottom w:val="nil"/>
              <w:right w:val="nil"/>
            </w:tcBorders>
            <w:shd w:val="clear" w:color="000000" w:fill="BDD7EE"/>
            <w:vAlign w:val="center"/>
            <w:hideMark/>
          </w:tcPr>
          <w:p w14:paraId="4918012B"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GDP</w:t>
            </w:r>
          </w:p>
        </w:tc>
        <w:tc>
          <w:tcPr>
            <w:tcW w:w="4423" w:type="pct"/>
            <w:tcBorders>
              <w:top w:val="nil"/>
              <w:left w:val="nil"/>
              <w:bottom w:val="nil"/>
              <w:right w:val="nil"/>
            </w:tcBorders>
            <w:shd w:val="clear" w:color="000000" w:fill="BDD7EE"/>
            <w:vAlign w:val="center"/>
            <w:hideMark/>
          </w:tcPr>
          <w:p w14:paraId="38F1A6E3"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Gross Domestic Product</w:t>
            </w:r>
          </w:p>
        </w:tc>
      </w:tr>
      <w:tr w:rsidR="00065892" w:rsidRPr="007D3BE2" w14:paraId="26F4A649" w14:textId="77777777" w:rsidTr="004C7D38">
        <w:trPr>
          <w:trHeight w:val="340"/>
        </w:trPr>
        <w:tc>
          <w:tcPr>
            <w:tcW w:w="577" w:type="pct"/>
            <w:tcBorders>
              <w:top w:val="nil"/>
              <w:left w:val="nil"/>
              <w:bottom w:val="nil"/>
              <w:right w:val="nil"/>
            </w:tcBorders>
            <w:shd w:val="clear" w:color="auto" w:fill="auto"/>
            <w:vAlign w:val="center"/>
            <w:hideMark/>
          </w:tcPr>
          <w:p w14:paraId="67343FD1"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GVA</w:t>
            </w:r>
          </w:p>
        </w:tc>
        <w:tc>
          <w:tcPr>
            <w:tcW w:w="4423" w:type="pct"/>
            <w:tcBorders>
              <w:top w:val="nil"/>
              <w:left w:val="nil"/>
              <w:bottom w:val="nil"/>
              <w:right w:val="nil"/>
            </w:tcBorders>
            <w:shd w:val="clear" w:color="auto" w:fill="auto"/>
            <w:vAlign w:val="center"/>
            <w:hideMark/>
          </w:tcPr>
          <w:p w14:paraId="5A8121A5"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Gross Value Added</w:t>
            </w:r>
          </w:p>
        </w:tc>
      </w:tr>
      <w:tr w:rsidR="00065892" w:rsidRPr="007D3BE2" w14:paraId="117639B4" w14:textId="77777777" w:rsidTr="00B354A2">
        <w:trPr>
          <w:trHeight w:val="340"/>
        </w:trPr>
        <w:tc>
          <w:tcPr>
            <w:tcW w:w="577" w:type="pct"/>
            <w:tcBorders>
              <w:top w:val="nil"/>
              <w:left w:val="nil"/>
              <w:bottom w:val="nil"/>
              <w:right w:val="nil"/>
            </w:tcBorders>
            <w:shd w:val="clear" w:color="000000" w:fill="BDD7EE"/>
            <w:vAlign w:val="center"/>
          </w:tcPr>
          <w:p w14:paraId="129C1537" w14:textId="24F6F9D2" w:rsidR="00065892" w:rsidRPr="007D3BE2" w:rsidRDefault="006103C9" w:rsidP="004C7D38">
            <w:pPr>
              <w:rPr>
                <w:rFonts w:eastAsia="Times New Roman"/>
                <w:color w:val="000000"/>
                <w:sz w:val="18"/>
                <w:szCs w:val="18"/>
                <w:lang w:val="fr-FR" w:eastAsia="fr-FR"/>
              </w:rPr>
            </w:pPr>
            <w:r>
              <w:rPr>
                <w:rFonts w:eastAsia="Times New Roman"/>
                <w:color w:val="000000"/>
                <w:sz w:val="18"/>
                <w:szCs w:val="18"/>
                <w:lang w:val="fr-FR" w:eastAsia="fr-FR"/>
              </w:rPr>
              <w:t>MSG</w:t>
            </w:r>
          </w:p>
        </w:tc>
        <w:tc>
          <w:tcPr>
            <w:tcW w:w="4423" w:type="pct"/>
            <w:tcBorders>
              <w:top w:val="nil"/>
              <w:left w:val="nil"/>
              <w:bottom w:val="nil"/>
              <w:right w:val="nil"/>
            </w:tcBorders>
            <w:shd w:val="clear" w:color="000000" w:fill="BDD7EE"/>
            <w:vAlign w:val="center"/>
          </w:tcPr>
          <w:p w14:paraId="08E69887" w14:textId="1857EDE3" w:rsidR="00065892" w:rsidRPr="007D3BE2" w:rsidRDefault="00AA5804" w:rsidP="004C7D38">
            <w:pPr>
              <w:rPr>
                <w:rFonts w:eastAsia="Times New Roman"/>
                <w:color w:val="000000"/>
                <w:sz w:val="18"/>
                <w:szCs w:val="18"/>
                <w:lang w:val="fr-FR" w:eastAsia="fr-FR"/>
              </w:rPr>
            </w:pPr>
            <w:r>
              <w:rPr>
                <w:rFonts w:eastAsia="Times New Roman"/>
                <w:color w:val="000000"/>
                <w:sz w:val="18"/>
                <w:szCs w:val="18"/>
                <w:lang w:val="fr-FR" w:eastAsia="fr-FR"/>
              </w:rPr>
              <w:t xml:space="preserve">  </w:t>
            </w:r>
            <w:r w:rsidR="006103C9">
              <w:rPr>
                <w:rFonts w:eastAsia="Times New Roman"/>
                <w:color w:val="000000"/>
                <w:sz w:val="18"/>
                <w:szCs w:val="18"/>
                <w:lang w:val="fr-FR" w:eastAsia="fr-FR"/>
              </w:rPr>
              <w:t xml:space="preserve">Multi-Stakeholder Group </w:t>
            </w:r>
          </w:p>
        </w:tc>
      </w:tr>
      <w:tr w:rsidR="00065892" w:rsidRPr="007D3BE2" w14:paraId="4383182E" w14:textId="77777777" w:rsidTr="004C7D38">
        <w:trPr>
          <w:trHeight w:val="340"/>
        </w:trPr>
        <w:tc>
          <w:tcPr>
            <w:tcW w:w="577" w:type="pct"/>
            <w:tcBorders>
              <w:top w:val="nil"/>
              <w:left w:val="nil"/>
              <w:bottom w:val="nil"/>
              <w:right w:val="nil"/>
            </w:tcBorders>
            <w:shd w:val="clear" w:color="auto" w:fill="auto"/>
            <w:vAlign w:val="center"/>
            <w:hideMark/>
          </w:tcPr>
          <w:p w14:paraId="7F906CE1"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OBR</w:t>
            </w:r>
          </w:p>
        </w:tc>
        <w:tc>
          <w:tcPr>
            <w:tcW w:w="4423" w:type="pct"/>
            <w:tcBorders>
              <w:top w:val="nil"/>
              <w:left w:val="nil"/>
              <w:bottom w:val="nil"/>
              <w:right w:val="nil"/>
            </w:tcBorders>
            <w:shd w:val="clear" w:color="auto" w:fill="auto"/>
            <w:vAlign w:val="center"/>
            <w:hideMark/>
          </w:tcPr>
          <w:p w14:paraId="62ADE04F"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 xml:space="preserve">Office for Budget </w:t>
            </w:r>
            <w:proofErr w:type="spellStart"/>
            <w:r w:rsidRPr="007D3BE2">
              <w:rPr>
                <w:rFonts w:eastAsia="Times New Roman"/>
                <w:color w:val="000000"/>
                <w:sz w:val="18"/>
                <w:szCs w:val="18"/>
                <w:lang w:val="fr-FR" w:eastAsia="fr-FR"/>
              </w:rPr>
              <w:t>Responsibility</w:t>
            </w:r>
            <w:proofErr w:type="spellEnd"/>
          </w:p>
        </w:tc>
      </w:tr>
      <w:tr w:rsidR="00065892" w:rsidRPr="007D3BE2" w14:paraId="76CE52F9" w14:textId="77777777" w:rsidTr="004C7D38">
        <w:trPr>
          <w:trHeight w:val="340"/>
        </w:trPr>
        <w:tc>
          <w:tcPr>
            <w:tcW w:w="577" w:type="pct"/>
            <w:tcBorders>
              <w:top w:val="nil"/>
              <w:left w:val="nil"/>
              <w:bottom w:val="nil"/>
              <w:right w:val="nil"/>
            </w:tcBorders>
            <w:shd w:val="clear" w:color="000000" w:fill="BDD7EE"/>
            <w:vAlign w:val="center"/>
            <w:hideMark/>
          </w:tcPr>
          <w:p w14:paraId="1743829E"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OGA</w:t>
            </w:r>
          </w:p>
        </w:tc>
        <w:tc>
          <w:tcPr>
            <w:tcW w:w="4423" w:type="pct"/>
            <w:tcBorders>
              <w:top w:val="nil"/>
              <w:left w:val="nil"/>
              <w:bottom w:val="nil"/>
              <w:right w:val="nil"/>
            </w:tcBorders>
            <w:shd w:val="clear" w:color="000000" w:fill="BDD7EE"/>
            <w:vAlign w:val="center"/>
            <w:hideMark/>
          </w:tcPr>
          <w:p w14:paraId="13F69C13"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Oil and Gas Authority</w:t>
            </w:r>
          </w:p>
        </w:tc>
      </w:tr>
      <w:tr w:rsidR="00065892" w:rsidRPr="007D3BE2" w14:paraId="5B093559" w14:textId="77777777" w:rsidTr="004C7D38">
        <w:trPr>
          <w:trHeight w:val="340"/>
        </w:trPr>
        <w:tc>
          <w:tcPr>
            <w:tcW w:w="577" w:type="pct"/>
            <w:tcBorders>
              <w:top w:val="nil"/>
              <w:left w:val="nil"/>
              <w:bottom w:val="nil"/>
              <w:right w:val="nil"/>
            </w:tcBorders>
            <w:shd w:val="clear" w:color="auto" w:fill="auto"/>
            <w:vAlign w:val="center"/>
            <w:hideMark/>
          </w:tcPr>
          <w:p w14:paraId="645224FF"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ONS</w:t>
            </w:r>
          </w:p>
        </w:tc>
        <w:tc>
          <w:tcPr>
            <w:tcW w:w="4423" w:type="pct"/>
            <w:tcBorders>
              <w:top w:val="nil"/>
              <w:left w:val="nil"/>
              <w:bottom w:val="nil"/>
              <w:right w:val="nil"/>
            </w:tcBorders>
            <w:shd w:val="clear" w:color="auto" w:fill="auto"/>
            <w:vAlign w:val="center"/>
            <w:hideMark/>
          </w:tcPr>
          <w:p w14:paraId="3E62454B"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 xml:space="preserve">Office for National </w:t>
            </w:r>
            <w:proofErr w:type="spellStart"/>
            <w:r w:rsidRPr="007D3BE2">
              <w:rPr>
                <w:rFonts w:eastAsia="Times New Roman"/>
                <w:color w:val="000000"/>
                <w:sz w:val="18"/>
                <w:szCs w:val="18"/>
                <w:lang w:val="fr-FR" w:eastAsia="fr-FR"/>
              </w:rPr>
              <w:t>Statistics</w:t>
            </w:r>
            <w:proofErr w:type="spellEnd"/>
          </w:p>
        </w:tc>
      </w:tr>
      <w:tr w:rsidR="00065892" w:rsidRPr="007D3BE2" w14:paraId="1E91A7EC" w14:textId="77777777" w:rsidTr="00B354A2">
        <w:trPr>
          <w:trHeight w:val="340"/>
        </w:trPr>
        <w:tc>
          <w:tcPr>
            <w:tcW w:w="577" w:type="pct"/>
            <w:tcBorders>
              <w:top w:val="nil"/>
              <w:left w:val="nil"/>
              <w:bottom w:val="nil"/>
              <w:right w:val="nil"/>
            </w:tcBorders>
            <w:shd w:val="clear" w:color="000000" w:fill="BDD7EE"/>
            <w:vAlign w:val="center"/>
          </w:tcPr>
          <w:p w14:paraId="0B506EC7" w14:textId="42AEC7D3" w:rsidR="00065892" w:rsidRPr="007D3BE2" w:rsidRDefault="00065892" w:rsidP="004C7D38">
            <w:pPr>
              <w:rPr>
                <w:rFonts w:eastAsia="Times New Roman"/>
                <w:color w:val="000000"/>
                <w:sz w:val="18"/>
                <w:szCs w:val="18"/>
                <w:lang w:val="fr-FR" w:eastAsia="fr-FR"/>
              </w:rPr>
            </w:pPr>
          </w:p>
        </w:tc>
        <w:tc>
          <w:tcPr>
            <w:tcW w:w="4423" w:type="pct"/>
            <w:tcBorders>
              <w:top w:val="nil"/>
              <w:left w:val="nil"/>
              <w:bottom w:val="nil"/>
              <w:right w:val="nil"/>
            </w:tcBorders>
            <w:shd w:val="clear" w:color="000000" w:fill="BDD7EE"/>
            <w:vAlign w:val="center"/>
          </w:tcPr>
          <w:p w14:paraId="27B67ACC" w14:textId="4634CD28" w:rsidR="00065892" w:rsidRPr="007D3BE2" w:rsidRDefault="00065892" w:rsidP="004C7D38">
            <w:pPr>
              <w:rPr>
                <w:rFonts w:eastAsia="Times New Roman"/>
                <w:color w:val="000000"/>
                <w:sz w:val="18"/>
                <w:szCs w:val="18"/>
                <w:lang w:val="fr-FR" w:eastAsia="fr-FR"/>
              </w:rPr>
            </w:pPr>
          </w:p>
        </w:tc>
      </w:tr>
      <w:tr w:rsidR="00065892" w:rsidRPr="007D3BE2" w14:paraId="7510ADBB" w14:textId="77777777" w:rsidTr="00B354A2">
        <w:trPr>
          <w:trHeight w:val="340"/>
        </w:trPr>
        <w:tc>
          <w:tcPr>
            <w:tcW w:w="577" w:type="pct"/>
            <w:tcBorders>
              <w:top w:val="nil"/>
              <w:left w:val="nil"/>
              <w:bottom w:val="nil"/>
              <w:right w:val="nil"/>
            </w:tcBorders>
            <w:shd w:val="clear" w:color="auto" w:fill="auto"/>
            <w:vAlign w:val="center"/>
          </w:tcPr>
          <w:p w14:paraId="54E3CAF8" w14:textId="72AF59C2" w:rsidR="00065892" w:rsidRPr="007D3BE2" w:rsidRDefault="00065892" w:rsidP="004C7D38">
            <w:pPr>
              <w:rPr>
                <w:rFonts w:eastAsia="Times New Roman"/>
                <w:color w:val="000000"/>
                <w:sz w:val="18"/>
                <w:szCs w:val="18"/>
                <w:lang w:val="fr-FR" w:eastAsia="fr-FR"/>
              </w:rPr>
            </w:pPr>
          </w:p>
        </w:tc>
        <w:tc>
          <w:tcPr>
            <w:tcW w:w="4423" w:type="pct"/>
            <w:tcBorders>
              <w:top w:val="nil"/>
              <w:left w:val="nil"/>
              <w:bottom w:val="nil"/>
              <w:right w:val="nil"/>
            </w:tcBorders>
            <w:shd w:val="clear" w:color="auto" w:fill="auto"/>
            <w:vAlign w:val="center"/>
          </w:tcPr>
          <w:p w14:paraId="41EE7BD0" w14:textId="4C136CB3" w:rsidR="00065892" w:rsidRPr="007D3BE2" w:rsidRDefault="00065892" w:rsidP="004C7D38">
            <w:pPr>
              <w:rPr>
                <w:rFonts w:eastAsia="Times New Roman"/>
                <w:color w:val="000000"/>
                <w:sz w:val="18"/>
                <w:szCs w:val="18"/>
                <w:lang w:val="fr-FR" w:eastAsia="fr-FR"/>
              </w:rPr>
            </w:pPr>
          </w:p>
        </w:tc>
      </w:tr>
      <w:tr w:rsidR="00065892" w:rsidRPr="007D3BE2" w14:paraId="0BD13771" w14:textId="77777777" w:rsidTr="00B354A2">
        <w:trPr>
          <w:trHeight w:val="340"/>
        </w:trPr>
        <w:tc>
          <w:tcPr>
            <w:tcW w:w="577" w:type="pct"/>
            <w:tcBorders>
              <w:top w:val="nil"/>
              <w:left w:val="nil"/>
              <w:bottom w:val="nil"/>
              <w:right w:val="nil"/>
            </w:tcBorders>
            <w:shd w:val="clear" w:color="000000" w:fill="BDD7EE"/>
            <w:vAlign w:val="center"/>
          </w:tcPr>
          <w:p w14:paraId="1BE5D09A" w14:textId="2E08D0B3" w:rsidR="00065892" w:rsidRPr="007D3BE2" w:rsidRDefault="00B354A2" w:rsidP="004C7D38">
            <w:pPr>
              <w:rPr>
                <w:rFonts w:eastAsia="Times New Roman"/>
                <w:color w:val="000000"/>
                <w:sz w:val="18"/>
                <w:szCs w:val="18"/>
                <w:lang w:val="fr-FR" w:eastAsia="fr-FR"/>
              </w:rPr>
            </w:pPr>
            <w:r>
              <w:rPr>
                <w:rFonts w:eastAsia="Times New Roman"/>
                <w:color w:val="000000"/>
                <w:sz w:val="18"/>
                <w:szCs w:val="18"/>
                <w:lang w:val="fr-FR" w:eastAsia="fr-FR"/>
              </w:rPr>
              <w:t>SIC</w:t>
            </w:r>
          </w:p>
        </w:tc>
        <w:tc>
          <w:tcPr>
            <w:tcW w:w="4423" w:type="pct"/>
            <w:tcBorders>
              <w:top w:val="nil"/>
              <w:left w:val="nil"/>
              <w:bottom w:val="nil"/>
              <w:right w:val="nil"/>
            </w:tcBorders>
            <w:shd w:val="clear" w:color="000000" w:fill="BDD7EE"/>
            <w:vAlign w:val="center"/>
          </w:tcPr>
          <w:p w14:paraId="5A806C8D" w14:textId="5B583B9D" w:rsidR="00065892" w:rsidRPr="007D3BE2" w:rsidRDefault="00B354A2" w:rsidP="004C7D38">
            <w:pPr>
              <w:rPr>
                <w:rFonts w:eastAsia="Times New Roman"/>
                <w:color w:val="000000"/>
                <w:sz w:val="18"/>
                <w:szCs w:val="18"/>
                <w:lang w:val="fr-FR" w:eastAsia="fr-FR"/>
              </w:rPr>
            </w:pPr>
            <w:r>
              <w:rPr>
                <w:rFonts w:eastAsia="Times New Roman"/>
                <w:color w:val="000000"/>
                <w:sz w:val="18"/>
                <w:szCs w:val="18"/>
                <w:lang w:val="fr-FR" w:eastAsia="fr-FR"/>
              </w:rPr>
              <w:t>Standard Industrial Classi</w:t>
            </w:r>
            <w:r w:rsidR="006103C9">
              <w:rPr>
                <w:rFonts w:eastAsia="Times New Roman"/>
                <w:color w:val="000000"/>
                <w:sz w:val="18"/>
                <w:szCs w:val="18"/>
                <w:lang w:val="fr-FR" w:eastAsia="fr-FR"/>
              </w:rPr>
              <w:t>fication</w:t>
            </w:r>
          </w:p>
        </w:tc>
      </w:tr>
      <w:tr w:rsidR="00065892" w:rsidRPr="007D3BE2" w14:paraId="36F56014" w14:textId="77777777" w:rsidTr="004C7D38">
        <w:trPr>
          <w:trHeight w:val="340"/>
        </w:trPr>
        <w:tc>
          <w:tcPr>
            <w:tcW w:w="577" w:type="pct"/>
            <w:tcBorders>
              <w:top w:val="nil"/>
              <w:left w:val="nil"/>
              <w:bottom w:val="nil"/>
              <w:right w:val="nil"/>
            </w:tcBorders>
            <w:shd w:val="clear" w:color="auto" w:fill="auto"/>
            <w:vAlign w:val="center"/>
            <w:hideMark/>
          </w:tcPr>
          <w:p w14:paraId="744891D6"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UK</w:t>
            </w:r>
          </w:p>
        </w:tc>
        <w:tc>
          <w:tcPr>
            <w:tcW w:w="4423" w:type="pct"/>
            <w:tcBorders>
              <w:top w:val="nil"/>
              <w:left w:val="nil"/>
              <w:bottom w:val="nil"/>
              <w:right w:val="nil"/>
            </w:tcBorders>
            <w:shd w:val="clear" w:color="auto" w:fill="auto"/>
            <w:vAlign w:val="center"/>
            <w:hideMark/>
          </w:tcPr>
          <w:p w14:paraId="1F0FA9E4"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 xml:space="preserve">United </w:t>
            </w:r>
            <w:proofErr w:type="spellStart"/>
            <w:r w:rsidRPr="007D3BE2">
              <w:rPr>
                <w:rFonts w:eastAsia="Times New Roman"/>
                <w:color w:val="000000"/>
                <w:sz w:val="18"/>
                <w:szCs w:val="18"/>
                <w:lang w:val="fr-FR" w:eastAsia="fr-FR"/>
              </w:rPr>
              <w:t>Kingdom</w:t>
            </w:r>
            <w:proofErr w:type="spellEnd"/>
          </w:p>
        </w:tc>
      </w:tr>
      <w:tr w:rsidR="00065892" w:rsidRPr="007D3BE2" w14:paraId="194ECA10" w14:textId="77777777" w:rsidTr="004C7D38">
        <w:trPr>
          <w:trHeight w:val="340"/>
        </w:trPr>
        <w:tc>
          <w:tcPr>
            <w:tcW w:w="577" w:type="pct"/>
            <w:tcBorders>
              <w:top w:val="nil"/>
              <w:left w:val="nil"/>
              <w:bottom w:val="nil"/>
              <w:right w:val="nil"/>
            </w:tcBorders>
            <w:shd w:val="clear" w:color="000000" w:fill="BDD7EE"/>
            <w:vAlign w:val="center"/>
            <w:hideMark/>
          </w:tcPr>
          <w:p w14:paraId="7E73A758"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UKCS</w:t>
            </w:r>
          </w:p>
        </w:tc>
        <w:tc>
          <w:tcPr>
            <w:tcW w:w="4423" w:type="pct"/>
            <w:tcBorders>
              <w:top w:val="nil"/>
              <w:left w:val="nil"/>
              <w:bottom w:val="nil"/>
              <w:right w:val="nil"/>
            </w:tcBorders>
            <w:shd w:val="clear" w:color="000000" w:fill="BDD7EE"/>
            <w:vAlign w:val="center"/>
            <w:hideMark/>
          </w:tcPr>
          <w:p w14:paraId="35E7D122"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UK Continental Shelf</w:t>
            </w:r>
          </w:p>
        </w:tc>
      </w:tr>
    </w:tbl>
    <w:p w14:paraId="7EAA90F0" w14:textId="77777777" w:rsidR="00065892" w:rsidRPr="00595CB3" w:rsidRDefault="00065892" w:rsidP="00065892">
      <w:pPr>
        <w:pStyle w:val="Default"/>
        <w:keepNext/>
        <w:rPr>
          <w:rFonts w:ascii="Arial" w:hAnsi="Arial" w:cs="Arial"/>
          <w:b/>
          <w:bCs/>
          <w:sz w:val="22"/>
          <w:szCs w:val="22"/>
          <w:highlight w:val="yellow"/>
        </w:rPr>
      </w:pPr>
    </w:p>
    <w:p w14:paraId="7E35DF85" w14:textId="77777777" w:rsidR="00065892" w:rsidRPr="00595CB3" w:rsidRDefault="00065892" w:rsidP="00075832">
      <w:pPr>
        <w:pStyle w:val="Default"/>
        <w:spacing w:after="180" w:line="276" w:lineRule="auto"/>
        <w:rPr>
          <w:rFonts w:ascii="Arial" w:eastAsiaTheme="minorHAnsi" w:hAnsi="Arial" w:cs="Arial"/>
          <w:iCs/>
          <w:color w:val="auto"/>
          <w:sz w:val="18"/>
          <w:szCs w:val="18"/>
        </w:rPr>
      </w:pPr>
    </w:p>
    <w:sectPr w:rsidR="00065892" w:rsidRPr="00595CB3" w:rsidSect="009F46CC">
      <w:footnotePr>
        <w:numRestart w:val="eachPage"/>
      </w:footnotePr>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FBF23" w14:textId="77777777" w:rsidR="000C1437" w:rsidRDefault="000C1437" w:rsidP="0030523C">
      <w:r>
        <w:separator/>
      </w:r>
    </w:p>
  </w:endnote>
  <w:endnote w:type="continuationSeparator" w:id="0">
    <w:p w14:paraId="295584F4" w14:textId="77777777" w:rsidR="000C1437" w:rsidRDefault="000C1437" w:rsidP="0030523C">
      <w:r>
        <w:continuationSeparator/>
      </w:r>
    </w:p>
  </w:endnote>
  <w:endnote w:type="continuationNotice" w:id="1">
    <w:p w14:paraId="62761CBA" w14:textId="77777777" w:rsidR="000C1437" w:rsidRDefault="000C14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umnst777 Lt BT">
    <w:altName w:val="Calibri"/>
    <w:charset w:val="00"/>
    <w:family w:val="swiss"/>
    <w:pitch w:val="variable"/>
    <w:sig w:usb0="800000AF" w:usb1="1000204A" w:usb2="00000000" w:usb3="00000000" w:csb0="00000011" w:csb1="00000000"/>
  </w:font>
  <w:font w:name="Humnst777 BT">
    <w:charset w:val="00"/>
    <w:family w:val="swiss"/>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Univers 55">
    <w:altName w:val="Calibr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Bold">
    <w:panose1 w:val="020F0702030404030204"/>
    <w:charset w:val="00"/>
    <w:family w:val="auto"/>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Myriad Pro SemiCond">
    <w:altName w:val="Segoe UI"/>
    <w:panose1 w:val="00000000000000000000"/>
    <w:charset w:val="00"/>
    <w:family w:val="swiss"/>
    <w:notTrueType/>
    <w:pitch w:val="variable"/>
    <w:sig w:usb0="20000287" w:usb1="00000001" w:usb2="00000000" w:usb3="00000000" w:csb0="0000019F" w:csb1="00000000"/>
  </w:font>
  <w:font w:name="ITC Charter Com">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69336" w14:textId="77777777" w:rsidR="00C700A6" w:rsidRDefault="00C700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756BE" w14:textId="77777777" w:rsidR="00146348" w:rsidRPr="00F67DB3" w:rsidRDefault="00146348" w:rsidP="0052688B">
    <w:pPr>
      <w:pStyle w:val="Footer"/>
      <w:pBdr>
        <w:top w:val="single" w:sz="4" w:space="1" w:color="0070C0"/>
      </w:pBdr>
      <w:tabs>
        <w:tab w:val="clear" w:pos="4513"/>
        <w:tab w:val="left" w:pos="0"/>
        <w:tab w:val="right" w:pos="8931"/>
      </w:tabs>
      <w:jc w:val="right"/>
      <w:rPr>
        <w:bCs/>
        <w:sz w:val="16"/>
      </w:rPr>
    </w:pPr>
    <w:r w:rsidRPr="00F67DB3">
      <w:rPr>
        <w:sz w:val="16"/>
      </w:rPr>
      <w:t>|</w:t>
    </w:r>
    <w:r w:rsidRPr="00F67DB3">
      <w:rPr>
        <w:color w:val="0070C0"/>
        <w:sz w:val="16"/>
      </w:rPr>
      <w:t xml:space="preserve"> </w:t>
    </w:r>
    <w:r w:rsidRPr="00F67DB3">
      <w:rPr>
        <w:color w:val="0070C0"/>
        <w:spacing w:val="60"/>
        <w:sz w:val="16"/>
        <w:lang w:val="fr-FR" w:eastAsia="fr-FR"/>
      </w:rPr>
      <w:t>Page</w:t>
    </w:r>
    <w:r w:rsidRPr="00F67DB3">
      <w:rPr>
        <w:color w:val="0070C0"/>
        <w:spacing w:val="60"/>
        <w:sz w:val="16"/>
      </w:rPr>
      <w:t xml:space="preserve"> </w:t>
    </w:r>
    <w:r w:rsidRPr="00F67DB3">
      <w:rPr>
        <w:sz w:val="16"/>
      </w:rPr>
      <w:fldChar w:fldCharType="begin"/>
    </w:r>
    <w:r w:rsidRPr="00F67DB3">
      <w:rPr>
        <w:sz w:val="16"/>
      </w:rPr>
      <w:instrText xml:space="preserve"> PAGE   \* MERGEFORMAT </w:instrText>
    </w:r>
    <w:r w:rsidRPr="00F67DB3">
      <w:rPr>
        <w:sz w:val="16"/>
      </w:rPr>
      <w:fldChar w:fldCharType="separate"/>
    </w:r>
    <w:r w:rsidRPr="00F67DB3">
      <w:rPr>
        <w:noProof/>
        <w:sz w:val="16"/>
      </w:rPr>
      <w:t>88</w:t>
    </w:r>
    <w:r w:rsidRPr="00F67DB3">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D363E" w14:textId="77777777" w:rsidR="00C700A6" w:rsidRDefault="00C70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B5E2F" w14:textId="77777777" w:rsidR="000C1437" w:rsidRDefault="000C1437" w:rsidP="0030523C">
      <w:r>
        <w:separator/>
      </w:r>
    </w:p>
  </w:footnote>
  <w:footnote w:type="continuationSeparator" w:id="0">
    <w:p w14:paraId="345DCC2E" w14:textId="77777777" w:rsidR="000C1437" w:rsidRDefault="000C1437" w:rsidP="0030523C">
      <w:r>
        <w:continuationSeparator/>
      </w:r>
    </w:p>
  </w:footnote>
  <w:footnote w:type="continuationNotice" w:id="1">
    <w:p w14:paraId="72051668" w14:textId="77777777" w:rsidR="000C1437" w:rsidRDefault="000C1437"/>
  </w:footnote>
  <w:footnote w:id="2">
    <w:p w14:paraId="65477805" w14:textId="06292E65" w:rsidR="00ED36BF" w:rsidRPr="004921EC" w:rsidRDefault="00ED36BF">
      <w:pPr>
        <w:pStyle w:val="FootnoteText"/>
        <w:rPr>
          <w:lang w:val="en-GB"/>
        </w:rPr>
      </w:pPr>
      <w:r>
        <w:rPr>
          <w:rStyle w:val="FootnoteReference"/>
        </w:rPr>
        <w:footnoteRef/>
      </w:r>
      <w:r>
        <w:t xml:space="preserve"> </w:t>
      </w:r>
      <w:r w:rsidRPr="00C76C13">
        <w:rPr>
          <w:rFonts w:cs="Arial"/>
        </w:rPr>
        <w:t xml:space="preserve">GVA is a </w:t>
      </w:r>
      <w:r w:rsidRPr="00C76C13">
        <w:rPr>
          <w:rFonts w:cs="Arial"/>
          <w:color w:val="auto"/>
        </w:rPr>
        <w:t xml:space="preserve">measure of economic output – capturing the value of </w:t>
      </w:r>
      <w:r w:rsidRPr="00C76C13">
        <w:rPr>
          <w:rFonts w:cs="Arial"/>
        </w:rPr>
        <w:t xml:space="preserve">goods </w:t>
      </w:r>
      <w:r w:rsidRPr="00C76C13">
        <w:rPr>
          <w:rFonts w:cs="Arial"/>
          <w:color w:val="auto"/>
        </w:rPr>
        <w:t xml:space="preserve">and </w:t>
      </w:r>
      <w:r w:rsidRPr="00C76C13">
        <w:rPr>
          <w:rFonts w:cs="Arial"/>
        </w:rPr>
        <w:t xml:space="preserve">services </w:t>
      </w:r>
      <w:r w:rsidRPr="00C76C13">
        <w:rPr>
          <w:rFonts w:cs="Arial"/>
          <w:color w:val="auto"/>
        </w:rPr>
        <w:t>produced by a sector – and is often used to indicate a sector’s contribution to the economy.</w:t>
      </w:r>
      <w:r w:rsidR="00932D75">
        <w:rPr>
          <w:rFonts w:cs="Arial"/>
          <w:color w:val="auto"/>
          <w:lang w:val="en-GB"/>
        </w:rPr>
        <w:t xml:space="preserve"> </w:t>
      </w:r>
      <w:r w:rsidR="00932D75" w:rsidRPr="00932D75">
        <w:rPr>
          <w:rFonts w:cs="Arial"/>
          <w:color w:val="auto"/>
          <w:lang w:val="en-GB"/>
        </w:rPr>
        <w:t>It should be noted that the sectoral GVA data published here are very different from (and often much lower than) those previously published by the ONS. The revised estimates of GVA reflect methodological changes</w:t>
      </w:r>
      <w:r w:rsidR="00B05745">
        <w:rPr>
          <w:rFonts w:cs="Arial"/>
          <w:color w:val="auto"/>
          <w:lang w:val="en-GB"/>
        </w:rPr>
        <w:t xml:space="preserve"> </w:t>
      </w:r>
      <w:r w:rsidR="00B05745" w:rsidRPr="00B05745">
        <w:rPr>
          <w:rFonts w:cs="Arial"/>
          <w:color w:val="auto"/>
          <w:lang w:val="en-GB"/>
        </w:rPr>
        <w:t>introduced for Blue Book 2019 (October 2019)</w:t>
      </w:r>
      <w:r w:rsidR="00B05745">
        <w:rPr>
          <w:rFonts w:cs="Arial"/>
          <w:color w:val="auto"/>
          <w:lang w:val="en-GB"/>
        </w:rPr>
        <w:t>.</w:t>
      </w:r>
    </w:p>
  </w:footnote>
  <w:footnote w:id="3">
    <w:p w14:paraId="3A05374D" w14:textId="3830AE50" w:rsidR="00146348" w:rsidRPr="004E7263" w:rsidRDefault="00146348" w:rsidP="00FE1750">
      <w:pPr>
        <w:keepLines/>
        <w:spacing w:before="120" w:line="276" w:lineRule="auto"/>
        <w:rPr>
          <w:rFonts w:eastAsia="Times New Roman"/>
          <w:color w:val="1F497D"/>
          <w:sz w:val="20"/>
          <w:szCs w:val="20"/>
          <w:lang w:eastAsia="fr-FR"/>
        </w:rPr>
      </w:pPr>
      <w:r w:rsidRPr="007370CA">
        <w:rPr>
          <w:color w:val="000000"/>
          <w:sz w:val="20"/>
          <w:szCs w:val="20"/>
          <w:vertAlign w:val="superscript"/>
          <w:lang w:eastAsia="x-none"/>
        </w:rPr>
        <w:footnoteRef/>
      </w:r>
      <w:r>
        <w:rPr>
          <w:color w:val="0563C1"/>
          <w:sz w:val="20"/>
          <w:szCs w:val="20"/>
          <w:u w:val="single"/>
        </w:rPr>
        <w:t xml:space="preserve"> </w:t>
      </w:r>
      <w:hyperlink r:id="rId1" w:history="1">
        <w:r w:rsidRPr="00EF0192">
          <w:rPr>
            <w:rStyle w:val="Hyperlink"/>
            <w:sz w:val="20"/>
            <w:szCs w:val="20"/>
          </w:rPr>
          <w:t>https://www.ons.gov.uk/economy/grossdomesticproductgdp/datasets/ukgdpolowlevelaggregates</w:t>
        </w:r>
      </w:hyperlink>
    </w:p>
  </w:footnote>
  <w:footnote w:id="4">
    <w:p w14:paraId="75276AB9" w14:textId="33F6DF82" w:rsidR="00146348" w:rsidRPr="007370CA" w:rsidRDefault="00146348" w:rsidP="00FE1750">
      <w:pPr>
        <w:pStyle w:val="FootnoteText"/>
        <w:keepLines/>
        <w:spacing w:before="120" w:line="276" w:lineRule="auto"/>
        <w:rPr>
          <w:rFonts w:cs="Arial"/>
          <w:sz w:val="20"/>
          <w:lang w:val="en-GB"/>
        </w:rPr>
      </w:pPr>
      <w:r w:rsidRPr="007370CA">
        <w:rPr>
          <w:rStyle w:val="FootnoteReference"/>
          <w:rFonts w:cs="Arial"/>
          <w:sz w:val="20"/>
          <w:lang w:val="en-GB"/>
        </w:rPr>
        <w:footnoteRef/>
      </w:r>
      <w:r w:rsidRPr="007370CA">
        <w:rPr>
          <w:rFonts w:cs="Arial"/>
          <w:sz w:val="20"/>
          <w:lang w:val="en-GB"/>
        </w:rPr>
        <w:t xml:space="preserve"> </w:t>
      </w:r>
      <w:r w:rsidRPr="007370CA">
        <w:rPr>
          <w:rFonts w:cs="Arial"/>
          <w:sz w:val="20"/>
          <w:lang w:val="en-GB" w:eastAsia="en-US"/>
        </w:rPr>
        <w:t xml:space="preserve">Generally, in this chapter, unlike in the ONS table and some other official sources, a terminological distinction is made between “oil and gas” and “[other] mining and quarrying”, the latter comprising the extraction of coal and of all non-hydrocarbon minerals. </w:t>
      </w:r>
      <w:r w:rsidR="00051182">
        <w:rPr>
          <w:rFonts w:cs="Arial"/>
          <w:sz w:val="20"/>
          <w:lang w:val="en-GB" w:eastAsia="en-US"/>
        </w:rPr>
        <w:t>W</w:t>
      </w:r>
      <w:r w:rsidRPr="007370CA">
        <w:rPr>
          <w:rFonts w:cs="Arial"/>
          <w:sz w:val="20"/>
          <w:lang w:val="en-GB" w:eastAsia="en-US"/>
        </w:rPr>
        <w:t>e have included mining support service activities in the total for the sector when calculating its contribution to GDP.</w:t>
      </w:r>
    </w:p>
  </w:footnote>
  <w:footnote w:id="5">
    <w:p w14:paraId="540894E9" w14:textId="1CD7601C" w:rsidR="008F6421" w:rsidRPr="008F6421" w:rsidRDefault="00146348" w:rsidP="00FE1750">
      <w:pPr>
        <w:pStyle w:val="FootnoteText"/>
        <w:keepLines/>
        <w:spacing w:before="120" w:line="276" w:lineRule="auto"/>
        <w:rPr>
          <w:lang w:val="en-GB"/>
        </w:rPr>
      </w:pPr>
      <w:r w:rsidRPr="007370CA">
        <w:rPr>
          <w:rStyle w:val="FootnoteReference"/>
          <w:rFonts w:cs="Arial"/>
          <w:sz w:val="20"/>
        </w:rPr>
        <w:footnoteRef/>
      </w:r>
      <w:r>
        <w:rPr>
          <w:rStyle w:val="Hyperlink"/>
          <w:rFonts w:cs="Arial"/>
          <w:sz w:val="20"/>
          <w:lang w:val="fr-FR"/>
        </w:rPr>
        <w:t xml:space="preserve"> </w:t>
      </w:r>
      <w:hyperlink r:id="rId2" w:history="1">
        <w:r w:rsidR="006918D6" w:rsidRPr="00C94F82">
          <w:rPr>
            <w:rStyle w:val="Hyperlink"/>
            <w:lang w:val="en-GB"/>
          </w:rPr>
          <w:t>https://www.ons.gov.uk/economy/grossdomesticproductgdp/datasets/ukgdpolowlevelaggregates</w:t>
        </w:r>
      </w:hyperlink>
      <w:r w:rsidR="006918D6">
        <w:rPr>
          <w:lang w:val="en-GB"/>
        </w:rPr>
        <w:t xml:space="preserve">; </w:t>
      </w:r>
      <w:hyperlink r:id="rId3" w:history="1">
        <w:r w:rsidR="008F6421" w:rsidRPr="00C94F82">
          <w:rPr>
            <w:rStyle w:val="Hyperlink"/>
            <w:lang w:val="en-GB"/>
          </w:rPr>
          <w:t>https://www.ons.gov.uk/economy/nationalaccounts/uksectoraccounts/datasets/unitedkingdomeconomicaccountsmainaggregates</w:t>
        </w:r>
      </w:hyperlink>
    </w:p>
  </w:footnote>
  <w:footnote w:id="6">
    <w:p w14:paraId="2DA952E1" w14:textId="424D7C76" w:rsidR="00146348" w:rsidRPr="00B354A2" w:rsidRDefault="00146348" w:rsidP="00FE1750">
      <w:pPr>
        <w:pStyle w:val="FootnoteText"/>
        <w:keepLines/>
        <w:spacing w:before="120" w:line="276" w:lineRule="auto"/>
        <w:rPr>
          <w:rStyle w:val="Hyperlink"/>
          <w:rFonts w:cs="Arial"/>
          <w:sz w:val="20"/>
        </w:rPr>
      </w:pPr>
      <w:r w:rsidRPr="007370CA">
        <w:rPr>
          <w:rStyle w:val="FootnoteReference"/>
          <w:rFonts w:cs="Arial"/>
          <w:sz w:val="20"/>
        </w:rPr>
        <w:footnoteRef/>
      </w:r>
      <w:r>
        <w:rPr>
          <w:lang w:val="en-GB"/>
        </w:rPr>
        <w:t xml:space="preserve"> </w:t>
      </w:r>
      <w:hyperlink r:id="rId4" w:history="1">
        <w:r w:rsidR="00A64853" w:rsidRPr="00B354A2">
          <w:rPr>
            <w:rStyle w:val="Hyperlink"/>
            <w:rFonts w:cs="Arial"/>
            <w:sz w:val="20"/>
          </w:rPr>
          <w:t>https://www.ons.gov.uk/businessindustryandtrade/business/businessservices/bulletins/uknonfinancialbusinesseconomy/2017provisionalresults</w:t>
        </w:r>
      </w:hyperlink>
      <w:hyperlink w:history="1"/>
    </w:p>
  </w:footnote>
  <w:footnote w:id="7">
    <w:p w14:paraId="05DBA429" w14:textId="1C134595" w:rsidR="00514066" w:rsidRPr="004C7D38" w:rsidRDefault="00514066" w:rsidP="00514066">
      <w:pPr>
        <w:pStyle w:val="FootnoteText"/>
        <w:keepLines/>
        <w:spacing w:before="120" w:line="276" w:lineRule="auto"/>
        <w:rPr>
          <w:lang w:val="en-GB"/>
        </w:rPr>
      </w:pPr>
      <w:r w:rsidRPr="007370CA">
        <w:rPr>
          <w:rStyle w:val="FootnoteReference"/>
          <w:rFonts w:cs="Arial"/>
          <w:sz w:val="20"/>
        </w:rPr>
        <w:footnoteRef/>
      </w:r>
      <w:r>
        <w:rPr>
          <w:lang w:val="en-GB"/>
        </w:rPr>
        <w:t xml:space="preserve"> </w:t>
      </w:r>
      <w:hyperlink r:id="rId5" w:history="1">
        <w:r w:rsidR="00254269" w:rsidRPr="00254269">
          <w:rPr>
            <w:rStyle w:val="Hyperlink"/>
            <w:sz w:val="20"/>
            <w:szCs w:val="24"/>
          </w:rPr>
          <w:t>https://www.gov.uk/government/statistics/business-population-estimates-2018</w:t>
        </w:r>
      </w:hyperlink>
      <w:hyperlink w:history="1"/>
    </w:p>
  </w:footnote>
  <w:footnote w:id="8">
    <w:p w14:paraId="4617CAF0" w14:textId="77777777" w:rsidR="00146348" w:rsidRPr="00C41EA5" w:rsidRDefault="00146348" w:rsidP="00FE1750">
      <w:pPr>
        <w:pStyle w:val="FootnoteText"/>
        <w:keepLines/>
        <w:widowControl w:val="0"/>
        <w:spacing w:before="120" w:line="276" w:lineRule="auto"/>
        <w:rPr>
          <w:rFonts w:cs="Arial"/>
          <w:sz w:val="20"/>
          <w:lang w:val="en-GB"/>
        </w:rPr>
      </w:pPr>
      <w:r w:rsidRPr="00C41EA5">
        <w:rPr>
          <w:rStyle w:val="FootnoteReference"/>
          <w:rFonts w:cs="Arial"/>
          <w:sz w:val="20"/>
          <w:lang w:val="en-GB"/>
        </w:rPr>
        <w:footnoteRef/>
      </w:r>
      <w:r w:rsidRPr="00C41EA5">
        <w:rPr>
          <w:rFonts w:cs="Arial"/>
          <w:sz w:val="20"/>
          <w:lang w:val="en-GB"/>
        </w:rPr>
        <w:t xml:space="preserve"> Section 106 of the Town and Country Planning Act 1990.</w:t>
      </w:r>
    </w:p>
  </w:footnote>
  <w:footnote w:id="9">
    <w:p w14:paraId="46D39E5C" w14:textId="5978BAFB" w:rsidR="00146348" w:rsidRPr="00246F2B" w:rsidRDefault="00146348" w:rsidP="00FE1750">
      <w:pPr>
        <w:pStyle w:val="FootnoteText"/>
        <w:keepLines/>
        <w:widowControl w:val="0"/>
        <w:spacing w:before="120" w:line="276" w:lineRule="auto"/>
        <w:rPr>
          <w:rFonts w:cs="Arial"/>
          <w:sz w:val="20"/>
          <w:lang w:val="en-GB"/>
        </w:rPr>
      </w:pPr>
      <w:r w:rsidRPr="00C41EA5">
        <w:rPr>
          <w:rStyle w:val="FootnoteReference"/>
          <w:rFonts w:cs="Arial"/>
          <w:sz w:val="20"/>
          <w:lang w:val="en-GB"/>
        </w:rPr>
        <w:footnoteRef/>
      </w:r>
      <w:r w:rsidRPr="00C41EA5">
        <w:rPr>
          <w:rFonts w:cs="Arial"/>
          <w:sz w:val="20"/>
          <w:lang w:val="en-GB"/>
        </w:rPr>
        <w:t xml:space="preserve"> OBR,</w:t>
      </w:r>
      <w:r>
        <w:rPr>
          <w:rFonts w:cs="Arial"/>
          <w:sz w:val="20"/>
          <w:lang w:val="en-GB"/>
        </w:rPr>
        <w:t xml:space="preserve"> </w:t>
      </w:r>
      <w:hyperlink r:id="rId6" w:history="1">
        <w:r w:rsidRPr="00F109E9">
          <w:rPr>
            <w:rStyle w:val="Hyperlink"/>
            <w:rFonts w:cs="Arial"/>
            <w:sz w:val="20"/>
            <w:lang w:val="en-GB"/>
          </w:rPr>
          <w:t>https://obr.uk/</w:t>
        </w:r>
      </w:hyperlink>
    </w:p>
  </w:footnote>
  <w:footnote w:id="10">
    <w:p w14:paraId="2F03B047" w14:textId="2A5BBB05" w:rsidR="00146348" w:rsidRPr="004E7263" w:rsidRDefault="00146348" w:rsidP="00FE1750">
      <w:pPr>
        <w:pStyle w:val="FootnoteText"/>
        <w:keepLines/>
        <w:spacing w:before="120" w:line="276" w:lineRule="auto"/>
        <w:rPr>
          <w:rFonts w:cs="Arial"/>
          <w:sz w:val="20"/>
          <w:lang w:val="en-GB"/>
        </w:rPr>
      </w:pPr>
      <w:r w:rsidRPr="004E7263">
        <w:rPr>
          <w:rStyle w:val="FootnoteReference"/>
          <w:rFonts w:cs="Arial"/>
          <w:sz w:val="20"/>
        </w:rPr>
        <w:footnoteRef/>
      </w:r>
      <w:r>
        <w:rPr>
          <w:rFonts w:cs="Arial"/>
          <w:sz w:val="20"/>
          <w:lang w:val="en-GB"/>
        </w:rPr>
        <w:t xml:space="preserve"> </w:t>
      </w:r>
      <w:hyperlink r:id="rId7" w:history="1">
        <w:r w:rsidR="00D95813" w:rsidRPr="00D95813">
          <w:rPr>
            <w:rStyle w:val="Hyperlink"/>
          </w:rPr>
          <w:t>https://www.ons.gov.uk/employmentandlabourmarket/peopleinwork/employ</w:t>
        </w:r>
        <w:r w:rsidR="00D95813" w:rsidRPr="004F73C7">
          <w:rPr>
            <w:rStyle w:val="Hyperlink"/>
          </w:rPr>
          <w:t>mentandemployeetypes/bulletins/regionallabourmarket/september2019</w:t>
        </w:r>
      </w:hyperlink>
      <w:r w:rsidR="0019680B">
        <w:rPr>
          <w:lang w:val="en-GB"/>
        </w:rPr>
        <w:t xml:space="preserve"> and DUKES 2019 (BEIS, July 2019</w:t>
      </w:r>
      <w:r w:rsidR="002B0561">
        <w:rPr>
          <w:lang w:val="en-GB"/>
        </w:rPr>
        <w:t>)</w:t>
      </w:r>
      <w:r w:rsidR="0019680B">
        <w:rPr>
          <w:lang w:val="en-GB"/>
        </w:rPr>
        <w:t xml:space="preserve"> </w:t>
      </w:r>
    </w:p>
  </w:footnote>
  <w:footnote w:id="11">
    <w:p w14:paraId="467CC862" w14:textId="77777777" w:rsidR="00146348" w:rsidRPr="00C41EA5" w:rsidRDefault="00146348" w:rsidP="00FE1750">
      <w:pPr>
        <w:pStyle w:val="Default"/>
        <w:keepLines/>
        <w:widowControl w:val="0"/>
        <w:spacing w:before="120" w:line="276" w:lineRule="auto"/>
        <w:rPr>
          <w:rFonts w:ascii="Arial" w:hAnsi="Arial" w:cs="Arial"/>
          <w:sz w:val="20"/>
          <w:szCs w:val="20"/>
        </w:rPr>
      </w:pPr>
      <w:r w:rsidRPr="00C41EA5">
        <w:rPr>
          <w:rStyle w:val="FootnoteReference"/>
          <w:rFonts w:ascii="Arial" w:hAnsi="Arial" w:cs="Arial"/>
          <w:color w:val="auto"/>
          <w:sz w:val="20"/>
          <w:szCs w:val="20"/>
        </w:rPr>
        <w:footnoteRef/>
      </w:r>
      <w:r w:rsidRPr="00C41EA5">
        <w:rPr>
          <w:rStyle w:val="FootnoteReference"/>
          <w:rFonts w:ascii="Arial" w:hAnsi="Arial" w:cs="Arial"/>
          <w:color w:val="auto"/>
          <w:sz w:val="20"/>
          <w:szCs w:val="20"/>
        </w:rPr>
        <w:t xml:space="preserve"> </w:t>
      </w:r>
      <w:hyperlink r:id="rId8" w:history="1">
        <w:r w:rsidRPr="00C41EA5">
          <w:rPr>
            <w:rStyle w:val="Hyperlink"/>
            <w:rFonts w:ascii="Arial" w:hAnsi="Arial" w:cs="Arial"/>
            <w:sz w:val="20"/>
            <w:szCs w:val="20"/>
          </w:rPr>
          <w:t>https://www.ogauthority.co.uk/data-centre/interactive-maps-and-tools/</w:t>
        </w:r>
      </w:hyperlink>
    </w:p>
  </w:footnote>
  <w:footnote w:id="12">
    <w:p w14:paraId="3C20248E" w14:textId="77777777" w:rsidR="00146348" w:rsidRPr="00C41EA5" w:rsidRDefault="00146348" w:rsidP="00FE1750">
      <w:pPr>
        <w:keepLines/>
        <w:widowControl w:val="0"/>
        <w:autoSpaceDE w:val="0"/>
        <w:autoSpaceDN w:val="0"/>
        <w:adjustRightInd w:val="0"/>
        <w:spacing w:before="120" w:line="276" w:lineRule="auto"/>
        <w:rPr>
          <w:color w:val="000000"/>
          <w:sz w:val="20"/>
          <w:szCs w:val="20"/>
        </w:rPr>
      </w:pPr>
      <w:r w:rsidRPr="00C41EA5">
        <w:rPr>
          <w:rStyle w:val="FootnoteReference"/>
          <w:sz w:val="20"/>
          <w:szCs w:val="20"/>
        </w:rPr>
        <w:footnoteRef/>
      </w:r>
      <w:r w:rsidRPr="00C41EA5">
        <w:rPr>
          <w:sz w:val="20"/>
          <w:szCs w:val="20"/>
        </w:rPr>
        <w:t xml:space="preserve"> </w:t>
      </w:r>
      <w:hyperlink r:id="rId9" w:history="1">
        <w:r w:rsidRPr="00C41EA5">
          <w:rPr>
            <w:rStyle w:val="Hyperlink"/>
            <w:sz w:val="20"/>
            <w:szCs w:val="20"/>
          </w:rPr>
          <w:t>https://www.economy-ni.gov.uk/publications/petroleum-licence-map</w:t>
        </w:r>
      </w:hyperlink>
    </w:p>
  </w:footnote>
  <w:footnote w:id="13">
    <w:p w14:paraId="382723F8" w14:textId="77777777" w:rsidR="00146348" w:rsidRPr="004E7263" w:rsidRDefault="00146348" w:rsidP="00FE1750">
      <w:pPr>
        <w:keepLines/>
        <w:widowControl w:val="0"/>
        <w:autoSpaceDE w:val="0"/>
        <w:autoSpaceDN w:val="0"/>
        <w:adjustRightInd w:val="0"/>
        <w:spacing w:before="120" w:line="276" w:lineRule="auto"/>
        <w:rPr>
          <w:sz w:val="20"/>
          <w:szCs w:val="20"/>
        </w:rPr>
      </w:pPr>
      <w:r w:rsidRPr="00C41EA5">
        <w:rPr>
          <w:rStyle w:val="FootnoteReference"/>
          <w:sz w:val="20"/>
          <w:szCs w:val="20"/>
        </w:rPr>
        <w:footnoteRef/>
      </w:r>
      <w:r w:rsidRPr="00C41EA5">
        <w:rPr>
          <w:sz w:val="20"/>
          <w:szCs w:val="20"/>
        </w:rPr>
        <w:t xml:space="preserve"> Coal Authority, Interactive Map, </w:t>
      </w:r>
      <w:hyperlink r:id="rId10" w:history="1">
        <w:r w:rsidRPr="00C41EA5">
          <w:rPr>
            <w:rStyle w:val="Hyperlink"/>
            <w:sz w:val="20"/>
            <w:szCs w:val="20"/>
          </w:rPr>
          <w:t>http://mapapps2.bgs.ac.uk/coalauthority/home.html</w:t>
        </w:r>
      </w:hyperlink>
    </w:p>
  </w:footnote>
  <w:footnote w:id="14">
    <w:p w14:paraId="509BA667" w14:textId="77777777" w:rsidR="00146348" w:rsidRPr="00C41EA5" w:rsidRDefault="00146348" w:rsidP="00FE1750">
      <w:pPr>
        <w:pStyle w:val="FootnoteText"/>
        <w:keepLines/>
        <w:spacing w:before="120" w:line="276" w:lineRule="auto"/>
        <w:rPr>
          <w:rFonts w:cs="Arial"/>
          <w:sz w:val="20"/>
          <w:lang w:val="en-GB"/>
        </w:rPr>
      </w:pPr>
      <w:r w:rsidRPr="00C41EA5">
        <w:rPr>
          <w:rStyle w:val="FootnoteReference"/>
          <w:rFonts w:cs="Arial"/>
          <w:sz w:val="20"/>
        </w:rPr>
        <w:footnoteRef/>
      </w:r>
      <w:r w:rsidRPr="00C41EA5">
        <w:rPr>
          <w:rFonts w:cs="Arial"/>
          <w:sz w:val="20"/>
        </w:rPr>
        <w:t xml:space="preserve"> </w:t>
      </w:r>
      <w:hyperlink r:id="rId11" w:history="1">
        <w:r w:rsidRPr="00C41EA5">
          <w:rPr>
            <w:rStyle w:val="Hyperlink"/>
            <w:rFonts w:cs="Arial"/>
            <w:sz w:val="20"/>
          </w:rPr>
          <w:t>https://www.gov.uk/government/collections/energy-and-emissions-projections</w:t>
        </w:r>
      </w:hyperlink>
    </w:p>
  </w:footnote>
  <w:footnote w:id="15">
    <w:p w14:paraId="7E4B97EE" w14:textId="77777777" w:rsidR="00146348" w:rsidRPr="004E7263" w:rsidRDefault="00146348" w:rsidP="00FE1750">
      <w:pPr>
        <w:pStyle w:val="FootnoteText"/>
        <w:keepLines/>
        <w:spacing w:before="120" w:line="276" w:lineRule="auto"/>
        <w:rPr>
          <w:rFonts w:cs="Arial"/>
          <w:sz w:val="20"/>
          <w:lang w:val="en-GB"/>
        </w:rPr>
      </w:pPr>
      <w:r w:rsidRPr="00C41EA5">
        <w:rPr>
          <w:rStyle w:val="FootnoteReference"/>
          <w:rFonts w:cs="Arial"/>
          <w:sz w:val="20"/>
        </w:rPr>
        <w:footnoteRef/>
      </w:r>
      <w:hyperlink r:id="rId12" w:history="1"/>
      <w:r w:rsidRPr="00C41EA5">
        <w:rPr>
          <w:rFonts w:cs="Arial"/>
          <w:sz w:val="20"/>
          <w:lang w:val="en-GB"/>
        </w:rPr>
        <w:t xml:space="preserve"> </w:t>
      </w:r>
      <w:hyperlink r:id="rId13" w:history="1">
        <w:r w:rsidRPr="00C41EA5">
          <w:rPr>
            <w:rStyle w:val="Hyperlink"/>
            <w:rFonts w:cs="Arial"/>
            <w:sz w:val="20"/>
            <w:lang w:val="en-GB"/>
          </w:rPr>
          <w:t>https://www.gov.uk/government/statistics/total-energy-section-1-energy-trends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34177" w14:textId="77777777" w:rsidR="00C700A6" w:rsidRDefault="00C700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407FE" w14:textId="517E035D" w:rsidR="00146348" w:rsidRPr="005A15CE" w:rsidRDefault="00146348" w:rsidP="005A15CE">
    <w:pPr>
      <w:pBdr>
        <w:bottom w:val="single" w:sz="4" w:space="1" w:color="0070C0"/>
      </w:pBdr>
      <w:jc w:val="right"/>
      <w:rPr>
        <w:bCs/>
        <w:i/>
        <w:iCs/>
        <w:color w:val="0070C0"/>
        <w:sz w:val="16"/>
      </w:rPr>
    </w:pPr>
    <w:r>
      <w:rPr>
        <w:bCs/>
        <w:i/>
        <w:iCs/>
        <w:color w:val="0070C0"/>
        <w:sz w:val="16"/>
      </w:rPr>
      <w:t xml:space="preserve">UK EITI report for </w:t>
    </w:r>
    <w:r w:rsidR="00B75C80">
      <w:rPr>
        <w:bCs/>
        <w:i/>
        <w:iCs/>
        <w:color w:val="0070C0"/>
        <w:sz w:val="16"/>
      </w:rPr>
      <w:t>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91ACA" w14:textId="77777777" w:rsidR="00146348" w:rsidRPr="0052688B" w:rsidRDefault="00146348" w:rsidP="0052688B">
    <w:pPr>
      <w:pBdr>
        <w:bottom w:val="single" w:sz="4" w:space="1" w:color="0070C0"/>
      </w:pBdr>
      <w:jc w:val="right"/>
      <w:rPr>
        <w:bCs/>
        <w:i/>
        <w:iCs/>
        <w:color w:val="0070C0"/>
        <w:sz w:val="16"/>
      </w:rPr>
    </w:pPr>
    <w:r>
      <w:rPr>
        <w:bCs/>
        <w:i/>
        <w:iCs/>
        <w:color w:val="0070C0"/>
        <w:sz w:val="16"/>
      </w:rPr>
      <w:t>UK EITI report for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ED1967"/>
    <w:multiLevelType w:val="hybridMultilevel"/>
    <w:tmpl w:val="E94C0F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F"/>
    <w:multiLevelType w:val="singleLevel"/>
    <w:tmpl w:val="23B89006"/>
    <w:lvl w:ilvl="0">
      <w:start w:val="1"/>
      <w:numFmt w:val="decimal"/>
      <w:pStyle w:val="ListNumber2"/>
      <w:lvlText w:val="%1."/>
      <w:lvlJc w:val="left"/>
      <w:pPr>
        <w:tabs>
          <w:tab w:val="num" w:pos="643"/>
        </w:tabs>
        <w:ind w:left="643" w:hanging="360"/>
      </w:pPr>
    </w:lvl>
  </w:abstractNum>
  <w:abstractNum w:abstractNumId="2" w15:restartNumberingAfterBreak="0">
    <w:nsid w:val="00416306"/>
    <w:multiLevelType w:val="hybridMultilevel"/>
    <w:tmpl w:val="401CD196"/>
    <w:lvl w:ilvl="0" w:tplc="086A4EFC">
      <w:start w:val="1"/>
      <w:numFmt w:val="lowerRoman"/>
      <w:lvlText w:val="%1."/>
      <w:lvlJc w:val="right"/>
      <w:pPr>
        <w:ind w:left="720" w:hanging="360"/>
      </w:pPr>
      <w:rPr>
        <w:rFonts w:ascii="Arial" w:hAnsi="Arial" w:cs="Arial" w:hint="default"/>
        <w:b/>
        <w:sz w:val="20"/>
        <w:szCs w:val="20"/>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0851A97"/>
    <w:multiLevelType w:val="multilevel"/>
    <w:tmpl w:val="CA7EE5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2AB1A28"/>
    <w:multiLevelType w:val="hybridMultilevel"/>
    <w:tmpl w:val="43BA9D84"/>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8682163"/>
    <w:multiLevelType w:val="hybridMultilevel"/>
    <w:tmpl w:val="9EDCCAFC"/>
    <w:lvl w:ilvl="0" w:tplc="B7F60DC0">
      <w:start w:val="1"/>
      <w:numFmt w:val="lowerRoman"/>
      <w:lvlText w:val="(%1)"/>
      <w:lvlJc w:val="left"/>
      <w:pPr>
        <w:ind w:left="720" w:hanging="360"/>
      </w:pPr>
      <w:rPr>
        <w:rFonts w:hint="default"/>
        <w:b w:val="0"/>
        <w:i w:val="0"/>
        <w:iCs w:val="0"/>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99837A4"/>
    <w:multiLevelType w:val="multilevel"/>
    <w:tmpl w:val="040C001F"/>
    <w:lvl w:ilvl="0">
      <w:start w:val="1"/>
      <w:numFmt w:val="decimal"/>
      <w:lvlText w:val="%1."/>
      <w:lvlJc w:val="left"/>
      <w:pPr>
        <w:ind w:left="360" w:hanging="360"/>
      </w:pPr>
      <w:rPr>
        <w:rFonts w:ascii="Arial" w:hAnsi="Arial"/>
        <w:color w:val="auto"/>
        <w:sz w:val="24"/>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337E18"/>
    <w:multiLevelType w:val="hybridMultilevel"/>
    <w:tmpl w:val="42844BA2"/>
    <w:lvl w:ilvl="0" w:tplc="0DA60EDC">
      <w:start w:val="1"/>
      <w:numFmt w:val="lowerRoman"/>
      <w:lvlText w:val="(%1)"/>
      <w:lvlJc w:val="left"/>
      <w:pPr>
        <w:ind w:left="720" w:hanging="360"/>
      </w:pPr>
      <w:rPr>
        <w:rFonts w:hint="default"/>
        <w:b w:val="0"/>
        <w:i w:val="0"/>
        <w:iCs w:val="0"/>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CC63F04"/>
    <w:multiLevelType w:val="multilevel"/>
    <w:tmpl w:val="28082A52"/>
    <w:lvl w:ilvl="0">
      <w:start w:val="1"/>
      <w:numFmt w:val="upperRoman"/>
      <w:pStyle w:val="MSHouseLevel1"/>
      <w:lvlText w:val="%1."/>
      <w:lvlJc w:val="left"/>
      <w:pPr>
        <w:tabs>
          <w:tab w:val="num" w:pos="851"/>
        </w:tabs>
        <w:ind w:left="851" w:hanging="851"/>
      </w:pPr>
      <w:rPr>
        <w:rFonts w:hint="default"/>
      </w:rPr>
    </w:lvl>
    <w:lvl w:ilvl="1">
      <w:start w:val="1"/>
      <w:numFmt w:val="decimal"/>
      <w:lvlRestart w:val="0"/>
      <w:pStyle w:val="MSHouseLevel2"/>
      <w:lvlText w:val="%2."/>
      <w:lvlJc w:val="left"/>
      <w:pPr>
        <w:tabs>
          <w:tab w:val="num" w:pos="851"/>
        </w:tabs>
        <w:ind w:left="851" w:hanging="851"/>
      </w:pPr>
      <w:rPr>
        <w:rFonts w:hint="default"/>
      </w:rPr>
    </w:lvl>
    <w:lvl w:ilvl="2">
      <w:start w:val="1"/>
      <w:numFmt w:val="decimal"/>
      <w:lvlText w:val="%2.%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bullet"/>
      <w:lvlText w:val=""/>
      <w:lvlJc w:val="left"/>
      <w:pPr>
        <w:tabs>
          <w:tab w:val="num" w:pos="851"/>
        </w:tabs>
        <w:ind w:left="851" w:hanging="851"/>
      </w:pPr>
      <w:rPr>
        <w:rFonts w:ascii="Symbol" w:hAnsi="Symbol" w:hint="default"/>
      </w:rPr>
    </w:lvl>
    <w:lvl w:ilvl="5">
      <w:start w:val="1"/>
      <w:numFmt w:val="bullet"/>
      <w:lvlText w:val="♦"/>
      <w:lvlJc w:val="left"/>
      <w:pPr>
        <w:tabs>
          <w:tab w:val="num" w:pos="1418"/>
        </w:tabs>
        <w:ind w:left="1418" w:hanging="567"/>
      </w:pPr>
      <w:rPr>
        <w:rFonts w:ascii="Times New Roman" w:cs="Times New Roman" w:hint="default"/>
      </w:rPr>
    </w:lvl>
    <w:lvl w:ilvl="6">
      <w:start w:val="1"/>
      <w:numFmt w:val="bullet"/>
      <w:lvlText w:val="-"/>
      <w:lvlJc w:val="left"/>
      <w:pPr>
        <w:tabs>
          <w:tab w:val="num" w:pos="1985"/>
        </w:tabs>
        <w:ind w:left="1985" w:hanging="567"/>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DA35B8D"/>
    <w:multiLevelType w:val="multilevel"/>
    <w:tmpl w:val="08F64136"/>
    <w:lvl w:ilvl="0">
      <w:start w:val="2"/>
      <w:numFmt w:val="decimal"/>
      <w:lvlText w:val="%1."/>
      <w:lvlJc w:val="left"/>
      <w:pPr>
        <w:ind w:left="720" w:hanging="720"/>
      </w:pPr>
      <w:rPr>
        <w:rFonts w:hint="default"/>
      </w:rPr>
    </w:lvl>
    <w:lvl w:ilvl="1">
      <w:start w:val="1"/>
      <w:numFmt w:val="decimal"/>
      <w:lvlText w:val="5.%2."/>
      <w:lvlJc w:val="left"/>
      <w:pPr>
        <w:ind w:left="1332" w:hanging="720"/>
      </w:pPr>
      <w:rPr>
        <w:rFonts w:hint="default"/>
      </w:rPr>
    </w:lvl>
    <w:lvl w:ilvl="2">
      <w:start w:val="10"/>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10" w15:restartNumberingAfterBreak="0">
    <w:nsid w:val="154D5A32"/>
    <w:multiLevelType w:val="multilevel"/>
    <w:tmpl w:val="711A73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BF332C"/>
    <w:multiLevelType w:val="multilevel"/>
    <w:tmpl w:val="2A88FC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D34FA6"/>
    <w:multiLevelType w:val="multilevel"/>
    <w:tmpl w:val="F7B6CD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1.%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F763840"/>
    <w:multiLevelType w:val="hybridMultilevel"/>
    <w:tmpl w:val="2DEE77E4"/>
    <w:lvl w:ilvl="0" w:tplc="FDBE0ECA">
      <w:start w:val="1"/>
      <w:numFmt w:val="decimal"/>
      <w:lvlText w:val="%1."/>
      <w:lvlJc w:val="left"/>
      <w:pPr>
        <w:ind w:left="644" w:hanging="360"/>
      </w:pPr>
      <w:rPr>
        <w:rFonts w:hint="default"/>
        <w:b w:val="0"/>
        <w:i w:val="0"/>
        <w:iCs w:val="0"/>
        <w:sz w:val="20"/>
        <w:szCs w:val="20"/>
      </w:rPr>
    </w:lvl>
    <w:lvl w:ilvl="1" w:tplc="D7CE824C">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0174C8C"/>
    <w:multiLevelType w:val="multilevel"/>
    <w:tmpl w:val="BB809E9E"/>
    <w:lvl w:ilvl="0">
      <w:start w:val="1"/>
      <w:numFmt w:val="bullet"/>
      <w:lvlText w:val=""/>
      <w:lvlJc w:val="left"/>
      <w:pPr>
        <w:tabs>
          <w:tab w:val="num" w:pos="567"/>
        </w:tabs>
        <w:ind w:left="567" w:hanging="567"/>
      </w:pPr>
      <w:rPr>
        <w:rFonts w:ascii="Symbol" w:hAnsi="Symbol" w:hint="default"/>
      </w:rPr>
    </w:lvl>
    <w:lvl w:ilvl="1">
      <w:start w:val="1"/>
      <w:numFmt w:val="bullet"/>
      <w:pStyle w:val="MSBulletLevel2"/>
      <w:lvlText w:val="♦"/>
      <w:lvlJc w:val="left"/>
      <w:pPr>
        <w:tabs>
          <w:tab w:val="num" w:pos="1134"/>
        </w:tabs>
        <w:ind w:left="1134" w:hanging="567"/>
      </w:pPr>
      <w:rPr>
        <w:rFonts w:ascii="Times New Roman" w:cs="Times New Roman" w:hint="default"/>
      </w:rPr>
    </w:lvl>
    <w:lvl w:ilvl="2">
      <w:start w:val="1"/>
      <w:numFmt w:val="bullet"/>
      <w:pStyle w:val="MSBulletLevel3"/>
      <w:lvlText w:val="-"/>
      <w:lvlJc w:val="left"/>
      <w:pPr>
        <w:tabs>
          <w:tab w:val="num" w:pos="1701"/>
        </w:tabs>
        <w:ind w:left="1701" w:hanging="567"/>
      </w:pPr>
      <w:rPr>
        <w:rFonts w:ascii="Times New Roman" w:cs="Times New Roman"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Wingdings" w:hAnsi="Wingdings"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5" w15:restartNumberingAfterBreak="0">
    <w:nsid w:val="29456D4B"/>
    <w:multiLevelType w:val="hybridMultilevel"/>
    <w:tmpl w:val="49A6FB70"/>
    <w:lvl w:ilvl="0" w:tplc="A77A97F6">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7" w15:restartNumberingAfterBreak="0">
    <w:nsid w:val="2CAB4527"/>
    <w:multiLevelType w:val="multilevel"/>
    <w:tmpl w:val="26C24C12"/>
    <w:lvl w:ilvl="0">
      <w:start w:val="1"/>
      <w:numFmt w:val="decimal"/>
      <w:pStyle w:val="ListNumber3"/>
      <w:lvlText w:val="(%1)"/>
      <w:lvlJc w:val="left"/>
      <w:pPr>
        <w:tabs>
          <w:tab w:val="num" w:pos="709"/>
        </w:tabs>
        <w:ind w:left="709" w:hanging="709"/>
      </w:pPr>
    </w:lvl>
    <w:lvl w:ilvl="1">
      <w:start w:val="1"/>
      <w:numFmt w:val="lowerLetter"/>
      <w:pStyle w:val="ListNumber3Level2"/>
      <w:lvlText w:val="(%2)"/>
      <w:lvlJc w:val="left"/>
      <w:pPr>
        <w:tabs>
          <w:tab w:val="num" w:pos="1417"/>
        </w:tabs>
        <w:ind w:left="1417" w:hanging="708"/>
      </w:pPr>
    </w:lvl>
    <w:lvl w:ilvl="2">
      <w:start w:val="1"/>
      <w:numFmt w:val="bullet"/>
      <w:pStyle w:val="ListNumber3Level3"/>
      <w:lvlText w:val="–"/>
      <w:lvlJc w:val="left"/>
      <w:pPr>
        <w:tabs>
          <w:tab w:val="num" w:pos="2126"/>
        </w:tabs>
        <w:ind w:left="2126" w:hanging="709"/>
      </w:pPr>
      <w:rPr>
        <w:rFonts w:ascii="Times New Roman" w:hAnsi="Times New Roman"/>
      </w:rPr>
    </w:lvl>
    <w:lvl w:ilvl="3">
      <w:start w:val="1"/>
      <w:numFmt w:val="bullet"/>
      <w:pStyle w:val="ListNumber3Level4"/>
      <w:lvlText w:val=""/>
      <w:lvlJc w:val="left"/>
      <w:pPr>
        <w:tabs>
          <w:tab w:val="num" w:pos="2835"/>
        </w:tabs>
        <w:ind w:left="2835" w:hanging="709"/>
      </w:pPr>
      <w:rPr>
        <w:rFonts w:ascii="Symbol" w:hAnsi="Symbol"/>
      </w:rPr>
    </w:lvl>
    <w:lvl w:ilvl="4">
      <w:start w:val="1"/>
      <w:numFmt w:val="lowerLetter"/>
      <w:lvlText w:val="(%5)"/>
      <w:lvlJc w:val="left"/>
      <w:pPr>
        <w:tabs>
          <w:tab w:val="num" w:pos="598"/>
        </w:tabs>
        <w:ind w:left="598" w:hanging="360"/>
      </w:pPr>
    </w:lvl>
    <w:lvl w:ilvl="5">
      <w:start w:val="1"/>
      <w:numFmt w:val="lowerRoman"/>
      <w:lvlText w:val="(%6)"/>
      <w:lvlJc w:val="left"/>
      <w:pPr>
        <w:tabs>
          <w:tab w:val="num" w:pos="958"/>
        </w:tabs>
        <w:ind w:left="958" w:hanging="360"/>
      </w:pPr>
    </w:lvl>
    <w:lvl w:ilvl="6">
      <w:start w:val="1"/>
      <w:numFmt w:val="decimal"/>
      <w:lvlText w:val="%7."/>
      <w:lvlJc w:val="left"/>
      <w:pPr>
        <w:tabs>
          <w:tab w:val="num" w:pos="1318"/>
        </w:tabs>
        <w:ind w:left="1318" w:hanging="360"/>
      </w:pPr>
    </w:lvl>
    <w:lvl w:ilvl="7">
      <w:start w:val="1"/>
      <w:numFmt w:val="lowerLetter"/>
      <w:lvlText w:val="%8."/>
      <w:lvlJc w:val="left"/>
      <w:pPr>
        <w:tabs>
          <w:tab w:val="num" w:pos="1678"/>
        </w:tabs>
        <w:ind w:left="1678" w:hanging="360"/>
      </w:pPr>
    </w:lvl>
    <w:lvl w:ilvl="8">
      <w:start w:val="1"/>
      <w:numFmt w:val="lowerRoman"/>
      <w:lvlText w:val="%9."/>
      <w:lvlJc w:val="left"/>
      <w:pPr>
        <w:tabs>
          <w:tab w:val="num" w:pos="2038"/>
        </w:tabs>
        <w:ind w:left="2038" w:hanging="360"/>
      </w:pPr>
    </w:lvl>
  </w:abstractNum>
  <w:abstractNum w:abstractNumId="18" w15:restartNumberingAfterBreak="0">
    <w:nsid w:val="32017A82"/>
    <w:multiLevelType w:val="multilevel"/>
    <w:tmpl w:val="490CE56E"/>
    <w:styleLink w:val="Style2"/>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2B46874"/>
    <w:multiLevelType w:val="multilevel"/>
    <w:tmpl w:val="81A2B286"/>
    <w:lvl w:ilvl="0">
      <w:start w:val="1"/>
      <w:numFmt w:val="bullet"/>
      <w:pStyle w:val="MSBulletLevel1"/>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Times New Roman" w:cs="Times New Roman" w:hint="default"/>
      </w:rPr>
    </w:lvl>
    <w:lvl w:ilvl="2">
      <w:start w:val="1"/>
      <w:numFmt w:val="bullet"/>
      <w:lvlText w:val="-"/>
      <w:lvlJc w:val="left"/>
      <w:pPr>
        <w:tabs>
          <w:tab w:val="num" w:pos="1701"/>
        </w:tabs>
        <w:ind w:left="1701" w:hanging="567"/>
      </w:pPr>
      <w:rPr>
        <w:rFonts w:ascii="Times New Roman" w:cs="Times New Roman"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Wingdings" w:hAnsi="Wingdings"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0" w15:restartNumberingAfterBreak="0">
    <w:nsid w:val="34211818"/>
    <w:multiLevelType w:val="hybridMultilevel"/>
    <w:tmpl w:val="1D000C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65C2788"/>
    <w:multiLevelType w:val="multilevel"/>
    <w:tmpl w:val="040C001F"/>
    <w:styleLink w:val="IFIAlgeriastyle"/>
    <w:lvl w:ilvl="0">
      <w:start w:val="1"/>
      <w:numFmt w:val="decimal"/>
      <w:lvlText w:val="%1."/>
      <w:lvlJc w:val="left"/>
      <w:pPr>
        <w:ind w:left="360" w:hanging="360"/>
      </w:pPr>
      <w:rPr>
        <w:rFonts w:ascii="Arial" w:hAnsi="Arial"/>
        <w:color w:val="auto"/>
        <w:sz w:val="24"/>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3" w15:restartNumberingAfterBreak="0">
    <w:nsid w:val="40B10ADD"/>
    <w:multiLevelType w:val="multilevel"/>
    <w:tmpl w:val="64101E52"/>
    <w:lvl w:ilvl="0">
      <w:start w:val="2"/>
      <w:numFmt w:val="decimal"/>
      <w:lvlText w:val="%1."/>
      <w:lvlJc w:val="left"/>
      <w:pPr>
        <w:ind w:left="720" w:hanging="720"/>
      </w:pPr>
      <w:rPr>
        <w:rFonts w:hint="default"/>
      </w:rPr>
    </w:lvl>
    <w:lvl w:ilvl="1">
      <w:start w:val="1"/>
      <w:numFmt w:val="decimal"/>
      <w:lvlText w:val="4.%2."/>
      <w:lvlJc w:val="left"/>
      <w:pPr>
        <w:ind w:left="1332" w:hanging="720"/>
      </w:pPr>
      <w:rPr>
        <w:rFonts w:hint="default"/>
      </w:rPr>
    </w:lvl>
    <w:lvl w:ilvl="2">
      <w:start w:val="10"/>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24" w15:restartNumberingAfterBreak="0">
    <w:nsid w:val="47DE4D35"/>
    <w:multiLevelType w:val="multilevel"/>
    <w:tmpl w:val="2F1A3F9A"/>
    <w:lvl w:ilvl="0">
      <w:start w:val="2"/>
      <w:numFmt w:val="decimal"/>
      <w:lvlText w:val="%1."/>
      <w:lvlJc w:val="left"/>
      <w:pPr>
        <w:ind w:left="720" w:hanging="720"/>
      </w:pPr>
      <w:rPr>
        <w:rFonts w:hint="default"/>
      </w:rPr>
    </w:lvl>
    <w:lvl w:ilvl="1">
      <w:start w:val="1"/>
      <w:numFmt w:val="decimal"/>
      <w:lvlText w:val="3.%2."/>
      <w:lvlJc w:val="left"/>
      <w:pPr>
        <w:ind w:left="1332" w:hanging="720"/>
      </w:pPr>
      <w:rPr>
        <w:rFonts w:hint="default"/>
      </w:rPr>
    </w:lvl>
    <w:lvl w:ilvl="2">
      <w:start w:val="10"/>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25" w15:restartNumberingAfterBreak="0">
    <w:nsid w:val="48C20AD8"/>
    <w:multiLevelType w:val="hybridMultilevel"/>
    <w:tmpl w:val="198F3B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1BA11A7"/>
    <w:multiLevelType w:val="multilevel"/>
    <w:tmpl w:val="ADAE6A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42134D2"/>
    <w:multiLevelType w:val="multilevel"/>
    <w:tmpl w:val="711A73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80D4505"/>
    <w:multiLevelType w:val="multilevel"/>
    <w:tmpl w:val="194499BE"/>
    <w:lvl w:ilvl="0">
      <w:start w:val="1"/>
      <w:numFmt w:val="decimal"/>
      <w:lvlText w:val="%1."/>
      <w:lvlJc w:val="left"/>
      <w:pPr>
        <w:tabs>
          <w:tab w:val="num" w:pos="850"/>
        </w:tabs>
        <w:ind w:left="850" w:hanging="850"/>
      </w:pPr>
    </w:lvl>
    <w:lvl w:ilvl="1">
      <w:start w:val="1"/>
      <w:numFmt w:val="decimal"/>
      <w:pStyle w:val="ReportHead2"/>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lowerRoman"/>
      <w:lvlText w:val="%4."/>
      <w:lvlJc w:val="left"/>
      <w:pPr>
        <w:tabs>
          <w:tab w:val="num" w:pos="851"/>
        </w:tabs>
        <w:ind w:left="851" w:hanging="851"/>
      </w:pPr>
    </w:lvl>
    <w:lvl w:ilvl="4">
      <w:start w:val="1"/>
      <w:numFmt w:val="bullet"/>
      <w:lvlText w:val=""/>
      <w:lvlJc w:val="left"/>
      <w:pPr>
        <w:tabs>
          <w:tab w:val="num" w:pos="850"/>
        </w:tabs>
        <w:ind w:left="850" w:hanging="850"/>
      </w:pPr>
      <w:rPr>
        <w:rFonts w:ascii="Symbol" w:hAnsi="Symbol" w:hint="default"/>
      </w:rPr>
    </w:lvl>
    <w:lvl w:ilvl="5">
      <w:start w:val="1"/>
      <w:numFmt w:val="bullet"/>
      <w:lvlText w:val=""/>
      <w:lvlJc w:val="left"/>
      <w:pPr>
        <w:tabs>
          <w:tab w:val="num" w:pos="1417"/>
        </w:tabs>
        <w:ind w:left="1417" w:hanging="567"/>
      </w:pPr>
      <w:rPr>
        <w:rFonts w:ascii="Symbol" w:hAnsi="Symbol" w:hint="default"/>
        <w:sz w:val="22"/>
      </w:rPr>
    </w:lvl>
    <w:lvl w:ilvl="6">
      <w:start w:val="1"/>
      <w:numFmt w:val="bullet"/>
      <w:lvlText w:val=""/>
      <w:lvlJc w:val="left"/>
      <w:pPr>
        <w:tabs>
          <w:tab w:val="num" w:pos="1984"/>
        </w:tabs>
        <w:ind w:left="1984" w:hanging="567"/>
      </w:pPr>
      <w:rPr>
        <w:rFonts w:ascii="Symbol" w:hAnsi="Symbol" w:hint="default"/>
        <w:sz w:val="12"/>
      </w:rPr>
    </w:lvl>
    <w:lvl w:ilvl="7">
      <w:start w:val="1"/>
      <w:numFmt w:val="none"/>
      <w:lvlText w:val=""/>
      <w:lvlJc w:val="left"/>
      <w:pPr>
        <w:tabs>
          <w:tab w:val="num" w:pos="1984"/>
        </w:tabs>
        <w:ind w:left="1984" w:hanging="567"/>
      </w:pPr>
    </w:lvl>
    <w:lvl w:ilvl="8">
      <w:start w:val="1"/>
      <w:numFmt w:val="none"/>
      <w:lvlText w:val=""/>
      <w:lvlJc w:val="left"/>
      <w:pPr>
        <w:tabs>
          <w:tab w:val="num" w:pos="2551"/>
        </w:tabs>
        <w:ind w:left="2551" w:hanging="567"/>
      </w:pPr>
    </w:lvl>
  </w:abstractNum>
  <w:abstractNum w:abstractNumId="29" w15:restartNumberingAfterBreak="0">
    <w:nsid w:val="5A1F0FE6"/>
    <w:multiLevelType w:val="multilevel"/>
    <w:tmpl w:val="4A2AB0B2"/>
    <w:lvl w:ilvl="0">
      <w:start w:val="5"/>
      <w:numFmt w:val="decimal"/>
      <w:lvlText w:val="%1"/>
      <w:lvlJc w:val="left"/>
      <w:pPr>
        <w:ind w:left="480" w:hanging="480"/>
      </w:pPr>
      <w:rPr>
        <w:rFonts w:hint="default"/>
      </w:rPr>
    </w:lvl>
    <w:lvl w:ilvl="1">
      <w:start w:val="1"/>
      <w:numFmt w:val="decimal"/>
      <w:lvlText w:val="%1.%2"/>
      <w:lvlJc w:val="left"/>
      <w:pPr>
        <w:ind w:left="1092" w:hanging="48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0" w15:restartNumberingAfterBreak="0">
    <w:nsid w:val="5AC5124B"/>
    <w:multiLevelType w:val="hybridMultilevel"/>
    <w:tmpl w:val="D2E654F8"/>
    <w:lvl w:ilvl="0" w:tplc="6E46DF84">
      <w:start w:val="10"/>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E5D7309"/>
    <w:multiLevelType w:val="multilevel"/>
    <w:tmpl w:val="54B299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1792F33"/>
    <w:multiLevelType w:val="hybridMultilevel"/>
    <w:tmpl w:val="E90271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4304B86"/>
    <w:multiLevelType w:val="hybridMultilevel"/>
    <w:tmpl w:val="35742D1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549666B"/>
    <w:multiLevelType w:val="hybridMultilevel"/>
    <w:tmpl w:val="D6867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5D26BB3"/>
    <w:multiLevelType w:val="multilevel"/>
    <w:tmpl w:val="351CF70E"/>
    <w:lvl w:ilvl="0">
      <w:start w:val="1"/>
      <w:numFmt w:val="decimal"/>
      <w:pStyle w:val="ReportHead1"/>
      <w:lvlText w:val="%1."/>
      <w:lvlJc w:val="left"/>
      <w:pPr>
        <w:tabs>
          <w:tab w:val="num" w:pos="850"/>
        </w:tabs>
        <w:ind w:left="850" w:hanging="850"/>
      </w:pPr>
    </w:lvl>
    <w:lvl w:ilvl="1">
      <w:start w:val="1"/>
      <w:numFmt w:val="decimal"/>
      <w:pStyle w:val="ReportHead3"/>
      <w:lvlText w:val="%1.%2."/>
      <w:lvlJc w:val="left"/>
      <w:pPr>
        <w:tabs>
          <w:tab w:val="num" w:pos="850"/>
        </w:tabs>
        <w:ind w:left="850" w:hanging="850"/>
      </w:pPr>
    </w:lvl>
    <w:lvl w:ilvl="2">
      <w:start w:val="1"/>
      <w:numFmt w:val="decimal"/>
      <w:pStyle w:val="ReportHead4"/>
      <w:lvlText w:val="%1.%2.%3."/>
      <w:lvlJc w:val="left"/>
      <w:pPr>
        <w:tabs>
          <w:tab w:val="num" w:pos="850"/>
        </w:tabs>
        <w:ind w:left="850" w:hanging="850"/>
      </w:pPr>
    </w:lvl>
    <w:lvl w:ilvl="3">
      <w:start w:val="1"/>
      <w:numFmt w:val="lowerRoman"/>
      <w:lvlText w:val="%4."/>
      <w:lvlJc w:val="left"/>
      <w:pPr>
        <w:tabs>
          <w:tab w:val="num" w:pos="851"/>
        </w:tabs>
        <w:ind w:left="851" w:hanging="851"/>
      </w:pPr>
    </w:lvl>
    <w:lvl w:ilvl="4">
      <w:start w:val="1"/>
      <w:numFmt w:val="bullet"/>
      <w:lvlText w:val=""/>
      <w:lvlJc w:val="left"/>
      <w:pPr>
        <w:tabs>
          <w:tab w:val="num" w:pos="850"/>
        </w:tabs>
        <w:ind w:left="850" w:hanging="850"/>
      </w:pPr>
      <w:rPr>
        <w:rFonts w:ascii="Symbol" w:hAnsi="Symbol" w:hint="default"/>
      </w:rPr>
    </w:lvl>
    <w:lvl w:ilvl="5">
      <w:start w:val="1"/>
      <w:numFmt w:val="bullet"/>
      <w:lvlText w:val=""/>
      <w:lvlJc w:val="left"/>
      <w:pPr>
        <w:tabs>
          <w:tab w:val="num" w:pos="1417"/>
        </w:tabs>
        <w:ind w:left="1417" w:hanging="567"/>
      </w:pPr>
      <w:rPr>
        <w:rFonts w:ascii="Symbol" w:hAnsi="Symbol" w:hint="default"/>
        <w:sz w:val="22"/>
      </w:rPr>
    </w:lvl>
    <w:lvl w:ilvl="6">
      <w:start w:val="1"/>
      <w:numFmt w:val="bullet"/>
      <w:lvlText w:val=""/>
      <w:lvlJc w:val="left"/>
      <w:pPr>
        <w:tabs>
          <w:tab w:val="num" w:pos="1984"/>
        </w:tabs>
        <w:ind w:left="1984" w:hanging="567"/>
      </w:pPr>
      <w:rPr>
        <w:rFonts w:ascii="Symbol" w:hAnsi="Symbol" w:hint="default"/>
        <w:sz w:val="12"/>
      </w:rPr>
    </w:lvl>
    <w:lvl w:ilvl="7">
      <w:start w:val="1"/>
      <w:numFmt w:val="none"/>
      <w:lvlText w:val=""/>
      <w:lvlJc w:val="left"/>
      <w:pPr>
        <w:tabs>
          <w:tab w:val="num" w:pos="1984"/>
        </w:tabs>
        <w:ind w:left="1984" w:hanging="567"/>
      </w:pPr>
    </w:lvl>
    <w:lvl w:ilvl="8">
      <w:start w:val="1"/>
      <w:numFmt w:val="none"/>
      <w:lvlText w:val=""/>
      <w:lvlJc w:val="left"/>
      <w:pPr>
        <w:tabs>
          <w:tab w:val="num" w:pos="2551"/>
        </w:tabs>
        <w:ind w:left="2551" w:hanging="567"/>
      </w:pPr>
    </w:lvl>
  </w:abstractNum>
  <w:abstractNum w:abstractNumId="36" w15:restartNumberingAfterBreak="0">
    <w:nsid w:val="6E2970DD"/>
    <w:multiLevelType w:val="hybridMultilevel"/>
    <w:tmpl w:val="3B102D9A"/>
    <w:lvl w:ilvl="0" w:tplc="287805A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AA4369D"/>
    <w:multiLevelType w:val="multilevel"/>
    <w:tmpl w:val="0809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615DAF"/>
    <w:multiLevelType w:val="multilevel"/>
    <w:tmpl w:val="34E6B93C"/>
    <w:name w:val="ChapNum"/>
    <w:lvl w:ilvl="0">
      <w:start w:val="1"/>
      <w:numFmt w:val="decimal"/>
      <w:lvlRestart w:val="0"/>
      <w:pStyle w:val="BodyText2"/>
      <w:suff w:val="nothing"/>
      <w:lvlText w:val="%1"/>
      <w:lvlJc w:val="left"/>
      <w:pPr>
        <w:ind w:left="5580" w:hanging="5580"/>
      </w:pPr>
      <w:rPr>
        <w:rFonts w:hint="default"/>
      </w:rPr>
    </w:lvl>
    <w:lvl w:ilvl="1">
      <w:start w:val="1"/>
      <w:numFmt w:val="decimal"/>
      <w:pStyle w:val="BodyText"/>
      <w:suff w:val="space"/>
      <w:lvlText w:val="%1.%2"/>
      <w:lvlJc w:val="left"/>
      <w:pPr>
        <w:ind w:left="0" w:firstLine="0"/>
      </w:pPr>
      <w:rPr>
        <w:rFonts w:ascii="Humnst777 Lt BT" w:hAnsi="Humnst777 Lt BT" w:hint="default"/>
        <w:b/>
        <w:i w:val="0"/>
        <w:color w:val="C40012"/>
        <w:sz w:val="22"/>
      </w:rPr>
    </w:lvl>
    <w:lvl w:ilvl="2">
      <w:start w:val="1"/>
      <w:numFmt w:val="decimal"/>
      <w:pStyle w:val="BodyText2"/>
      <w:suff w:val="space"/>
      <w:lvlText w:val="%1.%2.%3"/>
      <w:lvlJc w:val="left"/>
      <w:pPr>
        <w:ind w:left="0" w:firstLine="0"/>
      </w:pPr>
      <w:rPr>
        <w:rFonts w:ascii="Humnst777 Lt BT" w:hAnsi="Humnst777 Lt BT" w:hint="default"/>
        <w:b/>
        <w:i w:val="0"/>
        <w:color w:val="C40012"/>
        <w:sz w:val="22"/>
      </w:rPr>
    </w:lvl>
    <w:lvl w:ilvl="3">
      <w:start w:val="1"/>
      <w:numFmt w:val="upperLetter"/>
      <w:lvlRestart w:val="1"/>
      <w:pStyle w:val="BoxHeading"/>
      <w:suff w:val="space"/>
      <w:lvlText w:val="Box %1.%4:"/>
      <w:lvlJc w:val="left"/>
      <w:pPr>
        <w:ind w:left="0" w:firstLine="0"/>
      </w:pPr>
      <w:rPr>
        <w:rFonts w:ascii="Humnst777 BT" w:hAnsi="Humnst777 BT" w:hint="default"/>
        <w:b/>
        <w:color w:val="C40012"/>
        <w:sz w:val="20"/>
      </w:rPr>
    </w:lvl>
    <w:lvl w:ilvl="4">
      <w:start w:val="1"/>
      <w:numFmt w:val="upperLetter"/>
      <w:lvlRestart w:val="1"/>
      <w:pStyle w:val="FigureHeading"/>
      <w:suff w:val="space"/>
      <w:lvlText w:val="Figure %1.%5:"/>
      <w:lvlJc w:val="left"/>
      <w:pPr>
        <w:ind w:left="0" w:firstLine="0"/>
      </w:pPr>
      <w:rPr>
        <w:rFonts w:ascii="Humnst777 BT" w:hAnsi="Humnst777 BT" w:hint="default"/>
        <w:b/>
        <w:color w:val="C40012"/>
        <w:sz w:val="20"/>
      </w:rPr>
    </w:lvl>
    <w:lvl w:ilvl="5">
      <w:start w:val="1"/>
      <w:numFmt w:val="upperLetter"/>
      <w:lvlRestart w:val="1"/>
      <w:pStyle w:val="TableHeading"/>
      <w:suff w:val="space"/>
      <w:lvlText w:val="Table %1.%6:"/>
      <w:lvlJc w:val="left"/>
      <w:pPr>
        <w:ind w:left="0" w:firstLine="0"/>
      </w:pPr>
      <w:rPr>
        <w:rFonts w:ascii="Humnst777 BT" w:hAnsi="Humnst777 BT" w:hint="default"/>
        <w:b/>
        <w:color w:val="C40012"/>
        <w:sz w:val="20"/>
      </w:rPr>
    </w:lvl>
    <w:lvl w:ilvl="6">
      <w:start w:val="1"/>
      <w:numFmt w:val="upperLetter"/>
      <w:lvlRestart w:val="1"/>
      <w:pStyle w:val="ChartHeading"/>
      <w:suff w:val="space"/>
      <w:lvlText w:val="Chart %1.%7:"/>
      <w:lvlJc w:val="left"/>
      <w:pPr>
        <w:ind w:left="0" w:firstLine="0"/>
      </w:pPr>
      <w:rPr>
        <w:rFonts w:ascii="Humnst777 BT" w:hAnsi="Humnst777 BT" w:hint="default"/>
        <w:b/>
        <w:color w:val="C40012"/>
        <w:sz w:val="20"/>
      </w:rPr>
    </w:lvl>
    <w:lvl w:ilvl="7">
      <w:start w:val="1"/>
      <w:numFmt w:val="lowerLetter"/>
      <w:lvlText w:val="%8."/>
      <w:lvlJc w:val="left"/>
      <w:pPr>
        <w:tabs>
          <w:tab w:val="num" w:pos="8100"/>
        </w:tabs>
        <w:ind w:left="8100" w:hanging="360"/>
      </w:pPr>
      <w:rPr>
        <w:rFonts w:hint="default"/>
      </w:rPr>
    </w:lvl>
    <w:lvl w:ilvl="8">
      <w:start w:val="1"/>
      <w:numFmt w:val="lowerRoman"/>
      <w:lvlText w:val="%9."/>
      <w:lvlJc w:val="left"/>
      <w:pPr>
        <w:tabs>
          <w:tab w:val="num" w:pos="8460"/>
        </w:tabs>
        <w:ind w:left="8460" w:hanging="360"/>
      </w:pPr>
      <w:rPr>
        <w:rFonts w:hint="default"/>
      </w:rPr>
    </w:lvl>
  </w:abstractNum>
  <w:num w:numId="1">
    <w:abstractNumId w:val="38"/>
  </w:num>
  <w:num w:numId="2">
    <w:abstractNumId w:val="37"/>
  </w:num>
  <w:num w:numId="3">
    <w:abstractNumId w:val="15"/>
  </w:num>
  <w:num w:numId="4">
    <w:abstractNumId w:val="1"/>
  </w:num>
  <w:num w:numId="5">
    <w:abstractNumId w:val="35"/>
  </w:num>
  <w:num w:numId="6">
    <w:abstractNumId w:val="28"/>
  </w:num>
  <w:num w:numId="7">
    <w:abstractNumId w:val="22"/>
  </w:num>
  <w:num w:numId="8">
    <w:abstractNumId w:val="16"/>
  </w:num>
  <w:num w:numId="9">
    <w:abstractNumId w:val="8"/>
  </w:num>
  <w:num w:numId="10">
    <w:abstractNumId w:val="19"/>
  </w:num>
  <w:num w:numId="11">
    <w:abstractNumId w:val="14"/>
  </w:num>
  <w:num w:numId="12">
    <w:abstractNumId w:val="17"/>
  </w:num>
  <w:num w:numId="13">
    <w:abstractNumId w:val="6"/>
    <w:lvlOverride w:ilvl="0">
      <w:lvl w:ilvl="0">
        <w:start w:val="1"/>
        <w:numFmt w:val="decimal"/>
        <w:lvlText w:val="%1."/>
        <w:lvlJc w:val="left"/>
        <w:pPr>
          <w:ind w:left="360" w:hanging="360"/>
        </w:pPr>
        <w:rPr>
          <w:rFonts w:ascii="Arial" w:hAnsi="Arial"/>
          <w:color w:val="FFFFFF" w:themeColor="background1"/>
          <w:sz w:val="24"/>
        </w:rPr>
      </w:lvl>
    </w:lvlOverride>
  </w:num>
  <w:num w:numId="14">
    <w:abstractNumId w:val="21"/>
  </w:num>
  <w:num w:numId="15">
    <w:abstractNumId w:val="6"/>
    <w:lvlOverride w:ilvl="0">
      <w:lvl w:ilvl="0">
        <w:start w:val="1"/>
        <w:numFmt w:val="decimal"/>
        <w:lvlText w:val="%1."/>
        <w:lvlJc w:val="left"/>
        <w:pPr>
          <w:ind w:left="360" w:hanging="360"/>
        </w:pPr>
        <w:rPr>
          <w:rFonts w:ascii="Arial" w:hAnsi="Arial"/>
          <w:color w:val="auto"/>
          <w:sz w:val="24"/>
        </w:rPr>
      </w:lvl>
    </w:lvlOverride>
    <w:lvlOverride w:ilvl="1">
      <w:lvl w:ilvl="1">
        <w:start w:val="1"/>
        <w:numFmt w:val="decimal"/>
        <w:lvlText w:val="%1.%2."/>
        <w:lvlJc w:val="left"/>
        <w:pPr>
          <w:ind w:left="9080"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6">
    <w:abstractNumId w:val="12"/>
  </w:num>
  <w:num w:numId="17">
    <w:abstractNumId w:val="18"/>
  </w:num>
  <w:num w:numId="18">
    <w:abstractNumId w:val="10"/>
  </w:num>
  <w:num w:numId="19">
    <w:abstractNumId w:val="11"/>
  </w:num>
  <w:num w:numId="20">
    <w:abstractNumId w:val="31"/>
  </w:num>
  <w:num w:numId="21">
    <w:abstractNumId w:val="26"/>
  </w:num>
  <w:num w:numId="22">
    <w:abstractNumId w:val="36"/>
  </w:num>
  <w:num w:numId="23">
    <w:abstractNumId w:val="13"/>
  </w:num>
  <w:num w:numId="24">
    <w:abstractNumId w:val="33"/>
  </w:num>
  <w:num w:numId="25">
    <w:abstractNumId w:val="7"/>
  </w:num>
  <w:num w:numId="26">
    <w:abstractNumId w:val="5"/>
  </w:num>
  <w:num w:numId="27">
    <w:abstractNumId w:val="3"/>
  </w:num>
  <w:num w:numId="28">
    <w:abstractNumId w:val="4"/>
  </w:num>
  <w:num w:numId="29">
    <w:abstractNumId w:val="29"/>
  </w:num>
  <w:num w:numId="30">
    <w:abstractNumId w:val="2"/>
  </w:num>
  <w:num w:numId="31">
    <w:abstractNumId w:val="25"/>
  </w:num>
  <w:num w:numId="32">
    <w:abstractNumId w:val="0"/>
  </w:num>
  <w:num w:numId="33">
    <w:abstractNumId w:val="30"/>
  </w:num>
  <w:num w:numId="34">
    <w:abstractNumId w:val="20"/>
  </w:num>
  <w:num w:numId="35">
    <w:abstractNumId w:val="27"/>
  </w:num>
  <w:num w:numId="36">
    <w:abstractNumId w:val="34"/>
  </w:num>
  <w:num w:numId="37">
    <w:abstractNumId w:val="24"/>
  </w:num>
  <w:num w:numId="38">
    <w:abstractNumId w:val="24"/>
    <w:lvlOverride w:ilvl="0">
      <w:lvl w:ilvl="0">
        <w:start w:val="2"/>
        <w:numFmt w:val="decimal"/>
        <w:lvlText w:val="%1."/>
        <w:lvlJc w:val="left"/>
        <w:pPr>
          <w:ind w:left="720" w:hanging="720"/>
        </w:pPr>
        <w:rPr>
          <w:rFonts w:hint="default"/>
        </w:rPr>
      </w:lvl>
    </w:lvlOverride>
    <w:lvlOverride w:ilvl="1">
      <w:lvl w:ilvl="1">
        <w:start w:val="1"/>
        <w:numFmt w:val="decimal"/>
        <w:lvlText w:val="4.%2."/>
        <w:lvlJc w:val="left"/>
        <w:pPr>
          <w:ind w:left="1332" w:hanging="720"/>
        </w:pPr>
        <w:rPr>
          <w:rFonts w:hint="default"/>
        </w:rPr>
      </w:lvl>
    </w:lvlOverride>
    <w:lvlOverride w:ilvl="2">
      <w:lvl w:ilvl="2">
        <w:start w:val="10"/>
        <w:numFmt w:val="decimal"/>
        <w:lvlText w:val="%1.%2.%3."/>
        <w:lvlJc w:val="left"/>
        <w:pPr>
          <w:ind w:left="1944" w:hanging="720"/>
        </w:pPr>
        <w:rPr>
          <w:rFonts w:hint="default"/>
        </w:rPr>
      </w:lvl>
    </w:lvlOverride>
    <w:lvlOverride w:ilvl="3">
      <w:lvl w:ilvl="3">
        <w:start w:val="1"/>
        <w:numFmt w:val="decimal"/>
        <w:lvlText w:val="%1.%2.%3.%4."/>
        <w:lvlJc w:val="left"/>
        <w:pPr>
          <w:ind w:left="2916" w:hanging="1080"/>
        </w:pPr>
        <w:rPr>
          <w:rFonts w:hint="default"/>
        </w:rPr>
      </w:lvl>
    </w:lvlOverride>
    <w:lvlOverride w:ilvl="4">
      <w:lvl w:ilvl="4">
        <w:start w:val="1"/>
        <w:numFmt w:val="decimal"/>
        <w:lvlText w:val="%1.%2.%3.%4.%5."/>
        <w:lvlJc w:val="left"/>
        <w:pPr>
          <w:ind w:left="3528" w:hanging="1080"/>
        </w:pPr>
        <w:rPr>
          <w:rFonts w:hint="default"/>
        </w:rPr>
      </w:lvl>
    </w:lvlOverride>
    <w:lvlOverride w:ilvl="5">
      <w:lvl w:ilvl="5">
        <w:start w:val="1"/>
        <w:numFmt w:val="decimal"/>
        <w:lvlText w:val="%1.%2.%3.%4.%5.%6."/>
        <w:lvlJc w:val="left"/>
        <w:pPr>
          <w:ind w:left="4500" w:hanging="1440"/>
        </w:pPr>
        <w:rPr>
          <w:rFonts w:hint="default"/>
        </w:rPr>
      </w:lvl>
    </w:lvlOverride>
    <w:lvlOverride w:ilvl="6">
      <w:lvl w:ilvl="6">
        <w:start w:val="1"/>
        <w:numFmt w:val="decimal"/>
        <w:lvlText w:val="%1.%2.%3.%4.%5.%6.%7."/>
        <w:lvlJc w:val="left"/>
        <w:pPr>
          <w:ind w:left="5112" w:hanging="1440"/>
        </w:pPr>
        <w:rPr>
          <w:rFonts w:hint="default"/>
        </w:rPr>
      </w:lvl>
    </w:lvlOverride>
    <w:lvlOverride w:ilvl="7">
      <w:lvl w:ilvl="7">
        <w:start w:val="1"/>
        <w:numFmt w:val="decimal"/>
        <w:lvlText w:val="%1.%2.%3.%4.%5.%6.%7.%8."/>
        <w:lvlJc w:val="left"/>
        <w:pPr>
          <w:ind w:left="6084" w:hanging="1800"/>
        </w:pPr>
        <w:rPr>
          <w:rFonts w:hint="default"/>
        </w:rPr>
      </w:lvl>
    </w:lvlOverride>
    <w:lvlOverride w:ilvl="8">
      <w:lvl w:ilvl="8">
        <w:start w:val="1"/>
        <w:numFmt w:val="decimal"/>
        <w:lvlText w:val="%1.%2.%3.%4.%5.%6.%7.%8.%9."/>
        <w:lvlJc w:val="left"/>
        <w:pPr>
          <w:ind w:left="7056" w:hanging="2160"/>
        </w:pPr>
        <w:rPr>
          <w:rFonts w:hint="default"/>
        </w:rPr>
      </w:lvl>
    </w:lvlOverride>
  </w:num>
  <w:num w:numId="39">
    <w:abstractNumId w:val="23"/>
  </w:num>
  <w:num w:numId="40">
    <w:abstractNumId w:val="24"/>
    <w:lvlOverride w:ilvl="0">
      <w:lvl w:ilvl="0">
        <w:start w:val="2"/>
        <w:numFmt w:val="decimal"/>
        <w:lvlText w:val="%1."/>
        <w:lvlJc w:val="left"/>
        <w:pPr>
          <w:ind w:left="720" w:hanging="720"/>
        </w:pPr>
        <w:rPr>
          <w:rFonts w:hint="default"/>
        </w:rPr>
      </w:lvl>
    </w:lvlOverride>
    <w:lvlOverride w:ilvl="1">
      <w:lvl w:ilvl="1">
        <w:start w:val="1"/>
        <w:numFmt w:val="decimal"/>
        <w:lvlText w:val="5.%2."/>
        <w:lvlJc w:val="left"/>
        <w:pPr>
          <w:ind w:left="1332" w:hanging="720"/>
        </w:pPr>
        <w:rPr>
          <w:rFonts w:hint="default"/>
        </w:rPr>
      </w:lvl>
    </w:lvlOverride>
    <w:lvlOverride w:ilvl="2">
      <w:lvl w:ilvl="2">
        <w:start w:val="10"/>
        <w:numFmt w:val="decimal"/>
        <w:lvlText w:val="%1.%2.%3."/>
        <w:lvlJc w:val="left"/>
        <w:pPr>
          <w:ind w:left="1944" w:hanging="720"/>
        </w:pPr>
        <w:rPr>
          <w:rFonts w:hint="default"/>
        </w:rPr>
      </w:lvl>
    </w:lvlOverride>
    <w:lvlOverride w:ilvl="3">
      <w:lvl w:ilvl="3">
        <w:start w:val="1"/>
        <w:numFmt w:val="decimal"/>
        <w:lvlText w:val="%1.%2.%3.%4."/>
        <w:lvlJc w:val="left"/>
        <w:pPr>
          <w:ind w:left="2916" w:hanging="1080"/>
        </w:pPr>
        <w:rPr>
          <w:rFonts w:hint="default"/>
        </w:rPr>
      </w:lvl>
    </w:lvlOverride>
    <w:lvlOverride w:ilvl="4">
      <w:lvl w:ilvl="4">
        <w:start w:val="1"/>
        <w:numFmt w:val="decimal"/>
        <w:lvlText w:val="%1.%2.%3.%4.%5."/>
        <w:lvlJc w:val="left"/>
        <w:pPr>
          <w:ind w:left="3528" w:hanging="1080"/>
        </w:pPr>
        <w:rPr>
          <w:rFonts w:hint="default"/>
        </w:rPr>
      </w:lvl>
    </w:lvlOverride>
    <w:lvlOverride w:ilvl="5">
      <w:lvl w:ilvl="5">
        <w:start w:val="1"/>
        <w:numFmt w:val="decimal"/>
        <w:lvlText w:val="%1.%2.%3.%4.%5.%6."/>
        <w:lvlJc w:val="left"/>
        <w:pPr>
          <w:ind w:left="4500" w:hanging="1440"/>
        </w:pPr>
        <w:rPr>
          <w:rFonts w:hint="default"/>
        </w:rPr>
      </w:lvl>
    </w:lvlOverride>
    <w:lvlOverride w:ilvl="6">
      <w:lvl w:ilvl="6">
        <w:start w:val="1"/>
        <w:numFmt w:val="decimal"/>
        <w:lvlText w:val="%1.%2.%3.%4.%5.%6.%7."/>
        <w:lvlJc w:val="left"/>
        <w:pPr>
          <w:ind w:left="5112" w:hanging="1440"/>
        </w:pPr>
        <w:rPr>
          <w:rFonts w:hint="default"/>
        </w:rPr>
      </w:lvl>
    </w:lvlOverride>
    <w:lvlOverride w:ilvl="7">
      <w:lvl w:ilvl="7">
        <w:start w:val="1"/>
        <w:numFmt w:val="decimal"/>
        <w:lvlText w:val="%1.%2.%3.%4.%5.%6.%7.%8."/>
        <w:lvlJc w:val="left"/>
        <w:pPr>
          <w:ind w:left="6084" w:hanging="1800"/>
        </w:pPr>
        <w:rPr>
          <w:rFonts w:hint="default"/>
        </w:rPr>
      </w:lvl>
    </w:lvlOverride>
    <w:lvlOverride w:ilvl="8">
      <w:lvl w:ilvl="8">
        <w:start w:val="1"/>
        <w:numFmt w:val="decimal"/>
        <w:lvlText w:val="%1.%2.%3.%4.%5.%6.%7.%8.%9."/>
        <w:lvlJc w:val="left"/>
        <w:pPr>
          <w:ind w:left="7056" w:hanging="2160"/>
        </w:pPr>
        <w:rPr>
          <w:rFonts w:hint="default"/>
        </w:rPr>
      </w:lvl>
    </w:lvlOverride>
  </w:num>
  <w:num w:numId="41">
    <w:abstractNumId w:val="9"/>
  </w:num>
  <w:num w:numId="42">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8193"/>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23C"/>
    <w:rsid w:val="000002E1"/>
    <w:rsid w:val="0000071F"/>
    <w:rsid w:val="00000D95"/>
    <w:rsid w:val="00000F01"/>
    <w:rsid w:val="00001546"/>
    <w:rsid w:val="000017FC"/>
    <w:rsid w:val="00001832"/>
    <w:rsid w:val="00001A7A"/>
    <w:rsid w:val="00004C38"/>
    <w:rsid w:val="00006060"/>
    <w:rsid w:val="000063B8"/>
    <w:rsid w:val="00006BBF"/>
    <w:rsid w:val="00006EBE"/>
    <w:rsid w:val="00007110"/>
    <w:rsid w:val="0000711F"/>
    <w:rsid w:val="00007A07"/>
    <w:rsid w:val="00007F77"/>
    <w:rsid w:val="00010331"/>
    <w:rsid w:val="00010816"/>
    <w:rsid w:val="000119A8"/>
    <w:rsid w:val="00011E34"/>
    <w:rsid w:val="0001225A"/>
    <w:rsid w:val="00012D1C"/>
    <w:rsid w:val="00013A1F"/>
    <w:rsid w:val="00013E74"/>
    <w:rsid w:val="00015FBB"/>
    <w:rsid w:val="000165BA"/>
    <w:rsid w:val="000169D4"/>
    <w:rsid w:val="000204AE"/>
    <w:rsid w:val="00020A1E"/>
    <w:rsid w:val="0002236D"/>
    <w:rsid w:val="00023039"/>
    <w:rsid w:val="00023EC4"/>
    <w:rsid w:val="00024A1B"/>
    <w:rsid w:val="0002544E"/>
    <w:rsid w:val="00025A01"/>
    <w:rsid w:val="000269D7"/>
    <w:rsid w:val="00026F67"/>
    <w:rsid w:val="00027422"/>
    <w:rsid w:val="000301D5"/>
    <w:rsid w:val="00030218"/>
    <w:rsid w:val="00030475"/>
    <w:rsid w:val="00030481"/>
    <w:rsid w:val="000309C3"/>
    <w:rsid w:val="00030C81"/>
    <w:rsid w:val="000311C3"/>
    <w:rsid w:val="000322ED"/>
    <w:rsid w:val="000330BF"/>
    <w:rsid w:val="00033253"/>
    <w:rsid w:val="000337CA"/>
    <w:rsid w:val="000346F7"/>
    <w:rsid w:val="00034A5B"/>
    <w:rsid w:val="00034F68"/>
    <w:rsid w:val="00035001"/>
    <w:rsid w:val="0003579F"/>
    <w:rsid w:val="00035B15"/>
    <w:rsid w:val="0003601D"/>
    <w:rsid w:val="0004022A"/>
    <w:rsid w:val="0004108B"/>
    <w:rsid w:val="000411C8"/>
    <w:rsid w:val="000416CF"/>
    <w:rsid w:val="00041A96"/>
    <w:rsid w:val="000424EB"/>
    <w:rsid w:val="00042F13"/>
    <w:rsid w:val="00043436"/>
    <w:rsid w:val="00043D9F"/>
    <w:rsid w:val="00045097"/>
    <w:rsid w:val="000450A1"/>
    <w:rsid w:val="00045A08"/>
    <w:rsid w:val="00045A27"/>
    <w:rsid w:val="00045B1F"/>
    <w:rsid w:val="00047EFB"/>
    <w:rsid w:val="000500F1"/>
    <w:rsid w:val="00050222"/>
    <w:rsid w:val="0005067B"/>
    <w:rsid w:val="000507CC"/>
    <w:rsid w:val="00050AE9"/>
    <w:rsid w:val="00050E1D"/>
    <w:rsid w:val="0005114B"/>
    <w:rsid w:val="00051182"/>
    <w:rsid w:val="00051385"/>
    <w:rsid w:val="000513A5"/>
    <w:rsid w:val="00052D78"/>
    <w:rsid w:val="000534F7"/>
    <w:rsid w:val="0005487C"/>
    <w:rsid w:val="00056191"/>
    <w:rsid w:val="00056269"/>
    <w:rsid w:val="000562A7"/>
    <w:rsid w:val="000565B8"/>
    <w:rsid w:val="00056829"/>
    <w:rsid w:val="00056ADC"/>
    <w:rsid w:val="00056E43"/>
    <w:rsid w:val="00057D66"/>
    <w:rsid w:val="00060607"/>
    <w:rsid w:val="00060774"/>
    <w:rsid w:val="000622C1"/>
    <w:rsid w:val="00062669"/>
    <w:rsid w:val="000634EB"/>
    <w:rsid w:val="00063E95"/>
    <w:rsid w:val="00063F0C"/>
    <w:rsid w:val="00064B43"/>
    <w:rsid w:val="00065892"/>
    <w:rsid w:val="00065FEE"/>
    <w:rsid w:val="00066A18"/>
    <w:rsid w:val="00067199"/>
    <w:rsid w:val="000678C1"/>
    <w:rsid w:val="00067E8D"/>
    <w:rsid w:val="00070104"/>
    <w:rsid w:val="000703D5"/>
    <w:rsid w:val="00070411"/>
    <w:rsid w:val="0007055E"/>
    <w:rsid w:val="00070917"/>
    <w:rsid w:val="000710FE"/>
    <w:rsid w:val="00071202"/>
    <w:rsid w:val="000714CC"/>
    <w:rsid w:val="00071601"/>
    <w:rsid w:val="00071AC1"/>
    <w:rsid w:val="0007212F"/>
    <w:rsid w:val="000724FD"/>
    <w:rsid w:val="0007296F"/>
    <w:rsid w:val="00072CB3"/>
    <w:rsid w:val="000738B2"/>
    <w:rsid w:val="00073E57"/>
    <w:rsid w:val="00073FDF"/>
    <w:rsid w:val="00074500"/>
    <w:rsid w:val="00074AA1"/>
    <w:rsid w:val="00074D7D"/>
    <w:rsid w:val="00075832"/>
    <w:rsid w:val="00076027"/>
    <w:rsid w:val="00076568"/>
    <w:rsid w:val="00076750"/>
    <w:rsid w:val="00076C80"/>
    <w:rsid w:val="00076FD5"/>
    <w:rsid w:val="00077967"/>
    <w:rsid w:val="00080945"/>
    <w:rsid w:val="00081138"/>
    <w:rsid w:val="000825DA"/>
    <w:rsid w:val="00083270"/>
    <w:rsid w:val="00083512"/>
    <w:rsid w:val="000836E8"/>
    <w:rsid w:val="00084A79"/>
    <w:rsid w:val="00084E73"/>
    <w:rsid w:val="00085469"/>
    <w:rsid w:val="00085A4B"/>
    <w:rsid w:val="000863DD"/>
    <w:rsid w:val="00087590"/>
    <w:rsid w:val="00087EF2"/>
    <w:rsid w:val="0009077C"/>
    <w:rsid w:val="00090A95"/>
    <w:rsid w:val="000914FF"/>
    <w:rsid w:val="00092F3C"/>
    <w:rsid w:val="000932E4"/>
    <w:rsid w:val="00093861"/>
    <w:rsid w:val="00093C8C"/>
    <w:rsid w:val="00094896"/>
    <w:rsid w:val="000948BB"/>
    <w:rsid w:val="00094ACB"/>
    <w:rsid w:val="00095C97"/>
    <w:rsid w:val="00095E3B"/>
    <w:rsid w:val="0009723F"/>
    <w:rsid w:val="00097E38"/>
    <w:rsid w:val="000A021F"/>
    <w:rsid w:val="000A05D0"/>
    <w:rsid w:val="000A094F"/>
    <w:rsid w:val="000A0E8D"/>
    <w:rsid w:val="000A118E"/>
    <w:rsid w:val="000A22AB"/>
    <w:rsid w:val="000A2C7A"/>
    <w:rsid w:val="000A2CAE"/>
    <w:rsid w:val="000A2E16"/>
    <w:rsid w:val="000A4E1E"/>
    <w:rsid w:val="000A5D49"/>
    <w:rsid w:val="000A6F86"/>
    <w:rsid w:val="000A6F8F"/>
    <w:rsid w:val="000A7DF1"/>
    <w:rsid w:val="000B045B"/>
    <w:rsid w:val="000B1576"/>
    <w:rsid w:val="000B236F"/>
    <w:rsid w:val="000B282D"/>
    <w:rsid w:val="000B286B"/>
    <w:rsid w:val="000B4978"/>
    <w:rsid w:val="000B4CDB"/>
    <w:rsid w:val="000B4E79"/>
    <w:rsid w:val="000B5516"/>
    <w:rsid w:val="000B565F"/>
    <w:rsid w:val="000B5DB0"/>
    <w:rsid w:val="000B6D63"/>
    <w:rsid w:val="000B6FBD"/>
    <w:rsid w:val="000B72C9"/>
    <w:rsid w:val="000B7982"/>
    <w:rsid w:val="000B79B0"/>
    <w:rsid w:val="000C0F01"/>
    <w:rsid w:val="000C1437"/>
    <w:rsid w:val="000C14A3"/>
    <w:rsid w:val="000C1E84"/>
    <w:rsid w:val="000C32AA"/>
    <w:rsid w:val="000C3A40"/>
    <w:rsid w:val="000C3BE0"/>
    <w:rsid w:val="000C4572"/>
    <w:rsid w:val="000C4D98"/>
    <w:rsid w:val="000C5D2A"/>
    <w:rsid w:val="000C68DD"/>
    <w:rsid w:val="000C706B"/>
    <w:rsid w:val="000C7DC2"/>
    <w:rsid w:val="000D09A5"/>
    <w:rsid w:val="000D1B33"/>
    <w:rsid w:val="000D1BF3"/>
    <w:rsid w:val="000D26CF"/>
    <w:rsid w:val="000D316E"/>
    <w:rsid w:val="000D37B4"/>
    <w:rsid w:val="000D3D5D"/>
    <w:rsid w:val="000D46E9"/>
    <w:rsid w:val="000D6EE7"/>
    <w:rsid w:val="000D7424"/>
    <w:rsid w:val="000D7D9E"/>
    <w:rsid w:val="000E1A89"/>
    <w:rsid w:val="000E1B9D"/>
    <w:rsid w:val="000E1D4C"/>
    <w:rsid w:val="000E284F"/>
    <w:rsid w:val="000E3609"/>
    <w:rsid w:val="000E3E03"/>
    <w:rsid w:val="000E4273"/>
    <w:rsid w:val="000E51AD"/>
    <w:rsid w:val="000E5C6F"/>
    <w:rsid w:val="000E6437"/>
    <w:rsid w:val="000E6E00"/>
    <w:rsid w:val="000E7493"/>
    <w:rsid w:val="000E7763"/>
    <w:rsid w:val="000F0000"/>
    <w:rsid w:val="000F00EA"/>
    <w:rsid w:val="000F1229"/>
    <w:rsid w:val="000F45A6"/>
    <w:rsid w:val="000F4851"/>
    <w:rsid w:val="000F4C73"/>
    <w:rsid w:val="000F6511"/>
    <w:rsid w:val="000F67E6"/>
    <w:rsid w:val="000F71E5"/>
    <w:rsid w:val="000F7245"/>
    <w:rsid w:val="00100203"/>
    <w:rsid w:val="00100309"/>
    <w:rsid w:val="00100893"/>
    <w:rsid w:val="00101B95"/>
    <w:rsid w:val="00101CB5"/>
    <w:rsid w:val="00102461"/>
    <w:rsid w:val="001034AF"/>
    <w:rsid w:val="00103982"/>
    <w:rsid w:val="001043FB"/>
    <w:rsid w:val="00104DEE"/>
    <w:rsid w:val="0010556C"/>
    <w:rsid w:val="0010617D"/>
    <w:rsid w:val="00106493"/>
    <w:rsid w:val="0010712D"/>
    <w:rsid w:val="0010718D"/>
    <w:rsid w:val="00107504"/>
    <w:rsid w:val="00110821"/>
    <w:rsid w:val="00111833"/>
    <w:rsid w:val="00111B8C"/>
    <w:rsid w:val="00111D45"/>
    <w:rsid w:val="00112539"/>
    <w:rsid w:val="00112E04"/>
    <w:rsid w:val="001130B7"/>
    <w:rsid w:val="00114BF6"/>
    <w:rsid w:val="0011625F"/>
    <w:rsid w:val="00116FD4"/>
    <w:rsid w:val="00117B8F"/>
    <w:rsid w:val="00120657"/>
    <w:rsid w:val="00120A8E"/>
    <w:rsid w:val="0012114E"/>
    <w:rsid w:val="0012154B"/>
    <w:rsid w:val="00121E30"/>
    <w:rsid w:val="0012299E"/>
    <w:rsid w:val="00123223"/>
    <w:rsid w:val="001235B6"/>
    <w:rsid w:val="001236C0"/>
    <w:rsid w:val="00123B32"/>
    <w:rsid w:val="00124073"/>
    <w:rsid w:val="00124880"/>
    <w:rsid w:val="0012494E"/>
    <w:rsid w:val="001249BF"/>
    <w:rsid w:val="00124A09"/>
    <w:rsid w:val="00125E6B"/>
    <w:rsid w:val="001264BB"/>
    <w:rsid w:val="00126B9F"/>
    <w:rsid w:val="001270B9"/>
    <w:rsid w:val="00127109"/>
    <w:rsid w:val="00127F8C"/>
    <w:rsid w:val="00130350"/>
    <w:rsid w:val="00132F81"/>
    <w:rsid w:val="00133506"/>
    <w:rsid w:val="0013382A"/>
    <w:rsid w:val="00133D25"/>
    <w:rsid w:val="001341D4"/>
    <w:rsid w:val="00134496"/>
    <w:rsid w:val="001347F6"/>
    <w:rsid w:val="00134AB2"/>
    <w:rsid w:val="00135699"/>
    <w:rsid w:val="00135B05"/>
    <w:rsid w:val="00135D9F"/>
    <w:rsid w:val="00135DCC"/>
    <w:rsid w:val="00136407"/>
    <w:rsid w:val="0013676D"/>
    <w:rsid w:val="00136DE0"/>
    <w:rsid w:val="00137825"/>
    <w:rsid w:val="00140161"/>
    <w:rsid w:val="00140EB9"/>
    <w:rsid w:val="00142622"/>
    <w:rsid w:val="00143182"/>
    <w:rsid w:val="00144032"/>
    <w:rsid w:val="001440EE"/>
    <w:rsid w:val="001442FF"/>
    <w:rsid w:val="00144568"/>
    <w:rsid w:val="0014475D"/>
    <w:rsid w:val="00145028"/>
    <w:rsid w:val="00145833"/>
    <w:rsid w:val="00145901"/>
    <w:rsid w:val="00145B67"/>
    <w:rsid w:val="00146348"/>
    <w:rsid w:val="0014661F"/>
    <w:rsid w:val="001467A5"/>
    <w:rsid w:val="001471AF"/>
    <w:rsid w:val="00147798"/>
    <w:rsid w:val="00147AE3"/>
    <w:rsid w:val="00147C83"/>
    <w:rsid w:val="00147F5E"/>
    <w:rsid w:val="00147FC1"/>
    <w:rsid w:val="00150A9F"/>
    <w:rsid w:val="00150BB2"/>
    <w:rsid w:val="00150DF1"/>
    <w:rsid w:val="001520CD"/>
    <w:rsid w:val="00152197"/>
    <w:rsid w:val="0015250B"/>
    <w:rsid w:val="00152567"/>
    <w:rsid w:val="00153031"/>
    <w:rsid w:val="00153064"/>
    <w:rsid w:val="001535A3"/>
    <w:rsid w:val="001540F9"/>
    <w:rsid w:val="00154835"/>
    <w:rsid w:val="00156EC6"/>
    <w:rsid w:val="001572BE"/>
    <w:rsid w:val="00157B9A"/>
    <w:rsid w:val="00160BC8"/>
    <w:rsid w:val="00161509"/>
    <w:rsid w:val="001626A5"/>
    <w:rsid w:val="001639EA"/>
    <w:rsid w:val="00164200"/>
    <w:rsid w:val="0016540D"/>
    <w:rsid w:val="00167D6D"/>
    <w:rsid w:val="00170313"/>
    <w:rsid w:val="001703D7"/>
    <w:rsid w:val="001704FA"/>
    <w:rsid w:val="00170D53"/>
    <w:rsid w:val="00170D92"/>
    <w:rsid w:val="00170FAB"/>
    <w:rsid w:val="00172261"/>
    <w:rsid w:val="00173723"/>
    <w:rsid w:val="001737C7"/>
    <w:rsid w:val="00173EAD"/>
    <w:rsid w:val="00174113"/>
    <w:rsid w:val="0017412C"/>
    <w:rsid w:val="0017464C"/>
    <w:rsid w:val="00174712"/>
    <w:rsid w:val="00174840"/>
    <w:rsid w:val="00174914"/>
    <w:rsid w:val="00174C1A"/>
    <w:rsid w:val="00175D1E"/>
    <w:rsid w:val="00176462"/>
    <w:rsid w:val="001775F7"/>
    <w:rsid w:val="0018094E"/>
    <w:rsid w:val="00180E0E"/>
    <w:rsid w:val="0018188A"/>
    <w:rsid w:val="00181FC7"/>
    <w:rsid w:val="00182147"/>
    <w:rsid w:val="00182B1F"/>
    <w:rsid w:val="00183189"/>
    <w:rsid w:val="00183293"/>
    <w:rsid w:val="001842C1"/>
    <w:rsid w:val="0018454E"/>
    <w:rsid w:val="001845BA"/>
    <w:rsid w:val="001847B5"/>
    <w:rsid w:val="001863E6"/>
    <w:rsid w:val="00187537"/>
    <w:rsid w:val="001875AA"/>
    <w:rsid w:val="00187E2D"/>
    <w:rsid w:val="00187E37"/>
    <w:rsid w:val="00187E58"/>
    <w:rsid w:val="00192DBE"/>
    <w:rsid w:val="00193263"/>
    <w:rsid w:val="00193784"/>
    <w:rsid w:val="00194049"/>
    <w:rsid w:val="00194409"/>
    <w:rsid w:val="00194FDB"/>
    <w:rsid w:val="001963FF"/>
    <w:rsid w:val="001965E2"/>
    <w:rsid w:val="0019680B"/>
    <w:rsid w:val="00196D45"/>
    <w:rsid w:val="00196F94"/>
    <w:rsid w:val="00197656"/>
    <w:rsid w:val="00197CB6"/>
    <w:rsid w:val="001A0663"/>
    <w:rsid w:val="001A1505"/>
    <w:rsid w:val="001A1CF0"/>
    <w:rsid w:val="001A1FD4"/>
    <w:rsid w:val="001A231D"/>
    <w:rsid w:val="001A2C43"/>
    <w:rsid w:val="001A2EFF"/>
    <w:rsid w:val="001A30DB"/>
    <w:rsid w:val="001A3158"/>
    <w:rsid w:val="001A5594"/>
    <w:rsid w:val="001A565D"/>
    <w:rsid w:val="001A5E8C"/>
    <w:rsid w:val="001A60D8"/>
    <w:rsid w:val="001A749E"/>
    <w:rsid w:val="001A7AC9"/>
    <w:rsid w:val="001B1356"/>
    <w:rsid w:val="001B17DF"/>
    <w:rsid w:val="001B19F5"/>
    <w:rsid w:val="001B1A25"/>
    <w:rsid w:val="001B27F7"/>
    <w:rsid w:val="001B2999"/>
    <w:rsid w:val="001B2EE6"/>
    <w:rsid w:val="001B2FC6"/>
    <w:rsid w:val="001B30B4"/>
    <w:rsid w:val="001B30C3"/>
    <w:rsid w:val="001B3AAE"/>
    <w:rsid w:val="001B46CA"/>
    <w:rsid w:val="001B4AAC"/>
    <w:rsid w:val="001B4FDF"/>
    <w:rsid w:val="001B5255"/>
    <w:rsid w:val="001B5BAA"/>
    <w:rsid w:val="001B6214"/>
    <w:rsid w:val="001B67E5"/>
    <w:rsid w:val="001B6CB7"/>
    <w:rsid w:val="001B72DC"/>
    <w:rsid w:val="001B77C9"/>
    <w:rsid w:val="001C09A4"/>
    <w:rsid w:val="001C1046"/>
    <w:rsid w:val="001C1C6A"/>
    <w:rsid w:val="001C2405"/>
    <w:rsid w:val="001C2828"/>
    <w:rsid w:val="001C2CFB"/>
    <w:rsid w:val="001C3D72"/>
    <w:rsid w:val="001C49CA"/>
    <w:rsid w:val="001C5DE6"/>
    <w:rsid w:val="001C6121"/>
    <w:rsid w:val="001C61E9"/>
    <w:rsid w:val="001C628D"/>
    <w:rsid w:val="001C66A8"/>
    <w:rsid w:val="001C73E7"/>
    <w:rsid w:val="001C7C0F"/>
    <w:rsid w:val="001D039E"/>
    <w:rsid w:val="001D0D7D"/>
    <w:rsid w:val="001D15A2"/>
    <w:rsid w:val="001D171C"/>
    <w:rsid w:val="001D1752"/>
    <w:rsid w:val="001D18B0"/>
    <w:rsid w:val="001D2832"/>
    <w:rsid w:val="001D33A7"/>
    <w:rsid w:val="001D3DB8"/>
    <w:rsid w:val="001D406D"/>
    <w:rsid w:val="001D4954"/>
    <w:rsid w:val="001D4B6B"/>
    <w:rsid w:val="001D58C1"/>
    <w:rsid w:val="001D5FCB"/>
    <w:rsid w:val="001D62A0"/>
    <w:rsid w:val="001D68F5"/>
    <w:rsid w:val="001D6FF1"/>
    <w:rsid w:val="001D77C5"/>
    <w:rsid w:val="001E02B9"/>
    <w:rsid w:val="001E3D3E"/>
    <w:rsid w:val="001E3E3B"/>
    <w:rsid w:val="001E4ADF"/>
    <w:rsid w:val="001E4B9C"/>
    <w:rsid w:val="001E5C7D"/>
    <w:rsid w:val="001E5F83"/>
    <w:rsid w:val="001E6D4B"/>
    <w:rsid w:val="001E7420"/>
    <w:rsid w:val="001E75D2"/>
    <w:rsid w:val="001E763C"/>
    <w:rsid w:val="001E780F"/>
    <w:rsid w:val="001E7B8F"/>
    <w:rsid w:val="001F088D"/>
    <w:rsid w:val="001F227E"/>
    <w:rsid w:val="001F2427"/>
    <w:rsid w:val="001F385D"/>
    <w:rsid w:val="001F3930"/>
    <w:rsid w:val="001F3DD3"/>
    <w:rsid w:val="001F4216"/>
    <w:rsid w:val="001F42D6"/>
    <w:rsid w:val="001F4618"/>
    <w:rsid w:val="001F563F"/>
    <w:rsid w:val="001F5683"/>
    <w:rsid w:val="001F66DA"/>
    <w:rsid w:val="001F73D7"/>
    <w:rsid w:val="00201B31"/>
    <w:rsid w:val="00201FAE"/>
    <w:rsid w:val="00202227"/>
    <w:rsid w:val="0020252F"/>
    <w:rsid w:val="0020414F"/>
    <w:rsid w:val="002048BF"/>
    <w:rsid w:val="002054B5"/>
    <w:rsid w:val="002062BB"/>
    <w:rsid w:val="00206C05"/>
    <w:rsid w:val="00206C9B"/>
    <w:rsid w:val="00207041"/>
    <w:rsid w:val="002109DA"/>
    <w:rsid w:val="002116D6"/>
    <w:rsid w:val="00211DA2"/>
    <w:rsid w:val="00211E52"/>
    <w:rsid w:val="00212081"/>
    <w:rsid w:val="002121A2"/>
    <w:rsid w:val="00212272"/>
    <w:rsid w:val="002126B0"/>
    <w:rsid w:val="00212CCB"/>
    <w:rsid w:val="00212D50"/>
    <w:rsid w:val="00212F27"/>
    <w:rsid w:val="002130E3"/>
    <w:rsid w:val="00213AE8"/>
    <w:rsid w:val="00213D89"/>
    <w:rsid w:val="00214120"/>
    <w:rsid w:val="002154BA"/>
    <w:rsid w:val="002157A2"/>
    <w:rsid w:val="00215E10"/>
    <w:rsid w:val="00216B01"/>
    <w:rsid w:val="00220A49"/>
    <w:rsid w:val="00220CB0"/>
    <w:rsid w:val="00220F9B"/>
    <w:rsid w:val="00222711"/>
    <w:rsid w:val="0022305F"/>
    <w:rsid w:val="00223132"/>
    <w:rsid w:val="0022382B"/>
    <w:rsid w:val="002243D1"/>
    <w:rsid w:val="00224B7B"/>
    <w:rsid w:val="0022543F"/>
    <w:rsid w:val="00225C60"/>
    <w:rsid w:val="00225D1F"/>
    <w:rsid w:val="002260E7"/>
    <w:rsid w:val="00226EFB"/>
    <w:rsid w:val="00227CC0"/>
    <w:rsid w:val="00227E3C"/>
    <w:rsid w:val="002315D5"/>
    <w:rsid w:val="00231690"/>
    <w:rsid w:val="00231769"/>
    <w:rsid w:val="00232888"/>
    <w:rsid w:val="00233480"/>
    <w:rsid w:val="00233DF2"/>
    <w:rsid w:val="00235172"/>
    <w:rsid w:val="00235CF2"/>
    <w:rsid w:val="00235E00"/>
    <w:rsid w:val="00236286"/>
    <w:rsid w:val="002362E1"/>
    <w:rsid w:val="002362FD"/>
    <w:rsid w:val="00236AC0"/>
    <w:rsid w:val="00236DE6"/>
    <w:rsid w:val="0024022A"/>
    <w:rsid w:val="0024070A"/>
    <w:rsid w:val="00240720"/>
    <w:rsid w:val="0024076F"/>
    <w:rsid w:val="00241129"/>
    <w:rsid w:val="002419F8"/>
    <w:rsid w:val="0024225A"/>
    <w:rsid w:val="00242F50"/>
    <w:rsid w:val="00243255"/>
    <w:rsid w:val="0024337B"/>
    <w:rsid w:val="0024509C"/>
    <w:rsid w:val="00245BBB"/>
    <w:rsid w:val="00246098"/>
    <w:rsid w:val="00246C49"/>
    <w:rsid w:val="00246F2B"/>
    <w:rsid w:val="00246FBB"/>
    <w:rsid w:val="00247BF4"/>
    <w:rsid w:val="00250027"/>
    <w:rsid w:val="00250917"/>
    <w:rsid w:val="00250EEC"/>
    <w:rsid w:val="00251846"/>
    <w:rsid w:val="002519A9"/>
    <w:rsid w:val="00251FDB"/>
    <w:rsid w:val="00251FFD"/>
    <w:rsid w:val="00252607"/>
    <w:rsid w:val="002528E1"/>
    <w:rsid w:val="002530CF"/>
    <w:rsid w:val="00253174"/>
    <w:rsid w:val="00254269"/>
    <w:rsid w:val="00254F92"/>
    <w:rsid w:val="00255294"/>
    <w:rsid w:val="002558D8"/>
    <w:rsid w:val="00255A2F"/>
    <w:rsid w:val="00256A42"/>
    <w:rsid w:val="0025794F"/>
    <w:rsid w:val="002606E9"/>
    <w:rsid w:val="00261123"/>
    <w:rsid w:val="00261984"/>
    <w:rsid w:val="00261F1B"/>
    <w:rsid w:val="002624E1"/>
    <w:rsid w:val="0026282D"/>
    <w:rsid w:val="00262CF3"/>
    <w:rsid w:val="002630E3"/>
    <w:rsid w:val="00263E21"/>
    <w:rsid w:val="002640E6"/>
    <w:rsid w:val="00264B18"/>
    <w:rsid w:val="00264B29"/>
    <w:rsid w:val="00265839"/>
    <w:rsid w:val="002658DA"/>
    <w:rsid w:val="00265A25"/>
    <w:rsid w:val="00266383"/>
    <w:rsid w:val="002666B2"/>
    <w:rsid w:val="00267456"/>
    <w:rsid w:val="00267BA2"/>
    <w:rsid w:val="00267DD6"/>
    <w:rsid w:val="00267EC3"/>
    <w:rsid w:val="0027169C"/>
    <w:rsid w:val="00271E37"/>
    <w:rsid w:val="002726B4"/>
    <w:rsid w:val="00272F47"/>
    <w:rsid w:val="00273A04"/>
    <w:rsid w:val="00274F78"/>
    <w:rsid w:val="00275C49"/>
    <w:rsid w:val="00275E01"/>
    <w:rsid w:val="00276379"/>
    <w:rsid w:val="002763D4"/>
    <w:rsid w:val="00277187"/>
    <w:rsid w:val="00277737"/>
    <w:rsid w:val="0028136B"/>
    <w:rsid w:val="002813A4"/>
    <w:rsid w:val="002813F9"/>
    <w:rsid w:val="0028219A"/>
    <w:rsid w:val="002825CE"/>
    <w:rsid w:val="00283503"/>
    <w:rsid w:val="002839C4"/>
    <w:rsid w:val="00286861"/>
    <w:rsid w:val="00286D2E"/>
    <w:rsid w:val="00286FA1"/>
    <w:rsid w:val="00287B65"/>
    <w:rsid w:val="00287DF6"/>
    <w:rsid w:val="0029023A"/>
    <w:rsid w:val="002906E1"/>
    <w:rsid w:val="002914BB"/>
    <w:rsid w:val="00291510"/>
    <w:rsid w:val="00292149"/>
    <w:rsid w:val="0029293C"/>
    <w:rsid w:val="00292C01"/>
    <w:rsid w:val="00293364"/>
    <w:rsid w:val="00293435"/>
    <w:rsid w:val="00293AB5"/>
    <w:rsid w:val="00293D47"/>
    <w:rsid w:val="0029423A"/>
    <w:rsid w:val="0029589C"/>
    <w:rsid w:val="0029592D"/>
    <w:rsid w:val="00295FF9"/>
    <w:rsid w:val="002961FD"/>
    <w:rsid w:val="00296597"/>
    <w:rsid w:val="00296F82"/>
    <w:rsid w:val="00297F94"/>
    <w:rsid w:val="002A0A43"/>
    <w:rsid w:val="002A1323"/>
    <w:rsid w:val="002A15C3"/>
    <w:rsid w:val="002A25A0"/>
    <w:rsid w:val="002A298B"/>
    <w:rsid w:val="002A2B6D"/>
    <w:rsid w:val="002A2DD8"/>
    <w:rsid w:val="002A30BB"/>
    <w:rsid w:val="002A3569"/>
    <w:rsid w:val="002A3914"/>
    <w:rsid w:val="002A53D4"/>
    <w:rsid w:val="002A5CB3"/>
    <w:rsid w:val="002A5CF6"/>
    <w:rsid w:val="002A5DAF"/>
    <w:rsid w:val="002A6838"/>
    <w:rsid w:val="002A6DF5"/>
    <w:rsid w:val="002A7533"/>
    <w:rsid w:val="002A7F38"/>
    <w:rsid w:val="002B00F8"/>
    <w:rsid w:val="002B0561"/>
    <w:rsid w:val="002B05FB"/>
    <w:rsid w:val="002B0B36"/>
    <w:rsid w:val="002B121A"/>
    <w:rsid w:val="002B1272"/>
    <w:rsid w:val="002B1FAC"/>
    <w:rsid w:val="002B38BB"/>
    <w:rsid w:val="002B3B2C"/>
    <w:rsid w:val="002B3F29"/>
    <w:rsid w:val="002B4205"/>
    <w:rsid w:val="002B46D2"/>
    <w:rsid w:val="002B4BAE"/>
    <w:rsid w:val="002B5392"/>
    <w:rsid w:val="002B576B"/>
    <w:rsid w:val="002B5790"/>
    <w:rsid w:val="002B5DA4"/>
    <w:rsid w:val="002B62AF"/>
    <w:rsid w:val="002B66CA"/>
    <w:rsid w:val="002B6D69"/>
    <w:rsid w:val="002B71BE"/>
    <w:rsid w:val="002B7C25"/>
    <w:rsid w:val="002C067B"/>
    <w:rsid w:val="002C0D0A"/>
    <w:rsid w:val="002C1FA5"/>
    <w:rsid w:val="002C2328"/>
    <w:rsid w:val="002C2FEE"/>
    <w:rsid w:val="002C3563"/>
    <w:rsid w:val="002C36E8"/>
    <w:rsid w:val="002C3B8E"/>
    <w:rsid w:val="002C5981"/>
    <w:rsid w:val="002C598C"/>
    <w:rsid w:val="002C5BB5"/>
    <w:rsid w:val="002C627E"/>
    <w:rsid w:val="002C6FB0"/>
    <w:rsid w:val="002C72F8"/>
    <w:rsid w:val="002C7D93"/>
    <w:rsid w:val="002D030F"/>
    <w:rsid w:val="002D0CD4"/>
    <w:rsid w:val="002D13B9"/>
    <w:rsid w:val="002D171A"/>
    <w:rsid w:val="002D1BF9"/>
    <w:rsid w:val="002D28EA"/>
    <w:rsid w:val="002D2A80"/>
    <w:rsid w:val="002D3B9B"/>
    <w:rsid w:val="002D407C"/>
    <w:rsid w:val="002D422E"/>
    <w:rsid w:val="002D4311"/>
    <w:rsid w:val="002D46AA"/>
    <w:rsid w:val="002D4791"/>
    <w:rsid w:val="002D47B9"/>
    <w:rsid w:val="002D5970"/>
    <w:rsid w:val="002D5F29"/>
    <w:rsid w:val="002D658B"/>
    <w:rsid w:val="002D72C5"/>
    <w:rsid w:val="002D79FA"/>
    <w:rsid w:val="002D7B2B"/>
    <w:rsid w:val="002D7DDC"/>
    <w:rsid w:val="002D7F63"/>
    <w:rsid w:val="002E0B44"/>
    <w:rsid w:val="002E192B"/>
    <w:rsid w:val="002E21AF"/>
    <w:rsid w:val="002E2316"/>
    <w:rsid w:val="002E2753"/>
    <w:rsid w:val="002E3B20"/>
    <w:rsid w:val="002E3B57"/>
    <w:rsid w:val="002E600E"/>
    <w:rsid w:val="002E6278"/>
    <w:rsid w:val="002E6986"/>
    <w:rsid w:val="002E7005"/>
    <w:rsid w:val="002E7BB4"/>
    <w:rsid w:val="002F0144"/>
    <w:rsid w:val="002F018B"/>
    <w:rsid w:val="002F1A41"/>
    <w:rsid w:val="002F2315"/>
    <w:rsid w:val="002F2316"/>
    <w:rsid w:val="002F25F8"/>
    <w:rsid w:val="002F2DE7"/>
    <w:rsid w:val="002F3270"/>
    <w:rsid w:val="002F3FB7"/>
    <w:rsid w:val="002F4963"/>
    <w:rsid w:val="002F4D23"/>
    <w:rsid w:val="002F4F0E"/>
    <w:rsid w:val="002F5D2A"/>
    <w:rsid w:val="002F5E22"/>
    <w:rsid w:val="002F5F2D"/>
    <w:rsid w:val="002F5F4B"/>
    <w:rsid w:val="002F64E8"/>
    <w:rsid w:val="002F78C7"/>
    <w:rsid w:val="002F7AEB"/>
    <w:rsid w:val="0030173A"/>
    <w:rsid w:val="00301D2B"/>
    <w:rsid w:val="0030252A"/>
    <w:rsid w:val="00302A63"/>
    <w:rsid w:val="003038EA"/>
    <w:rsid w:val="00303BF2"/>
    <w:rsid w:val="00303D68"/>
    <w:rsid w:val="0030415A"/>
    <w:rsid w:val="003049FA"/>
    <w:rsid w:val="00304B6D"/>
    <w:rsid w:val="0030523C"/>
    <w:rsid w:val="00307695"/>
    <w:rsid w:val="003076AE"/>
    <w:rsid w:val="003109C4"/>
    <w:rsid w:val="00310A8F"/>
    <w:rsid w:val="00311263"/>
    <w:rsid w:val="00311C2F"/>
    <w:rsid w:val="00312211"/>
    <w:rsid w:val="00312690"/>
    <w:rsid w:val="00312A34"/>
    <w:rsid w:val="00312C5C"/>
    <w:rsid w:val="00312F5E"/>
    <w:rsid w:val="00313836"/>
    <w:rsid w:val="003148DB"/>
    <w:rsid w:val="00314B1B"/>
    <w:rsid w:val="003167F4"/>
    <w:rsid w:val="0031693D"/>
    <w:rsid w:val="00316973"/>
    <w:rsid w:val="003179FA"/>
    <w:rsid w:val="00317C5B"/>
    <w:rsid w:val="0032060B"/>
    <w:rsid w:val="00321148"/>
    <w:rsid w:val="003211A4"/>
    <w:rsid w:val="00321D74"/>
    <w:rsid w:val="00321E1D"/>
    <w:rsid w:val="00322234"/>
    <w:rsid w:val="003228B2"/>
    <w:rsid w:val="00323E28"/>
    <w:rsid w:val="00323FD7"/>
    <w:rsid w:val="003249C6"/>
    <w:rsid w:val="00327172"/>
    <w:rsid w:val="00327827"/>
    <w:rsid w:val="00330765"/>
    <w:rsid w:val="00330C7B"/>
    <w:rsid w:val="003314C7"/>
    <w:rsid w:val="0033383C"/>
    <w:rsid w:val="003343DE"/>
    <w:rsid w:val="00334CB9"/>
    <w:rsid w:val="00335215"/>
    <w:rsid w:val="0033768D"/>
    <w:rsid w:val="00337D05"/>
    <w:rsid w:val="00340CC1"/>
    <w:rsid w:val="00340F57"/>
    <w:rsid w:val="00341109"/>
    <w:rsid w:val="00341EF3"/>
    <w:rsid w:val="0034240A"/>
    <w:rsid w:val="003439F6"/>
    <w:rsid w:val="0034451B"/>
    <w:rsid w:val="00344724"/>
    <w:rsid w:val="00344DF8"/>
    <w:rsid w:val="003450FB"/>
    <w:rsid w:val="003453AF"/>
    <w:rsid w:val="00345C66"/>
    <w:rsid w:val="00346E59"/>
    <w:rsid w:val="00347508"/>
    <w:rsid w:val="00350285"/>
    <w:rsid w:val="0035030D"/>
    <w:rsid w:val="00350444"/>
    <w:rsid w:val="00350E1D"/>
    <w:rsid w:val="00350F0B"/>
    <w:rsid w:val="00352D92"/>
    <w:rsid w:val="00353E69"/>
    <w:rsid w:val="00353ED5"/>
    <w:rsid w:val="00354A41"/>
    <w:rsid w:val="00354FDD"/>
    <w:rsid w:val="003557C0"/>
    <w:rsid w:val="00355FA3"/>
    <w:rsid w:val="00356049"/>
    <w:rsid w:val="0035643F"/>
    <w:rsid w:val="0035682A"/>
    <w:rsid w:val="00356FB0"/>
    <w:rsid w:val="00357E47"/>
    <w:rsid w:val="00360403"/>
    <w:rsid w:val="00360BF1"/>
    <w:rsid w:val="00360D81"/>
    <w:rsid w:val="003615D8"/>
    <w:rsid w:val="00361ECB"/>
    <w:rsid w:val="0036262A"/>
    <w:rsid w:val="00363280"/>
    <w:rsid w:val="003635E5"/>
    <w:rsid w:val="00364700"/>
    <w:rsid w:val="00364ABD"/>
    <w:rsid w:val="0036575A"/>
    <w:rsid w:val="003659DE"/>
    <w:rsid w:val="003665FD"/>
    <w:rsid w:val="0036779C"/>
    <w:rsid w:val="00371023"/>
    <w:rsid w:val="00371767"/>
    <w:rsid w:val="00372328"/>
    <w:rsid w:val="00372F4E"/>
    <w:rsid w:val="003736EC"/>
    <w:rsid w:val="00373884"/>
    <w:rsid w:val="00374A42"/>
    <w:rsid w:val="00374B90"/>
    <w:rsid w:val="0037545E"/>
    <w:rsid w:val="00375562"/>
    <w:rsid w:val="003755C0"/>
    <w:rsid w:val="00376090"/>
    <w:rsid w:val="0037616A"/>
    <w:rsid w:val="003776A3"/>
    <w:rsid w:val="00377BD0"/>
    <w:rsid w:val="00377D8B"/>
    <w:rsid w:val="003800AE"/>
    <w:rsid w:val="00380214"/>
    <w:rsid w:val="00380E04"/>
    <w:rsid w:val="0038255F"/>
    <w:rsid w:val="00382776"/>
    <w:rsid w:val="003827D2"/>
    <w:rsid w:val="00383121"/>
    <w:rsid w:val="003842EA"/>
    <w:rsid w:val="0038469D"/>
    <w:rsid w:val="003848C4"/>
    <w:rsid w:val="00384AD2"/>
    <w:rsid w:val="00385C79"/>
    <w:rsid w:val="00385E4D"/>
    <w:rsid w:val="003862F5"/>
    <w:rsid w:val="00386A57"/>
    <w:rsid w:val="00386BE5"/>
    <w:rsid w:val="00386EA6"/>
    <w:rsid w:val="00386EC4"/>
    <w:rsid w:val="0039229F"/>
    <w:rsid w:val="003922A0"/>
    <w:rsid w:val="003926C0"/>
    <w:rsid w:val="003928C7"/>
    <w:rsid w:val="00392964"/>
    <w:rsid w:val="00392B21"/>
    <w:rsid w:val="003930D3"/>
    <w:rsid w:val="003936A3"/>
    <w:rsid w:val="00394260"/>
    <w:rsid w:val="003947A2"/>
    <w:rsid w:val="003953D1"/>
    <w:rsid w:val="003957FB"/>
    <w:rsid w:val="00395897"/>
    <w:rsid w:val="00395DFB"/>
    <w:rsid w:val="00395F0A"/>
    <w:rsid w:val="00396581"/>
    <w:rsid w:val="00396F65"/>
    <w:rsid w:val="0039724F"/>
    <w:rsid w:val="00397661"/>
    <w:rsid w:val="00397D5D"/>
    <w:rsid w:val="00397F3D"/>
    <w:rsid w:val="003A0AC5"/>
    <w:rsid w:val="003A0EFF"/>
    <w:rsid w:val="003A1416"/>
    <w:rsid w:val="003A1C6B"/>
    <w:rsid w:val="003A1D30"/>
    <w:rsid w:val="003A2B5D"/>
    <w:rsid w:val="003A30C7"/>
    <w:rsid w:val="003A3517"/>
    <w:rsid w:val="003A371B"/>
    <w:rsid w:val="003A3803"/>
    <w:rsid w:val="003A42CD"/>
    <w:rsid w:val="003A4DC9"/>
    <w:rsid w:val="003A55AD"/>
    <w:rsid w:val="003A582A"/>
    <w:rsid w:val="003A5F68"/>
    <w:rsid w:val="003A64A0"/>
    <w:rsid w:val="003A7B00"/>
    <w:rsid w:val="003A7C53"/>
    <w:rsid w:val="003B0209"/>
    <w:rsid w:val="003B0C52"/>
    <w:rsid w:val="003B0F72"/>
    <w:rsid w:val="003B14D0"/>
    <w:rsid w:val="003B1AAF"/>
    <w:rsid w:val="003B1C81"/>
    <w:rsid w:val="003B2885"/>
    <w:rsid w:val="003B2C48"/>
    <w:rsid w:val="003B3543"/>
    <w:rsid w:val="003B3FBD"/>
    <w:rsid w:val="003B4AD6"/>
    <w:rsid w:val="003B5819"/>
    <w:rsid w:val="003B611B"/>
    <w:rsid w:val="003B634C"/>
    <w:rsid w:val="003B6684"/>
    <w:rsid w:val="003B6CFF"/>
    <w:rsid w:val="003B7461"/>
    <w:rsid w:val="003C02CB"/>
    <w:rsid w:val="003C1649"/>
    <w:rsid w:val="003C18B2"/>
    <w:rsid w:val="003C18BB"/>
    <w:rsid w:val="003C247E"/>
    <w:rsid w:val="003C31AA"/>
    <w:rsid w:val="003C36B1"/>
    <w:rsid w:val="003C39C0"/>
    <w:rsid w:val="003C3EF0"/>
    <w:rsid w:val="003C41B6"/>
    <w:rsid w:val="003C42EC"/>
    <w:rsid w:val="003C431B"/>
    <w:rsid w:val="003C5297"/>
    <w:rsid w:val="003C6E2D"/>
    <w:rsid w:val="003C736F"/>
    <w:rsid w:val="003C7A29"/>
    <w:rsid w:val="003D0158"/>
    <w:rsid w:val="003D089B"/>
    <w:rsid w:val="003D0DD2"/>
    <w:rsid w:val="003D0F57"/>
    <w:rsid w:val="003D248F"/>
    <w:rsid w:val="003D26C2"/>
    <w:rsid w:val="003D441E"/>
    <w:rsid w:val="003D467D"/>
    <w:rsid w:val="003D48FD"/>
    <w:rsid w:val="003D491D"/>
    <w:rsid w:val="003D56EF"/>
    <w:rsid w:val="003D5EC8"/>
    <w:rsid w:val="003D5EE7"/>
    <w:rsid w:val="003D6A42"/>
    <w:rsid w:val="003D6C39"/>
    <w:rsid w:val="003D7685"/>
    <w:rsid w:val="003E060C"/>
    <w:rsid w:val="003E0ACC"/>
    <w:rsid w:val="003E0B8B"/>
    <w:rsid w:val="003E0BB5"/>
    <w:rsid w:val="003E0DE2"/>
    <w:rsid w:val="003E1398"/>
    <w:rsid w:val="003E189A"/>
    <w:rsid w:val="003E1CD8"/>
    <w:rsid w:val="003E3A3A"/>
    <w:rsid w:val="003E3BFC"/>
    <w:rsid w:val="003E3C7D"/>
    <w:rsid w:val="003E44CD"/>
    <w:rsid w:val="003E46AD"/>
    <w:rsid w:val="003E506E"/>
    <w:rsid w:val="003E6B55"/>
    <w:rsid w:val="003E6CFC"/>
    <w:rsid w:val="003F05D4"/>
    <w:rsid w:val="003F0A4D"/>
    <w:rsid w:val="003F171D"/>
    <w:rsid w:val="003F1B06"/>
    <w:rsid w:val="003F21EA"/>
    <w:rsid w:val="003F2286"/>
    <w:rsid w:val="003F2FDF"/>
    <w:rsid w:val="003F452A"/>
    <w:rsid w:val="003F4DD3"/>
    <w:rsid w:val="003F5D11"/>
    <w:rsid w:val="003F64E7"/>
    <w:rsid w:val="003F69CB"/>
    <w:rsid w:val="003F6FF4"/>
    <w:rsid w:val="003F71C1"/>
    <w:rsid w:val="00400525"/>
    <w:rsid w:val="004005F3"/>
    <w:rsid w:val="004006DE"/>
    <w:rsid w:val="00401084"/>
    <w:rsid w:val="0040114B"/>
    <w:rsid w:val="004013B3"/>
    <w:rsid w:val="0040161F"/>
    <w:rsid w:val="00401A65"/>
    <w:rsid w:val="00401DB6"/>
    <w:rsid w:val="00401E77"/>
    <w:rsid w:val="00402767"/>
    <w:rsid w:val="004042E5"/>
    <w:rsid w:val="00404F61"/>
    <w:rsid w:val="00406156"/>
    <w:rsid w:val="00406FEC"/>
    <w:rsid w:val="00407C84"/>
    <w:rsid w:val="00407E43"/>
    <w:rsid w:val="004108A8"/>
    <w:rsid w:val="0041148E"/>
    <w:rsid w:val="004114B6"/>
    <w:rsid w:val="00411CEE"/>
    <w:rsid w:val="004122C9"/>
    <w:rsid w:val="00412459"/>
    <w:rsid w:val="0041260E"/>
    <w:rsid w:val="0041263F"/>
    <w:rsid w:val="00412910"/>
    <w:rsid w:val="00412A37"/>
    <w:rsid w:val="00413BF9"/>
    <w:rsid w:val="00414114"/>
    <w:rsid w:val="00415784"/>
    <w:rsid w:val="0041607E"/>
    <w:rsid w:val="00416178"/>
    <w:rsid w:val="004162B6"/>
    <w:rsid w:val="0041726A"/>
    <w:rsid w:val="00417806"/>
    <w:rsid w:val="00417953"/>
    <w:rsid w:val="0041797E"/>
    <w:rsid w:val="00417A20"/>
    <w:rsid w:val="00417A26"/>
    <w:rsid w:val="00417B1C"/>
    <w:rsid w:val="004201C1"/>
    <w:rsid w:val="00420E63"/>
    <w:rsid w:val="004212A9"/>
    <w:rsid w:val="00421CED"/>
    <w:rsid w:val="00422174"/>
    <w:rsid w:val="00422636"/>
    <w:rsid w:val="00422BE8"/>
    <w:rsid w:val="00424169"/>
    <w:rsid w:val="00424486"/>
    <w:rsid w:val="0042520E"/>
    <w:rsid w:val="004255BB"/>
    <w:rsid w:val="00425E7B"/>
    <w:rsid w:val="00426E7E"/>
    <w:rsid w:val="00427C68"/>
    <w:rsid w:val="00431946"/>
    <w:rsid w:val="004329F3"/>
    <w:rsid w:val="00432DED"/>
    <w:rsid w:val="00433341"/>
    <w:rsid w:val="00434EC8"/>
    <w:rsid w:val="004350C1"/>
    <w:rsid w:val="00436058"/>
    <w:rsid w:val="004362D9"/>
    <w:rsid w:val="00436D3A"/>
    <w:rsid w:val="00437798"/>
    <w:rsid w:val="00440161"/>
    <w:rsid w:val="004418C3"/>
    <w:rsid w:val="00442FDA"/>
    <w:rsid w:val="00443130"/>
    <w:rsid w:val="00443428"/>
    <w:rsid w:val="00444691"/>
    <w:rsid w:val="004452D4"/>
    <w:rsid w:val="00445E2B"/>
    <w:rsid w:val="00445F18"/>
    <w:rsid w:val="004465ED"/>
    <w:rsid w:val="00446699"/>
    <w:rsid w:val="00446955"/>
    <w:rsid w:val="00446DCD"/>
    <w:rsid w:val="00447A59"/>
    <w:rsid w:val="00447DF9"/>
    <w:rsid w:val="004507E6"/>
    <w:rsid w:val="00450F0B"/>
    <w:rsid w:val="00451064"/>
    <w:rsid w:val="00452577"/>
    <w:rsid w:val="00452FB7"/>
    <w:rsid w:val="004531E5"/>
    <w:rsid w:val="00453B22"/>
    <w:rsid w:val="00453FCD"/>
    <w:rsid w:val="00454B75"/>
    <w:rsid w:val="00454CC5"/>
    <w:rsid w:val="004560E8"/>
    <w:rsid w:val="004570AF"/>
    <w:rsid w:val="004573E3"/>
    <w:rsid w:val="004574D6"/>
    <w:rsid w:val="004574EC"/>
    <w:rsid w:val="004579E3"/>
    <w:rsid w:val="00457EA7"/>
    <w:rsid w:val="00460150"/>
    <w:rsid w:val="004605F9"/>
    <w:rsid w:val="00460C82"/>
    <w:rsid w:val="00461BAC"/>
    <w:rsid w:val="00461D17"/>
    <w:rsid w:val="0046277B"/>
    <w:rsid w:val="00462DA5"/>
    <w:rsid w:val="00463CE6"/>
    <w:rsid w:val="00463DB6"/>
    <w:rsid w:val="004644B9"/>
    <w:rsid w:val="00465F79"/>
    <w:rsid w:val="00466287"/>
    <w:rsid w:val="00466455"/>
    <w:rsid w:val="00466F3F"/>
    <w:rsid w:val="0046733C"/>
    <w:rsid w:val="004674F4"/>
    <w:rsid w:val="00467A45"/>
    <w:rsid w:val="00471249"/>
    <w:rsid w:val="004714CE"/>
    <w:rsid w:val="004719A6"/>
    <w:rsid w:val="00471A68"/>
    <w:rsid w:val="00472BA1"/>
    <w:rsid w:val="00473360"/>
    <w:rsid w:val="00473A9B"/>
    <w:rsid w:val="00473AD0"/>
    <w:rsid w:val="00473B12"/>
    <w:rsid w:val="00473D4D"/>
    <w:rsid w:val="00475394"/>
    <w:rsid w:val="00475F37"/>
    <w:rsid w:val="00476A09"/>
    <w:rsid w:val="0047725A"/>
    <w:rsid w:val="00477789"/>
    <w:rsid w:val="004778D4"/>
    <w:rsid w:val="00477EF5"/>
    <w:rsid w:val="0048160C"/>
    <w:rsid w:val="004817D6"/>
    <w:rsid w:val="004820A6"/>
    <w:rsid w:val="0048265E"/>
    <w:rsid w:val="00482CC9"/>
    <w:rsid w:val="0048316B"/>
    <w:rsid w:val="00483971"/>
    <w:rsid w:val="004850B8"/>
    <w:rsid w:val="00485647"/>
    <w:rsid w:val="00485B83"/>
    <w:rsid w:val="00487BE8"/>
    <w:rsid w:val="004901FD"/>
    <w:rsid w:val="004909CD"/>
    <w:rsid w:val="00490E13"/>
    <w:rsid w:val="00491791"/>
    <w:rsid w:val="00491D9A"/>
    <w:rsid w:val="00491EB3"/>
    <w:rsid w:val="004921EC"/>
    <w:rsid w:val="004925DD"/>
    <w:rsid w:val="004933F9"/>
    <w:rsid w:val="00493514"/>
    <w:rsid w:val="004939AF"/>
    <w:rsid w:val="004940AC"/>
    <w:rsid w:val="004946B7"/>
    <w:rsid w:val="004963AA"/>
    <w:rsid w:val="00496636"/>
    <w:rsid w:val="00496AE0"/>
    <w:rsid w:val="00497985"/>
    <w:rsid w:val="00497E14"/>
    <w:rsid w:val="004A06FC"/>
    <w:rsid w:val="004A0785"/>
    <w:rsid w:val="004A11B0"/>
    <w:rsid w:val="004A2197"/>
    <w:rsid w:val="004A3118"/>
    <w:rsid w:val="004A42B6"/>
    <w:rsid w:val="004A4639"/>
    <w:rsid w:val="004A4822"/>
    <w:rsid w:val="004A48CE"/>
    <w:rsid w:val="004A53D0"/>
    <w:rsid w:val="004A5563"/>
    <w:rsid w:val="004A6276"/>
    <w:rsid w:val="004A66C0"/>
    <w:rsid w:val="004A67C3"/>
    <w:rsid w:val="004A6819"/>
    <w:rsid w:val="004A70A7"/>
    <w:rsid w:val="004A70A9"/>
    <w:rsid w:val="004A7279"/>
    <w:rsid w:val="004B0264"/>
    <w:rsid w:val="004B0AE2"/>
    <w:rsid w:val="004B17BE"/>
    <w:rsid w:val="004B190C"/>
    <w:rsid w:val="004B3A7E"/>
    <w:rsid w:val="004B4304"/>
    <w:rsid w:val="004B4338"/>
    <w:rsid w:val="004B4BEC"/>
    <w:rsid w:val="004B4E9C"/>
    <w:rsid w:val="004B58A8"/>
    <w:rsid w:val="004B5AE4"/>
    <w:rsid w:val="004B631F"/>
    <w:rsid w:val="004B6A62"/>
    <w:rsid w:val="004B6DC3"/>
    <w:rsid w:val="004B70C3"/>
    <w:rsid w:val="004B77C2"/>
    <w:rsid w:val="004B7F46"/>
    <w:rsid w:val="004C0C59"/>
    <w:rsid w:val="004C0FD1"/>
    <w:rsid w:val="004C3475"/>
    <w:rsid w:val="004C3857"/>
    <w:rsid w:val="004C4384"/>
    <w:rsid w:val="004C4679"/>
    <w:rsid w:val="004C5FEB"/>
    <w:rsid w:val="004C63A7"/>
    <w:rsid w:val="004C78A4"/>
    <w:rsid w:val="004C7C88"/>
    <w:rsid w:val="004C7D38"/>
    <w:rsid w:val="004D0500"/>
    <w:rsid w:val="004D0F7F"/>
    <w:rsid w:val="004D0FDA"/>
    <w:rsid w:val="004D124B"/>
    <w:rsid w:val="004D1C02"/>
    <w:rsid w:val="004D214B"/>
    <w:rsid w:val="004D2D53"/>
    <w:rsid w:val="004D2EB4"/>
    <w:rsid w:val="004D3DC3"/>
    <w:rsid w:val="004D4C76"/>
    <w:rsid w:val="004D592B"/>
    <w:rsid w:val="004D6F8B"/>
    <w:rsid w:val="004D7F93"/>
    <w:rsid w:val="004E05F0"/>
    <w:rsid w:val="004E0B47"/>
    <w:rsid w:val="004E0F40"/>
    <w:rsid w:val="004E1B04"/>
    <w:rsid w:val="004E1C69"/>
    <w:rsid w:val="004E1F41"/>
    <w:rsid w:val="004E200B"/>
    <w:rsid w:val="004E2F47"/>
    <w:rsid w:val="004E4740"/>
    <w:rsid w:val="004E61FA"/>
    <w:rsid w:val="004E62DA"/>
    <w:rsid w:val="004E7263"/>
    <w:rsid w:val="004F0EEC"/>
    <w:rsid w:val="004F256D"/>
    <w:rsid w:val="004F26D9"/>
    <w:rsid w:val="004F3299"/>
    <w:rsid w:val="004F32DC"/>
    <w:rsid w:val="004F37D2"/>
    <w:rsid w:val="004F454F"/>
    <w:rsid w:val="004F4BFC"/>
    <w:rsid w:val="004F59BF"/>
    <w:rsid w:val="004F5EED"/>
    <w:rsid w:val="004F644C"/>
    <w:rsid w:val="004F69BA"/>
    <w:rsid w:val="004F6A15"/>
    <w:rsid w:val="004F7306"/>
    <w:rsid w:val="004F7492"/>
    <w:rsid w:val="004F76DF"/>
    <w:rsid w:val="005001DA"/>
    <w:rsid w:val="00500A79"/>
    <w:rsid w:val="00500B21"/>
    <w:rsid w:val="005012C4"/>
    <w:rsid w:val="00501309"/>
    <w:rsid w:val="0050216C"/>
    <w:rsid w:val="00502BFE"/>
    <w:rsid w:val="00504973"/>
    <w:rsid w:val="00505716"/>
    <w:rsid w:val="005068DC"/>
    <w:rsid w:val="005073AD"/>
    <w:rsid w:val="0050794E"/>
    <w:rsid w:val="00510FE3"/>
    <w:rsid w:val="00511013"/>
    <w:rsid w:val="0051114F"/>
    <w:rsid w:val="005118FE"/>
    <w:rsid w:val="0051297E"/>
    <w:rsid w:val="00513BFD"/>
    <w:rsid w:val="00514066"/>
    <w:rsid w:val="005152A2"/>
    <w:rsid w:val="0051594D"/>
    <w:rsid w:val="00515DFC"/>
    <w:rsid w:val="0051642A"/>
    <w:rsid w:val="00516C42"/>
    <w:rsid w:val="00516D9E"/>
    <w:rsid w:val="00517493"/>
    <w:rsid w:val="005176E3"/>
    <w:rsid w:val="00517B7F"/>
    <w:rsid w:val="00520125"/>
    <w:rsid w:val="0052023F"/>
    <w:rsid w:val="00520321"/>
    <w:rsid w:val="00520627"/>
    <w:rsid w:val="005209C3"/>
    <w:rsid w:val="00520AE7"/>
    <w:rsid w:val="00521677"/>
    <w:rsid w:val="0052183B"/>
    <w:rsid w:val="0052246A"/>
    <w:rsid w:val="005228F9"/>
    <w:rsid w:val="00522E33"/>
    <w:rsid w:val="005230FD"/>
    <w:rsid w:val="00523479"/>
    <w:rsid w:val="00523755"/>
    <w:rsid w:val="00523F74"/>
    <w:rsid w:val="005243ED"/>
    <w:rsid w:val="00524722"/>
    <w:rsid w:val="005247FF"/>
    <w:rsid w:val="00525A6E"/>
    <w:rsid w:val="00526032"/>
    <w:rsid w:val="005265C6"/>
    <w:rsid w:val="0052688B"/>
    <w:rsid w:val="00526A4B"/>
    <w:rsid w:val="00526BC4"/>
    <w:rsid w:val="00527220"/>
    <w:rsid w:val="00527252"/>
    <w:rsid w:val="00527D55"/>
    <w:rsid w:val="0053068E"/>
    <w:rsid w:val="0053084F"/>
    <w:rsid w:val="00530A99"/>
    <w:rsid w:val="00530B6F"/>
    <w:rsid w:val="00531369"/>
    <w:rsid w:val="00532411"/>
    <w:rsid w:val="00534A23"/>
    <w:rsid w:val="00534BED"/>
    <w:rsid w:val="00534EDF"/>
    <w:rsid w:val="0053523A"/>
    <w:rsid w:val="005365C5"/>
    <w:rsid w:val="005366B3"/>
    <w:rsid w:val="00536C2F"/>
    <w:rsid w:val="0053766B"/>
    <w:rsid w:val="005379AD"/>
    <w:rsid w:val="0054006A"/>
    <w:rsid w:val="00540476"/>
    <w:rsid w:val="00540771"/>
    <w:rsid w:val="00540996"/>
    <w:rsid w:val="00543F08"/>
    <w:rsid w:val="00543FFB"/>
    <w:rsid w:val="0054424A"/>
    <w:rsid w:val="00544701"/>
    <w:rsid w:val="0054474A"/>
    <w:rsid w:val="00544919"/>
    <w:rsid w:val="00545ED8"/>
    <w:rsid w:val="00546066"/>
    <w:rsid w:val="005468F7"/>
    <w:rsid w:val="005471A8"/>
    <w:rsid w:val="00547704"/>
    <w:rsid w:val="00547B49"/>
    <w:rsid w:val="00547EA0"/>
    <w:rsid w:val="00547FC9"/>
    <w:rsid w:val="00550457"/>
    <w:rsid w:val="00550495"/>
    <w:rsid w:val="00550896"/>
    <w:rsid w:val="00550E3B"/>
    <w:rsid w:val="005516AD"/>
    <w:rsid w:val="00551D73"/>
    <w:rsid w:val="0055254A"/>
    <w:rsid w:val="005534D8"/>
    <w:rsid w:val="0055366C"/>
    <w:rsid w:val="0055478D"/>
    <w:rsid w:val="00554DE7"/>
    <w:rsid w:val="00555084"/>
    <w:rsid w:val="00555515"/>
    <w:rsid w:val="00555ECF"/>
    <w:rsid w:val="0055614A"/>
    <w:rsid w:val="0055640A"/>
    <w:rsid w:val="00556688"/>
    <w:rsid w:val="005567F3"/>
    <w:rsid w:val="00557039"/>
    <w:rsid w:val="0056038B"/>
    <w:rsid w:val="005603AF"/>
    <w:rsid w:val="00560DDF"/>
    <w:rsid w:val="00561267"/>
    <w:rsid w:val="00561426"/>
    <w:rsid w:val="00561B4F"/>
    <w:rsid w:val="0056225E"/>
    <w:rsid w:val="005631AA"/>
    <w:rsid w:val="00563334"/>
    <w:rsid w:val="005634A7"/>
    <w:rsid w:val="00563715"/>
    <w:rsid w:val="00564C7C"/>
    <w:rsid w:val="00564F16"/>
    <w:rsid w:val="005655DD"/>
    <w:rsid w:val="00565D34"/>
    <w:rsid w:val="00566A95"/>
    <w:rsid w:val="00567074"/>
    <w:rsid w:val="0056749B"/>
    <w:rsid w:val="005678E4"/>
    <w:rsid w:val="00567F6B"/>
    <w:rsid w:val="005703F0"/>
    <w:rsid w:val="0057064D"/>
    <w:rsid w:val="00570F7C"/>
    <w:rsid w:val="0057108B"/>
    <w:rsid w:val="00571301"/>
    <w:rsid w:val="00571B6F"/>
    <w:rsid w:val="00571F44"/>
    <w:rsid w:val="00572446"/>
    <w:rsid w:val="00572D38"/>
    <w:rsid w:val="00573F8D"/>
    <w:rsid w:val="00574001"/>
    <w:rsid w:val="00574FC1"/>
    <w:rsid w:val="00575331"/>
    <w:rsid w:val="00575A3C"/>
    <w:rsid w:val="00576531"/>
    <w:rsid w:val="00576860"/>
    <w:rsid w:val="005774C4"/>
    <w:rsid w:val="00580317"/>
    <w:rsid w:val="00580754"/>
    <w:rsid w:val="00581EDD"/>
    <w:rsid w:val="0058201B"/>
    <w:rsid w:val="00584E8B"/>
    <w:rsid w:val="00585EA8"/>
    <w:rsid w:val="00586040"/>
    <w:rsid w:val="00586CA1"/>
    <w:rsid w:val="005871FA"/>
    <w:rsid w:val="00587867"/>
    <w:rsid w:val="00587A6D"/>
    <w:rsid w:val="005905C4"/>
    <w:rsid w:val="0059174E"/>
    <w:rsid w:val="00591BB7"/>
    <w:rsid w:val="0059276D"/>
    <w:rsid w:val="005928A6"/>
    <w:rsid w:val="00592D34"/>
    <w:rsid w:val="00592F6E"/>
    <w:rsid w:val="005932D9"/>
    <w:rsid w:val="00594EB7"/>
    <w:rsid w:val="00595947"/>
    <w:rsid w:val="00595CB3"/>
    <w:rsid w:val="005963EA"/>
    <w:rsid w:val="00596A0E"/>
    <w:rsid w:val="00596B6D"/>
    <w:rsid w:val="0059726F"/>
    <w:rsid w:val="0059784E"/>
    <w:rsid w:val="005A0C2A"/>
    <w:rsid w:val="005A0C6B"/>
    <w:rsid w:val="005A15CE"/>
    <w:rsid w:val="005A1CF9"/>
    <w:rsid w:val="005A205B"/>
    <w:rsid w:val="005A2EA9"/>
    <w:rsid w:val="005A387A"/>
    <w:rsid w:val="005A412B"/>
    <w:rsid w:val="005A4542"/>
    <w:rsid w:val="005A5B52"/>
    <w:rsid w:val="005A5D14"/>
    <w:rsid w:val="005A6CF9"/>
    <w:rsid w:val="005A6E1E"/>
    <w:rsid w:val="005B0752"/>
    <w:rsid w:val="005B162E"/>
    <w:rsid w:val="005B1C31"/>
    <w:rsid w:val="005B2D03"/>
    <w:rsid w:val="005B2E5A"/>
    <w:rsid w:val="005B301D"/>
    <w:rsid w:val="005B352E"/>
    <w:rsid w:val="005B376C"/>
    <w:rsid w:val="005B3C89"/>
    <w:rsid w:val="005B3D6E"/>
    <w:rsid w:val="005B3FAC"/>
    <w:rsid w:val="005B41D1"/>
    <w:rsid w:val="005B4249"/>
    <w:rsid w:val="005B460E"/>
    <w:rsid w:val="005B4BF7"/>
    <w:rsid w:val="005B5443"/>
    <w:rsid w:val="005B56C3"/>
    <w:rsid w:val="005B5968"/>
    <w:rsid w:val="005B5BF8"/>
    <w:rsid w:val="005B6485"/>
    <w:rsid w:val="005B65AD"/>
    <w:rsid w:val="005B698C"/>
    <w:rsid w:val="005B6F91"/>
    <w:rsid w:val="005B71D8"/>
    <w:rsid w:val="005B7E64"/>
    <w:rsid w:val="005C0D1D"/>
    <w:rsid w:val="005C1662"/>
    <w:rsid w:val="005C25D3"/>
    <w:rsid w:val="005C2B8C"/>
    <w:rsid w:val="005C308F"/>
    <w:rsid w:val="005C416E"/>
    <w:rsid w:val="005C4625"/>
    <w:rsid w:val="005C4783"/>
    <w:rsid w:val="005C528C"/>
    <w:rsid w:val="005C5D46"/>
    <w:rsid w:val="005C5EE1"/>
    <w:rsid w:val="005C6333"/>
    <w:rsid w:val="005C68E9"/>
    <w:rsid w:val="005C6917"/>
    <w:rsid w:val="005C6A2D"/>
    <w:rsid w:val="005C6CE0"/>
    <w:rsid w:val="005C6FF9"/>
    <w:rsid w:val="005C74D2"/>
    <w:rsid w:val="005C7C30"/>
    <w:rsid w:val="005C7F7C"/>
    <w:rsid w:val="005D0F81"/>
    <w:rsid w:val="005D1161"/>
    <w:rsid w:val="005D13C8"/>
    <w:rsid w:val="005D1712"/>
    <w:rsid w:val="005D1C80"/>
    <w:rsid w:val="005D2605"/>
    <w:rsid w:val="005D2D53"/>
    <w:rsid w:val="005D36F4"/>
    <w:rsid w:val="005D4360"/>
    <w:rsid w:val="005D4A3F"/>
    <w:rsid w:val="005D4BCA"/>
    <w:rsid w:val="005D4CEF"/>
    <w:rsid w:val="005D54E5"/>
    <w:rsid w:val="005D5ADA"/>
    <w:rsid w:val="005D60DD"/>
    <w:rsid w:val="005D6190"/>
    <w:rsid w:val="005D66D9"/>
    <w:rsid w:val="005D70E4"/>
    <w:rsid w:val="005E0214"/>
    <w:rsid w:val="005E16E0"/>
    <w:rsid w:val="005E2171"/>
    <w:rsid w:val="005E24C5"/>
    <w:rsid w:val="005E2FEC"/>
    <w:rsid w:val="005E33F8"/>
    <w:rsid w:val="005E3CF7"/>
    <w:rsid w:val="005E4967"/>
    <w:rsid w:val="005E5164"/>
    <w:rsid w:val="005E5A47"/>
    <w:rsid w:val="005E5B01"/>
    <w:rsid w:val="005E5E6A"/>
    <w:rsid w:val="005E6377"/>
    <w:rsid w:val="005E6F9F"/>
    <w:rsid w:val="005E718D"/>
    <w:rsid w:val="005E7957"/>
    <w:rsid w:val="005F202F"/>
    <w:rsid w:val="005F2201"/>
    <w:rsid w:val="005F24B1"/>
    <w:rsid w:val="005F283C"/>
    <w:rsid w:val="005F3238"/>
    <w:rsid w:val="005F3993"/>
    <w:rsid w:val="005F4153"/>
    <w:rsid w:val="005F45F6"/>
    <w:rsid w:val="005F4A0A"/>
    <w:rsid w:val="005F53DE"/>
    <w:rsid w:val="005F558B"/>
    <w:rsid w:val="005F6323"/>
    <w:rsid w:val="006001A7"/>
    <w:rsid w:val="00601223"/>
    <w:rsid w:val="006019CF"/>
    <w:rsid w:val="006022A2"/>
    <w:rsid w:val="006023BF"/>
    <w:rsid w:val="00602BF9"/>
    <w:rsid w:val="0060314C"/>
    <w:rsid w:val="0060315F"/>
    <w:rsid w:val="00603704"/>
    <w:rsid w:val="00603BAE"/>
    <w:rsid w:val="00604268"/>
    <w:rsid w:val="0060485B"/>
    <w:rsid w:val="00604DDE"/>
    <w:rsid w:val="0060580E"/>
    <w:rsid w:val="006061F2"/>
    <w:rsid w:val="0060668D"/>
    <w:rsid w:val="00606A3C"/>
    <w:rsid w:val="006070B7"/>
    <w:rsid w:val="0060712D"/>
    <w:rsid w:val="00607B82"/>
    <w:rsid w:val="0061003E"/>
    <w:rsid w:val="006103C9"/>
    <w:rsid w:val="00610489"/>
    <w:rsid w:val="00610A6F"/>
    <w:rsid w:val="00610CD8"/>
    <w:rsid w:val="006117A2"/>
    <w:rsid w:val="00611941"/>
    <w:rsid w:val="00613690"/>
    <w:rsid w:val="00613AED"/>
    <w:rsid w:val="00614E7B"/>
    <w:rsid w:val="006155E4"/>
    <w:rsid w:val="006158CD"/>
    <w:rsid w:val="00617399"/>
    <w:rsid w:val="0061772F"/>
    <w:rsid w:val="00617A90"/>
    <w:rsid w:val="00620714"/>
    <w:rsid w:val="00620A98"/>
    <w:rsid w:val="00622A9C"/>
    <w:rsid w:val="00622C45"/>
    <w:rsid w:val="00623223"/>
    <w:rsid w:val="006237B3"/>
    <w:rsid w:val="0062414C"/>
    <w:rsid w:val="006242E4"/>
    <w:rsid w:val="006258CD"/>
    <w:rsid w:val="0062599A"/>
    <w:rsid w:val="0062601F"/>
    <w:rsid w:val="006265CC"/>
    <w:rsid w:val="00627103"/>
    <w:rsid w:val="00627D43"/>
    <w:rsid w:val="00627D65"/>
    <w:rsid w:val="006306CA"/>
    <w:rsid w:val="00631D78"/>
    <w:rsid w:val="006323D9"/>
    <w:rsid w:val="0063387B"/>
    <w:rsid w:val="0063390E"/>
    <w:rsid w:val="00633997"/>
    <w:rsid w:val="00634261"/>
    <w:rsid w:val="00634B7E"/>
    <w:rsid w:val="00636476"/>
    <w:rsid w:val="006368B3"/>
    <w:rsid w:val="006378E2"/>
    <w:rsid w:val="00640305"/>
    <w:rsid w:val="0064036F"/>
    <w:rsid w:val="006411F3"/>
    <w:rsid w:val="00643870"/>
    <w:rsid w:val="00643ED3"/>
    <w:rsid w:val="00644DAF"/>
    <w:rsid w:val="006459E1"/>
    <w:rsid w:val="00645F63"/>
    <w:rsid w:val="0064759B"/>
    <w:rsid w:val="00650AD7"/>
    <w:rsid w:val="00651220"/>
    <w:rsid w:val="00651B77"/>
    <w:rsid w:val="00651CA9"/>
    <w:rsid w:val="00652AAC"/>
    <w:rsid w:val="00654B53"/>
    <w:rsid w:val="006559A1"/>
    <w:rsid w:val="0065619A"/>
    <w:rsid w:val="00656388"/>
    <w:rsid w:val="00656FB2"/>
    <w:rsid w:val="006570FF"/>
    <w:rsid w:val="006600D2"/>
    <w:rsid w:val="00660E14"/>
    <w:rsid w:val="0066150D"/>
    <w:rsid w:val="00661633"/>
    <w:rsid w:val="0066202C"/>
    <w:rsid w:val="00662504"/>
    <w:rsid w:val="00662946"/>
    <w:rsid w:val="006633CE"/>
    <w:rsid w:val="006641A7"/>
    <w:rsid w:val="00664E27"/>
    <w:rsid w:val="006662D3"/>
    <w:rsid w:val="00666425"/>
    <w:rsid w:val="006668DA"/>
    <w:rsid w:val="006676D5"/>
    <w:rsid w:val="006679C3"/>
    <w:rsid w:val="00671536"/>
    <w:rsid w:val="006717F6"/>
    <w:rsid w:val="0067231B"/>
    <w:rsid w:val="00672546"/>
    <w:rsid w:val="00672A81"/>
    <w:rsid w:val="0067320C"/>
    <w:rsid w:val="0067370C"/>
    <w:rsid w:val="0067411C"/>
    <w:rsid w:val="0067484A"/>
    <w:rsid w:val="00675F5F"/>
    <w:rsid w:val="00677F6A"/>
    <w:rsid w:val="006806D4"/>
    <w:rsid w:val="00680E03"/>
    <w:rsid w:val="006842C5"/>
    <w:rsid w:val="00684323"/>
    <w:rsid w:val="00684670"/>
    <w:rsid w:val="00684CED"/>
    <w:rsid w:val="0068598B"/>
    <w:rsid w:val="00686126"/>
    <w:rsid w:val="006863C7"/>
    <w:rsid w:val="006870BB"/>
    <w:rsid w:val="00690358"/>
    <w:rsid w:val="006918D6"/>
    <w:rsid w:val="0069196C"/>
    <w:rsid w:val="0069202B"/>
    <w:rsid w:val="0069222D"/>
    <w:rsid w:val="00693BD7"/>
    <w:rsid w:val="00694B41"/>
    <w:rsid w:val="006952FF"/>
    <w:rsid w:val="0069585F"/>
    <w:rsid w:val="0069594D"/>
    <w:rsid w:val="00695C84"/>
    <w:rsid w:val="00696FA5"/>
    <w:rsid w:val="006A110B"/>
    <w:rsid w:val="006A18CA"/>
    <w:rsid w:val="006A2F14"/>
    <w:rsid w:val="006A32BF"/>
    <w:rsid w:val="006A3848"/>
    <w:rsid w:val="006A38E2"/>
    <w:rsid w:val="006A47AC"/>
    <w:rsid w:val="006A5AE5"/>
    <w:rsid w:val="006A5C3A"/>
    <w:rsid w:val="006A76D0"/>
    <w:rsid w:val="006A7FB1"/>
    <w:rsid w:val="006B0027"/>
    <w:rsid w:val="006B04A2"/>
    <w:rsid w:val="006B05E9"/>
    <w:rsid w:val="006B0F07"/>
    <w:rsid w:val="006B110F"/>
    <w:rsid w:val="006B116D"/>
    <w:rsid w:val="006B12C9"/>
    <w:rsid w:val="006B1592"/>
    <w:rsid w:val="006B1F48"/>
    <w:rsid w:val="006B2907"/>
    <w:rsid w:val="006B2FAF"/>
    <w:rsid w:val="006B37E0"/>
    <w:rsid w:val="006B3CA0"/>
    <w:rsid w:val="006B4053"/>
    <w:rsid w:val="006B4EBD"/>
    <w:rsid w:val="006B5BC1"/>
    <w:rsid w:val="006B6FC9"/>
    <w:rsid w:val="006B733A"/>
    <w:rsid w:val="006B7857"/>
    <w:rsid w:val="006B78AE"/>
    <w:rsid w:val="006C02A5"/>
    <w:rsid w:val="006C09FB"/>
    <w:rsid w:val="006C0A1A"/>
    <w:rsid w:val="006C0A3D"/>
    <w:rsid w:val="006C19FE"/>
    <w:rsid w:val="006C1CF8"/>
    <w:rsid w:val="006C3328"/>
    <w:rsid w:val="006C3D64"/>
    <w:rsid w:val="006C3FDE"/>
    <w:rsid w:val="006C4241"/>
    <w:rsid w:val="006C43C0"/>
    <w:rsid w:val="006C495C"/>
    <w:rsid w:val="006C49F5"/>
    <w:rsid w:val="006C5673"/>
    <w:rsid w:val="006C66A2"/>
    <w:rsid w:val="006C752F"/>
    <w:rsid w:val="006D103A"/>
    <w:rsid w:val="006D1516"/>
    <w:rsid w:val="006D197C"/>
    <w:rsid w:val="006D28CE"/>
    <w:rsid w:val="006D3435"/>
    <w:rsid w:val="006D39F1"/>
    <w:rsid w:val="006D48F2"/>
    <w:rsid w:val="006D4BDB"/>
    <w:rsid w:val="006D4C5E"/>
    <w:rsid w:val="006D4D9D"/>
    <w:rsid w:val="006D518F"/>
    <w:rsid w:val="006D579C"/>
    <w:rsid w:val="006D5DB1"/>
    <w:rsid w:val="006D77B5"/>
    <w:rsid w:val="006E06DE"/>
    <w:rsid w:val="006E0714"/>
    <w:rsid w:val="006E0C02"/>
    <w:rsid w:val="006E1870"/>
    <w:rsid w:val="006E1C9E"/>
    <w:rsid w:val="006E26FA"/>
    <w:rsid w:val="006E3C8E"/>
    <w:rsid w:val="006E52FE"/>
    <w:rsid w:val="006E6576"/>
    <w:rsid w:val="006F02E3"/>
    <w:rsid w:val="006F1FE6"/>
    <w:rsid w:val="006F3647"/>
    <w:rsid w:val="006F36D3"/>
    <w:rsid w:val="006F43C9"/>
    <w:rsid w:val="006F446F"/>
    <w:rsid w:val="006F481E"/>
    <w:rsid w:val="006F4A15"/>
    <w:rsid w:val="006F5F1D"/>
    <w:rsid w:val="006F7E97"/>
    <w:rsid w:val="007005AB"/>
    <w:rsid w:val="00700C82"/>
    <w:rsid w:val="00700F98"/>
    <w:rsid w:val="00701177"/>
    <w:rsid w:val="007014C7"/>
    <w:rsid w:val="007023BD"/>
    <w:rsid w:val="00702812"/>
    <w:rsid w:val="007035B3"/>
    <w:rsid w:val="007036FC"/>
    <w:rsid w:val="007047BA"/>
    <w:rsid w:val="00704E98"/>
    <w:rsid w:val="00704EB3"/>
    <w:rsid w:val="0070573B"/>
    <w:rsid w:val="007059CD"/>
    <w:rsid w:val="00705ACE"/>
    <w:rsid w:val="007069D0"/>
    <w:rsid w:val="00710703"/>
    <w:rsid w:val="007112AC"/>
    <w:rsid w:val="00711BCC"/>
    <w:rsid w:val="00711CD1"/>
    <w:rsid w:val="00713B12"/>
    <w:rsid w:val="00714465"/>
    <w:rsid w:val="00715494"/>
    <w:rsid w:val="00715D9B"/>
    <w:rsid w:val="00716030"/>
    <w:rsid w:val="007166E9"/>
    <w:rsid w:val="00716A6D"/>
    <w:rsid w:val="00716E3E"/>
    <w:rsid w:val="0071719D"/>
    <w:rsid w:val="00717332"/>
    <w:rsid w:val="0071793A"/>
    <w:rsid w:val="00717A1E"/>
    <w:rsid w:val="00720B27"/>
    <w:rsid w:val="00720B2B"/>
    <w:rsid w:val="00720E81"/>
    <w:rsid w:val="007214EB"/>
    <w:rsid w:val="00722842"/>
    <w:rsid w:val="00724EC6"/>
    <w:rsid w:val="00726964"/>
    <w:rsid w:val="007316CB"/>
    <w:rsid w:val="00732DBA"/>
    <w:rsid w:val="00733FB9"/>
    <w:rsid w:val="00736946"/>
    <w:rsid w:val="00736F10"/>
    <w:rsid w:val="007370CA"/>
    <w:rsid w:val="007403EA"/>
    <w:rsid w:val="00740CBA"/>
    <w:rsid w:val="007414D8"/>
    <w:rsid w:val="00742139"/>
    <w:rsid w:val="00744B37"/>
    <w:rsid w:val="00745068"/>
    <w:rsid w:val="007450DD"/>
    <w:rsid w:val="00745254"/>
    <w:rsid w:val="0074547F"/>
    <w:rsid w:val="007458C6"/>
    <w:rsid w:val="007460BA"/>
    <w:rsid w:val="0074643A"/>
    <w:rsid w:val="007464D0"/>
    <w:rsid w:val="00747112"/>
    <w:rsid w:val="00747A1B"/>
    <w:rsid w:val="00747B09"/>
    <w:rsid w:val="00750C57"/>
    <w:rsid w:val="00750DD8"/>
    <w:rsid w:val="00751E2C"/>
    <w:rsid w:val="0075243F"/>
    <w:rsid w:val="00752DFB"/>
    <w:rsid w:val="007530C5"/>
    <w:rsid w:val="00754C22"/>
    <w:rsid w:val="00754D30"/>
    <w:rsid w:val="0075572B"/>
    <w:rsid w:val="007563BA"/>
    <w:rsid w:val="0075759E"/>
    <w:rsid w:val="007616EC"/>
    <w:rsid w:val="007617D6"/>
    <w:rsid w:val="0076191D"/>
    <w:rsid w:val="00762650"/>
    <w:rsid w:val="0076315C"/>
    <w:rsid w:val="00764549"/>
    <w:rsid w:val="00764555"/>
    <w:rsid w:val="00764C5C"/>
    <w:rsid w:val="00764E16"/>
    <w:rsid w:val="00764E33"/>
    <w:rsid w:val="00765C95"/>
    <w:rsid w:val="00765E8E"/>
    <w:rsid w:val="00767051"/>
    <w:rsid w:val="0076770D"/>
    <w:rsid w:val="0076795B"/>
    <w:rsid w:val="0077023F"/>
    <w:rsid w:val="007706ED"/>
    <w:rsid w:val="007727ED"/>
    <w:rsid w:val="00772A5B"/>
    <w:rsid w:val="00775B44"/>
    <w:rsid w:val="00776197"/>
    <w:rsid w:val="00776333"/>
    <w:rsid w:val="00777043"/>
    <w:rsid w:val="007770BC"/>
    <w:rsid w:val="007776DA"/>
    <w:rsid w:val="007800BD"/>
    <w:rsid w:val="00780D88"/>
    <w:rsid w:val="007820CC"/>
    <w:rsid w:val="0078228F"/>
    <w:rsid w:val="0078252F"/>
    <w:rsid w:val="00782A39"/>
    <w:rsid w:val="00783026"/>
    <w:rsid w:val="0078322F"/>
    <w:rsid w:val="0078329F"/>
    <w:rsid w:val="00783C81"/>
    <w:rsid w:val="007840E1"/>
    <w:rsid w:val="0078417C"/>
    <w:rsid w:val="00785250"/>
    <w:rsid w:val="007857A9"/>
    <w:rsid w:val="007858A3"/>
    <w:rsid w:val="00785956"/>
    <w:rsid w:val="00785E11"/>
    <w:rsid w:val="0078640A"/>
    <w:rsid w:val="00786510"/>
    <w:rsid w:val="007877D6"/>
    <w:rsid w:val="00790105"/>
    <w:rsid w:val="007910AE"/>
    <w:rsid w:val="0079122D"/>
    <w:rsid w:val="0079136D"/>
    <w:rsid w:val="007913A8"/>
    <w:rsid w:val="00791E4B"/>
    <w:rsid w:val="007931D7"/>
    <w:rsid w:val="007949F4"/>
    <w:rsid w:val="0079567C"/>
    <w:rsid w:val="00795790"/>
    <w:rsid w:val="007958FC"/>
    <w:rsid w:val="00795F96"/>
    <w:rsid w:val="007976D3"/>
    <w:rsid w:val="00797992"/>
    <w:rsid w:val="007A1CDA"/>
    <w:rsid w:val="007A1D27"/>
    <w:rsid w:val="007A1E34"/>
    <w:rsid w:val="007A20BA"/>
    <w:rsid w:val="007A3175"/>
    <w:rsid w:val="007A38C9"/>
    <w:rsid w:val="007A450D"/>
    <w:rsid w:val="007A4716"/>
    <w:rsid w:val="007A48B4"/>
    <w:rsid w:val="007A582B"/>
    <w:rsid w:val="007A5FDE"/>
    <w:rsid w:val="007A65B4"/>
    <w:rsid w:val="007A6E96"/>
    <w:rsid w:val="007A798F"/>
    <w:rsid w:val="007A7D14"/>
    <w:rsid w:val="007B0588"/>
    <w:rsid w:val="007B0BDE"/>
    <w:rsid w:val="007B1446"/>
    <w:rsid w:val="007B2295"/>
    <w:rsid w:val="007B2CC2"/>
    <w:rsid w:val="007B2E5B"/>
    <w:rsid w:val="007B37E9"/>
    <w:rsid w:val="007B3A4A"/>
    <w:rsid w:val="007B4A16"/>
    <w:rsid w:val="007B5666"/>
    <w:rsid w:val="007B5D9B"/>
    <w:rsid w:val="007B6E7A"/>
    <w:rsid w:val="007B6F9F"/>
    <w:rsid w:val="007B706D"/>
    <w:rsid w:val="007B76A1"/>
    <w:rsid w:val="007B7EA5"/>
    <w:rsid w:val="007C0927"/>
    <w:rsid w:val="007C0C47"/>
    <w:rsid w:val="007C1CE6"/>
    <w:rsid w:val="007C1DF4"/>
    <w:rsid w:val="007C2262"/>
    <w:rsid w:val="007C246D"/>
    <w:rsid w:val="007C2B3C"/>
    <w:rsid w:val="007C2D2F"/>
    <w:rsid w:val="007C3186"/>
    <w:rsid w:val="007C3DD3"/>
    <w:rsid w:val="007C429B"/>
    <w:rsid w:val="007C4982"/>
    <w:rsid w:val="007C4AA9"/>
    <w:rsid w:val="007C4DAA"/>
    <w:rsid w:val="007C5148"/>
    <w:rsid w:val="007C568A"/>
    <w:rsid w:val="007C5A38"/>
    <w:rsid w:val="007C5B96"/>
    <w:rsid w:val="007C64B4"/>
    <w:rsid w:val="007C65F8"/>
    <w:rsid w:val="007C6AC8"/>
    <w:rsid w:val="007C6FA2"/>
    <w:rsid w:val="007C7D7F"/>
    <w:rsid w:val="007D1648"/>
    <w:rsid w:val="007D2024"/>
    <w:rsid w:val="007D21B1"/>
    <w:rsid w:val="007D2603"/>
    <w:rsid w:val="007D2823"/>
    <w:rsid w:val="007D2942"/>
    <w:rsid w:val="007D2C6F"/>
    <w:rsid w:val="007D30D8"/>
    <w:rsid w:val="007D35DF"/>
    <w:rsid w:val="007D3CB0"/>
    <w:rsid w:val="007D42BF"/>
    <w:rsid w:val="007D4A19"/>
    <w:rsid w:val="007D4A9D"/>
    <w:rsid w:val="007D4EFA"/>
    <w:rsid w:val="007D4F93"/>
    <w:rsid w:val="007D5103"/>
    <w:rsid w:val="007D523B"/>
    <w:rsid w:val="007D52FC"/>
    <w:rsid w:val="007D54AC"/>
    <w:rsid w:val="007D596F"/>
    <w:rsid w:val="007D5E87"/>
    <w:rsid w:val="007D6BFD"/>
    <w:rsid w:val="007D6D7C"/>
    <w:rsid w:val="007D7352"/>
    <w:rsid w:val="007E02DE"/>
    <w:rsid w:val="007E1380"/>
    <w:rsid w:val="007E23CB"/>
    <w:rsid w:val="007E261F"/>
    <w:rsid w:val="007E2E3F"/>
    <w:rsid w:val="007E45A0"/>
    <w:rsid w:val="007E5290"/>
    <w:rsid w:val="007E5706"/>
    <w:rsid w:val="007E5983"/>
    <w:rsid w:val="007E5B88"/>
    <w:rsid w:val="007E66AE"/>
    <w:rsid w:val="007E69AD"/>
    <w:rsid w:val="007E69DB"/>
    <w:rsid w:val="007E6CF6"/>
    <w:rsid w:val="007E7121"/>
    <w:rsid w:val="007E728A"/>
    <w:rsid w:val="007E760F"/>
    <w:rsid w:val="007F0499"/>
    <w:rsid w:val="007F0B25"/>
    <w:rsid w:val="007F2FF0"/>
    <w:rsid w:val="007F309D"/>
    <w:rsid w:val="007F3A45"/>
    <w:rsid w:val="007F3C85"/>
    <w:rsid w:val="007F50FF"/>
    <w:rsid w:val="007F5248"/>
    <w:rsid w:val="007F5617"/>
    <w:rsid w:val="007F617C"/>
    <w:rsid w:val="007F6AF2"/>
    <w:rsid w:val="007F6D9F"/>
    <w:rsid w:val="007F79D2"/>
    <w:rsid w:val="007F7A5A"/>
    <w:rsid w:val="00800EB7"/>
    <w:rsid w:val="00802179"/>
    <w:rsid w:val="00802311"/>
    <w:rsid w:val="008035FF"/>
    <w:rsid w:val="00805570"/>
    <w:rsid w:val="008069D2"/>
    <w:rsid w:val="00806D26"/>
    <w:rsid w:val="00807038"/>
    <w:rsid w:val="0080792A"/>
    <w:rsid w:val="008106DE"/>
    <w:rsid w:val="00810B95"/>
    <w:rsid w:val="00810C7E"/>
    <w:rsid w:val="00812D69"/>
    <w:rsid w:val="0081331A"/>
    <w:rsid w:val="00813AAE"/>
    <w:rsid w:val="00814623"/>
    <w:rsid w:val="00815274"/>
    <w:rsid w:val="008157B4"/>
    <w:rsid w:val="00817288"/>
    <w:rsid w:val="0081736B"/>
    <w:rsid w:val="00817407"/>
    <w:rsid w:val="00817A09"/>
    <w:rsid w:val="00817B10"/>
    <w:rsid w:val="00817D40"/>
    <w:rsid w:val="008200B1"/>
    <w:rsid w:val="008213BE"/>
    <w:rsid w:val="00821407"/>
    <w:rsid w:val="008217BA"/>
    <w:rsid w:val="00821D28"/>
    <w:rsid w:val="00822D80"/>
    <w:rsid w:val="008237F1"/>
    <w:rsid w:val="008243B1"/>
    <w:rsid w:val="00824432"/>
    <w:rsid w:val="008248FB"/>
    <w:rsid w:val="008254FB"/>
    <w:rsid w:val="0082555B"/>
    <w:rsid w:val="00825BF9"/>
    <w:rsid w:val="0082625C"/>
    <w:rsid w:val="00826487"/>
    <w:rsid w:val="008270FF"/>
    <w:rsid w:val="00827146"/>
    <w:rsid w:val="00827357"/>
    <w:rsid w:val="00827B48"/>
    <w:rsid w:val="00830883"/>
    <w:rsid w:val="00832A8D"/>
    <w:rsid w:val="00834D65"/>
    <w:rsid w:val="00835D0D"/>
    <w:rsid w:val="008363A2"/>
    <w:rsid w:val="008366F8"/>
    <w:rsid w:val="0084190A"/>
    <w:rsid w:val="008429E4"/>
    <w:rsid w:val="00842ADA"/>
    <w:rsid w:val="00842FE1"/>
    <w:rsid w:val="008430F9"/>
    <w:rsid w:val="00843944"/>
    <w:rsid w:val="00843AD3"/>
    <w:rsid w:val="0084431A"/>
    <w:rsid w:val="00844F2C"/>
    <w:rsid w:val="00846AA9"/>
    <w:rsid w:val="008506A0"/>
    <w:rsid w:val="00850798"/>
    <w:rsid w:val="008507E3"/>
    <w:rsid w:val="00850A4A"/>
    <w:rsid w:val="00850C29"/>
    <w:rsid w:val="008513F1"/>
    <w:rsid w:val="00851415"/>
    <w:rsid w:val="00851841"/>
    <w:rsid w:val="00851AD6"/>
    <w:rsid w:val="00851DCA"/>
    <w:rsid w:val="0085268C"/>
    <w:rsid w:val="00852756"/>
    <w:rsid w:val="00853218"/>
    <w:rsid w:val="0085363E"/>
    <w:rsid w:val="00853767"/>
    <w:rsid w:val="00855321"/>
    <w:rsid w:val="00855AB6"/>
    <w:rsid w:val="00855CEC"/>
    <w:rsid w:val="00855D86"/>
    <w:rsid w:val="00855EAA"/>
    <w:rsid w:val="00856A7E"/>
    <w:rsid w:val="00857182"/>
    <w:rsid w:val="008618EE"/>
    <w:rsid w:val="00861B02"/>
    <w:rsid w:val="00862218"/>
    <w:rsid w:val="008625D9"/>
    <w:rsid w:val="00862CA0"/>
    <w:rsid w:val="0086342A"/>
    <w:rsid w:val="00863928"/>
    <w:rsid w:val="00863F7A"/>
    <w:rsid w:val="008645AA"/>
    <w:rsid w:val="00864740"/>
    <w:rsid w:val="008647A4"/>
    <w:rsid w:val="008648E2"/>
    <w:rsid w:val="00864EE3"/>
    <w:rsid w:val="00865D43"/>
    <w:rsid w:val="00866D09"/>
    <w:rsid w:val="0086769F"/>
    <w:rsid w:val="00867DE9"/>
    <w:rsid w:val="00870275"/>
    <w:rsid w:val="00870C9F"/>
    <w:rsid w:val="00872B8D"/>
    <w:rsid w:val="00872DC1"/>
    <w:rsid w:val="0087343C"/>
    <w:rsid w:val="008750F0"/>
    <w:rsid w:val="00875DE7"/>
    <w:rsid w:val="0087630C"/>
    <w:rsid w:val="0087664B"/>
    <w:rsid w:val="0087708A"/>
    <w:rsid w:val="00877BC1"/>
    <w:rsid w:val="008806ED"/>
    <w:rsid w:val="00880C1F"/>
    <w:rsid w:val="0088237A"/>
    <w:rsid w:val="0088251C"/>
    <w:rsid w:val="00883EE9"/>
    <w:rsid w:val="00884453"/>
    <w:rsid w:val="00885006"/>
    <w:rsid w:val="008856EE"/>
    <w:rsid w:val="00885D5D"/>
    <w:rsid w:val="00886269"/>
    <w:rsid w:val="00886DA3"/>
    <w:rsid w:val="00887064"/>
    <w:rsid w:val="00887E79"/>
    <w:rsid w:val="0089010F"/>
    <w:rsid w:val="00890177"/>
    <w:rsid w:val="008916D7"/>
    <w:rsid w:val="00891DCE"/>
    <w:rsid w:val="00892A31"/>
    <w:rsid w:val="008931EA"/>
    <w:rsid w:val="0089334B"/>
    <w:rsid w:val="00893535"/>
    <w:rsid w:val="0089491A"/>
    <w:rsid w:val="00894B84"/>
    <w:rsid w:val="00895609"/>
    <w:rsid w:val="008956BE"/>
    <w:rsid w:val="008957F2"/>
    <w:rsid w:val="00895B40"/>
    <w:rsid w:val="008969D8"/>
    <w:rsid w:val="008A1791"/>
    <w:rsid w:val="008A298A"/>
    <w:rsid w:val="008A2AC9"/>
    <w:rsid w:val="008A3158"/>
    <w:rsid w:val="008A343D"/>
    <w:rsid w:val="008A365B"/>
    <w:rsid w:val="008A36AE"/>
    <w:rsid w:val="008A36D2"/>
    <w:rsid w:val="008A3A4E"/>
    <w:rsid w:val="008A3C50"/>
    <w:rsid w:val="008A453F"/>
    <w:rsid w:val="008A4618"/>
    <w:rsid w:val="008A51D3"/>
    <w:rsid w:val="008A527C"/>
    <w:rsid w:val="008A53F5"/>
    <w:rsid w:val="008A5BDF"/>
    <w:rsid w:val="008A5CE8"/>
    <w:rsid w:val="008A5DEA"/>
    <w:rsid w:val="008A6BFA"/>
    <w:rsid w:val="008A776A"/>
    <w:rsid w:val="008B0291"/>
    <w:rsid w:val="008B050C"/>
    <w:rsid w:val="008B0591"/>
    <w:rsid w:val="008B0611"/>
    <w:rsid w:val="008B07E9"/>
    <w:rsid w:val="008B0CF0"/>
    <w:rsid w:val="008B17A1"/>
    <w:rsid w:val="008B184E"/>
    <w:rsid w:val="008B19EF"/>
    <w:rsid w:val="008B1A84"/>
    <w:rsid w:val="008B1BD1"/>
    <w:rsid w:val="008B2ACD"/>
    <w:rsid w:val="008B33F3"/>
    <w:rsid w:val="008B3C2A"/>
    <w:rsid w:val="008B421E"/>
    <w:rsid w:val="008B5265"/>
    <w:rsid w:val="008B558E"/>
    <w:rsid w:val="008B5A74"/>
    <w:rsid w:val="008B65CD"/>
    <w:rsid w:val="008B6DA4"/>
    <w:rsid w:val="008B75BE"/>
    <w:rsid w:val="008B7771"/>
    <w:rsid w:val="008B7893"/>
    <w:rsid w:val="008B7F05"/>
    <w:rsid w:val="008C0411"/>
    <w:rsid w:val="008C093F"/>
    <w:rsid w:val="008C0F84"/>
    <w:rsid w:val="008C1866"/>
    <w:rsid w:val="008C1DBA"/>
    <w:rsid w:val="008C2384"/>
    <w:rsid w:val="008C32DE"/>
    <w:rsid w:val="008C3593"/>
    <w:rsid w:val="008C45A7"/>
    <w:rsid w:val="008C4A17"/>
    <w:rsid w:val="008C4D47"/>
    <w:rsid w:val="008C4F82"/>
    <w:rsid w:val="008C5E01"/>
    <w:rsid w:val="008C69AD"/>
    <w:rsid w:val="008C7B43"/>
    <w:rsid w:val="008C7E1F"/>
    <w:rsid w:val="008D00CD"/>
    <w:rsid w:val="008D0237"/>
    <w:rsid w:val="008D0B84"/>
    <w:rsid w:val="008D1BD1"/>
    <w:rsid w:val="008D3471"/>
    <w:rsid w:val="008D40DA"/>
    <w:rsid w:val="008D49DF"/>
    <w:rsid w:val="008D4AFA"/>
    <w:rsid w:val="008D4EF6"/>
    <w:rsid w:val="008D604A"/>
    <w:rsid w:val="008D6109"/>
    <w:rsid w:val="008D63C9"/>
    <w:rsid w:val="008D6D56"/>
    <w:rsid w:val="008D758A"/>
    <w:rsid w:val="008E1101"/>
    <w:rsid w:val="008E13BE"/>
    <w:rsid w:val="008E1791"/>
    <w:rsid w:val="008E1CB9"/>
    <w:rsid w:val="008E256A"/>
    <w:rsid w:val="008E2597"/>
    <w:rsid w:val="008E2825"/>
    <w:rsid w:val="008E454A"/>
    <w:rsid w:val="008E57B2"/>
    <w:rsid w:val="008E59CD"/>
    <w:rsid w:val="008E706A"/>
    <w:rsid w:val="008E768E"/>
    <w:rsid w:val="008F03E4"/>
    <w:rsid w:val="008F09E3"/>
    <w:rsid w:val="008F11B3"/>
    <w:rsid w:val="008F1884"/>
    <w:rsid w:val="008F2275"/>
    <w:rsid w:val="008F235B"/>
    <w:rsid w:val="008F2515"/>
    <w:rsid w:val="008F2B45"/>
    <w:rsid w:val="008F2B58"/>
    <w:rsid w:val="008F32EF"/>
    <w:rsid w:val="008F33B7"/>
    <w:rsid w:val="008F33DF"/>
    <w:rsid w:val="008F37BC"/>
    <w:rsid w:val="008F3DBD"/>
    <w:rsid w:val="008F4707"/>
    <w:rsid w:val="008F47D1"/>
    <w:rsid w:val="008F6421"/>
    <w:rsid w:val="008F67B6"/>
    <w:rsid w:val="008F67D5"/>
    <w:rsid w:val="008F6FB0"/>
    <w:rsid w:val="009004E6"/>
    <w:rsid w:val="009011DE"/>
    <w:rsid w:val="00901DD1"/>
    <w:rsid w:val="00902707"/>
    <w:rsid w:val="009027B8"/>
    <w:rsid w:val="0090356E"/>
    <w:rsid w:val="0090460E"/>
    <w:rsid w:val="00904D2F"/>
    <w:rsid w:val="0090511D"/>
    <w:rsid w:val="0090556D"/>
    <w:rsid w:val="00905C1A"/>
    <w:rsid w:val="009060E1"/>
    <w:rsid w:val="0090628B"/>
    <w:rsid w:val="0090657E"/>
    <w:rsid w:val="00906E90"/>
    <w:rsid w:val="00906EBE"/>
    <w:rsid w:val="009071B9"/>
    <w:rsid w:val="009072E4"/>
    <w:rsid w:val="00907ACC"/>
    <w:rsid w:val="00907D71"/>
    <w:rsid w:val="00907DBB"/>
    <w:rsid w:val="00911CD9"/>
    <w:rsid w:val="00912533"/>
    <w:rsid w:val="0091383B"/>
    <w:rsid w:val="00913985"/>
    <w:rsid w:val="00914B22"/>
    <w:rsid w:val="009152A8"/>
    <w:rsid w:val="00916087"/>
    <w:rsid w:val="0091727F"/>
    <w:rsid w:val="00920087"/>
    <w:rsid w:val="009202CF"/>
    <w:rsid w:val="009204E1"/>
    <w:rsid w:val="0092218E"/>
    <w:rsid w:val="009224C0"/>
    <w:rsid w:val="0092384E"/>
    <w:rsid w:val="00924A67"/>
    <w:rsid w:val="00924D32"/>
    <w:rsid w:val="00925212"/>
    <w:rsid w:val="0092550D"/>
    <w:rsid w:val="00925AE9"/>
    <w:rsid w:val="00925B9B"/>
    <w:rsid w:val="00925D8C"/>
    <w:rsid w:val="009261D5"/>
    <w:rsid w:val="00926376"/>
    <w:rsid w:val="00926BA1"/>
    <w:rsid w:val="00930168"/>
    <w:rsid w:val="00930402"/>
    <w:rsid w:val="009306A4"/>
    <w:rsid w:val="0093103E"/>
    <w:rsid w:val="00931B5B"/>
    <w:rsid w:val="00931C8B"/>
    <w:rsid w:val="00931F62"/>
    <w:rsid w:val="009327B0"/>
    <w:rsid w:val="00932D75"/>
    <w:rsid w:val="00933677"/>
    <w:rsid w:val="00933E62"/>
    <w:rsid w:val="00934499"/>
    <w:rsid w:val="00934857"/>
    <w:rsid w:val="00935E8B"/>
    <w:rsid w:val="009371DA"/>
    <w:rsid w:val="0093772B"/>
    <w:rsid w:val="009378BF"/>
    <w:rsid w:val="00940936"/>
    <w:rsid w:val="0094130C"/>
    <w:rsid w:val="009432E0"/>
    <w:rsid w:val="00943901"/>
    <w:rsid w:val="00944221"/>
    <w:rsid w:val="009443C8"/>
    <w:rsid w:val="00944BCC"/>
    <w:rsid w:val="009459B7"/>
    <w:rsid w:val="00945C94"/>
    <w:rsid w:val="00947900"/>
    <w:rsid w:val="00947D02"/>
    <w:rsid w:val="00950400"/>
    <w:rsid w:val="00950BC6"/>
    <w:rsid w:val="00952542"/>
    <w:rsid w:val="00952EEC"/>
    <w:rsid w:val="009530E2"/>
    <w:rsid w:val="009530FF"/>
    <w:rsid w:val="00953F61"/>
    <w:rsid w:val="009548C0"/>
    <w:rsid w:val="00955A46"/>
    <w:rsid w:val="00955BCB"/>
    <w:rsid w:val="00955C26"/>
    <w:rsid w:val="00955D98"/>
    <w:rsid w:val="00955E3B"/>
    <w:rsid w:val="0095744D"/>
    <w:rsid w:val="00961234"/>
    <w:rsid w:val="00961421"/>
    <w:rsid w:val="009614A0"/>
    <w:rsid w:val="009625C6"/>
    <w:rsid w:val="00962B24"/>
    <w:rsid w:val="00963AAE"/>
    <w:rsid w:val="00964212"/>
    <w:rsid w:val="009645F7"/>
    <w:rsid w:val="00964794"/>
    <w:rsid w:val="00964ECA"/>
    <w:rsid w:val="00964F38"/>
    <w:rsid w:val="00964F52"/>
    <w:rsid w:val="0096588F"/>
    <w:rsid w:val="00965A2F"/>
    <w:rsid w:val="009660EF"/>
    <w:rsid w:val="00966336"/>
    <w:rsid w:val="009703DC"/>
    <w:rsid w:val="00970D03"/>
    <w:rsid w:val="00970F77"/>
    <w:rsid w:val="00971BB6"/>
    <w:rsid w:val="00972626"/>
    <w:rsid w:val="00972A55"/>
    <w:rsid w:val="009745E1"/>
    <w:rsid w:val="0097534A"/>
    <w:rsid w:val="009759DB"/>
    <w:rsid w:val="00976C80"/>
    <w:rsid w:val="0097725D"/>
    <w:rsid w:val="00977B99"/>
    <w:rsid w:val="0098064C"/>
    <w:rsid w:val="009814E7"/>
    <w:rsid w:val="00981A5D"/>
    <w:rsid w:val="0098282D"/>
    <w:rsid w:val="00982848"/>
    <w:rsid w:val="0098292B"/>
    <w:rsid w:val="00983A6B"/>
    <w:rsid w:val="00983CA8"/>
    <w:rsid w:val="00984597"/>
    <w:rsid w:val="0098494E"/>
    <w:rsid w:val="00984ABC"/>
    <w:rsid w:val="00984DAD"/>
    <w:rsid w:val="00986975"/>
    <w:rsid w:val="00986FBA"/>
    <w:rsid w:val="00987223"/>
    <w:rsid w:val="00987E95"/>
    <w:rsid w:val="009903EC"/>
    <w:rsid w:val="00991C75"/>
    <w:rsid w:val="009922EF"/>
    <w:rsid w:val="00993D5F"/>
    <w:rsid w:val="00994F63"/>
    <w:rsid w:val="009952A1"/>
    <w:rsid w:val="00996801"/>
    <w:rsid w:val="00997654"/>
    <w:rsid w:val="00997B93"/>
    <w:rsid w:val="00997C34"/>
    <w:rsid w:val="009A0474"/>
    <w:rsid w:val="009A0DB9"/>
    <w:rsid w:val="009A0F28"/>
    <w:rsid w:val="009A1EF3"/>
    <w:rsid w:val="009A24C1"/>
    <w:rsid w:val="009A2842"/>
    <w:rsid w:val="009A29ED"/>
    <w:rsid w:val="009A2F12"/>
    <w:rsid w:val="009A305F"/>
    <w:rsid w:val="009A308F"/>
    <w:rsid w:val="009A43D9"/>
    <w:rsid w:val="009A45D8"/>
    <w:rsid w:val="009A4776"/>
    <w:rsid w:val="009A48A3"/>
    <w:rsid w:val="009A4C33"/>
    <w:rsid w:val="009A4EF8"/>
    <w:rsid w:val="009A5128"/>
    <w:rsid w:val="009A52C5"/>
    <w:rsid w:val="009A5587"/>
    <w:rsid w:val="009A56C3"/>
    <w:rsid w:val="009A65BA"/>
    <w:rsid w:val="009A6805"/>
    <w:rsid w:val="009A70A1"/>
    <w:rsid w:val="009A720F"/>
    <w:rsid w:val="009B02E4"/>
    <w:rsid w:val="009B1157"/>
    <w:rsid w:val="009B1430"/>
    <w:rsid w:val="009B1E5C"/>
    <w:rsid w:val="009B1EC9"/>
    <w:rsid w:val="009B292E"/>
    <w:rsid w:val="009B2C35"/>
    <w:rsid w:val="009B2D0A"/>
    <w:rsid w:val="009B2E18"/>
    <w:rsid w:val="009B34CE"/>
    <w:rsid w:val="009B3CE1"/>
    <w:rsid w:val="009B524C"/>
    <w:rsid w:val="009B5B94"/>
    <w:rsid w:val="009B5F8C"/>
    <w:rsid w:val="009B60A2"/>
    <w:rsid w:val="009B65AC"/>
    <w:rsid w:val="009B687D"/>
    <w:rsid w:val="009B6A0B"/>
    <w:rsid w:val="009B72B3"/>
    <w:rsid w:val="009B746F"/>
    <w:rsid w:val="009B7A07"/>
    <w:rsid w:val="009C042B"/>
    <w:rsid w:val="009C09C4"/>
    <w:rsid w:val="009C120D"/>
    <w:rsid w:val="009C146D"/>
    <w:rsid w:val="009C1A83"/>
    <w:rsid w:val="009C1CC7"/>
    <w:rsid w:val="009C217F"/>
    <w:rsid w:val="009C436F"/>
    <w:rsid w:val="009C4BD2"/>
    <w:rsid w:val="009C564F"/>
    <w:rsid w:val="009C63ED"/>
    <w:rsid w:val="009C6940"/>
    <w:rsid w:val="009D0355"/>
    <w:rsid w:val="009D0554"/>
    <w:rsid w:val="009D1D40"/>
    <w:rsid w:val="009D2054"/>
    <w:rsid w:val="009D278B"/>
    <w:rsid w:val="009D29CD"/>
    <w:rsid w:val="009D3AAD"/>
    <w:rsid w:val="009D3F8D"/>
    <w:rsid w:val="009D41BA"/>
    <w:rsid w:val="009D53AA"/>
    <w:rsid w:val="009D549B"/>
    <w:rsid w:val="009D6487"/>
    <w:rsid w:val="009D650C"/>
    <w:rsid w:val="009D6F06"/>
    <w:rsid w:val="009D730D"/>
    <w:rsid w:val="009D7C5A"/>
    <w:rsid w:val="009E13B6"/>
    <w:rsid w:val="009E2232"/>
    <w:rsid w:val="009E2340"/>
    <w:rsid w:val="009E23AB"/>
    <w:rsid w:val="009E29F3"/>
    <w:rsid w:val="009E2B12"/>
    <w:rsid w:val="009E3ADD"/>
    <w:rsid w:val="009E3ED5"/>
    <w:rsid w:val="009E3F6D"/>
    <w:rsid w:val="009E4F59"/>
    <w:rsid w:val="009E56FC"/>
    <w:rsid w:val="009E5AAB"/>
    <w:rsid w:val="009E6E7F"/>
    <w:rsid w:val="009E6FE5"/>
    <w:rsid w:val="009E7725"/>
    <w:rsid w:val="009E7A9D"/>
    <w:rsid w:val="009F0907"/>
    <w:rsid w:val="009F1C1F"/>
    <w:rsid w:val="009F20B5"/>
    <w:rsid w:val="009F24A3"/>
    <w:rsid w:val="009F250D"/>
    <w:rsid w:val="009F268B"/>
    <w:rsid w:val="009F3E42"/>
    <w:rsid w:val="009F46CC"/>
    <w:rsid w:val="009F496F"/>
    <w:rsid w:val="009F5C99"/>
    <w:rsid w:val="009F61CE"/>
    <w:rsid w:val="009F6570"/>
    <w:rsid w:val="009F6BD8"/>
    <w:rsid w:val="009F7263"/>
    <w:rsid w:val="009F7C32"/>
    <w:rsid w:val="009F7E89"/>
    <w:rsid w:val="00A024C7"/>
    <w:rsid w:val="00A0278A"/>
    <w:rsid w:val="00A028C6"/>
    <w:rsid w:val="00A02D9E"/>
    <w:rsid w:val="00A02FF9"/>
    <w:rsid w:val="00A030C2"/>
    <w:rsid w:val="00A0507F"/>
    <w:rsid w:val="00A060AF"/>
    <w:rsid w:val="00A068E4"/>
    <w:rsid w:val="00A10B9E"/>
    <w:rsid w:val="00A10EDF"/>
    <w:rsid w:val="00A11D2B"/>
    <w:rsid w:val="00A124D5"/>
    <w:rsid w:val="00A12B36"/>
    <w:rsid w:val="00A14501"/>
    <w:rsid w:val="00A146CA"/>
    <w:rsid w:val="00A14A3A"/>
    <w:rsid w:val="00A14CC2"/>
    <w:rsid w:val="00A15F05"/>
    <w:rsid w:val="00A1622C"/>
    <w:rsid w:val="00A16A88"/>
    <w:rsid w:val="00A16C2F"/>
    <w:rsid w:val="00A170B1"/>
    <w:rsid w:val="00A17E26"/>
    <w:rsid w:val="00A20C4F"/>
    <w:rsid w:val="00A20D79"/>
    <w:rsid w:val="00A219D5"/>
    <w:rsid w:val="00A21A20"/>
    <w:rsid w:val="00A220DA"/>
    <w:rsid w:val="00A22405"/>
    <w:rsid w:val="00A244C2"/>
    <w:rsid w:val="00A24BCC"/>
    <w:rsid w:val="00A24FF5"/>
    <w:rsid w:val="00A253B4"/>
    <w:rsid w:val="00A25893"/>
    <w:rsid w:val="00A2729B"/>
    <w:rsid w:val="00A27398"/>
    <w:rsid w:val="00A275B2"/>
    <w:rsid w:val="00A276DC"/>
    <w:rsid w:val="00A27FEC"/>
    <w:rsid w:val="00A30030"/>
    <w:rsid w:val="00A31F19"/>
    <w:rsid w:val="00A32383"/>
    <w:rsid w:val="00A3297C"/>
    <w:rsid w:val="00A32F71"/>
    <w:rsid w:val="00A33005"/>
    <w:rsid w:val="00A34AB2"/>
    <w:rsid w:val="00A35389"/>
    <w:rsid w:val="00A354E6"/>
    <w:rsid w:val="00A36AA3"/>
    <w:rsid w:val="00A36B0A"/>
    <w:rsid w:val="00A36C13"/>
    <w:rsid w:val="00A36CF0"/>
    <w:rsid w:val="00A40256"/>
    <w:rsid w:val="00A404BD"/>
    <w:rsid w:val="00A40C3F"/>
    <w:rsid w:val="00A4243F"/>
    <w:rsid w:val="00A42CBE"/>
    <w:rsid w:val="00A42F53"/>
    <w:rsid w:val="00A44BB4"/>
    <w:rsid w:val="00A4509F"/>
    <w:rsid w:val="00A45B71"/>
    <w:rsid w:val="00A45E26"/>
    <w:rsid w:val="00A46764"/>
    <w:rsid w:val="00A5039C"/>
    <w:rsid w:val="00A505EE"/>
    <w:rsid w:val="00A519B6"/>
    <w:rsid w:val="00A5240B"/>
    <w:rsid w:val="00A52690"/>
    <w:rsid w:val="00A526AC"/>
    <w:rsid w:val="00A54486"/>
    <w:rsid w:val="00A546CE"/>
    <w:rsid w:val="00A5524A"/>
    <w:rsid w:val="00A55586"/>
    <w:rsid w:val="00A55A47"/>
    <w:rsid w:val="00A57977"/>
    <w:rsid w:val="00A5799F"/>
    <w:rsid w:val="00A57C19"/>
    <w:rsid w:val="00A627EB"/>
    <w:rsid w:val="00A63EBD"/>
    <w:rsid w:val="00A6413A"/>
    <w:rsid w:val="00A6422B"/>
    <w:rsid w:val="00A64646"/>
    <w:rsid w:val="00A64853"/>
    <w:rsid w:val="00A66A3B"/>
    <w:rsid w:val="00A66BBF"/>
    <w:rsid w:val="00A66E85"/>
    <w:rsid w:val="00A67268"/>
    <w:rsid w:val="00A6744A"/>
    <w:rsid w:val="00A73818"/>
    <w:rsid w:val="00A73AA1"/>
    <w:rsid w:val="00A74081"/>
    <w:rsid w:val="00A74266"/>
    <w:rsid w:val="00A751C6"/>
    <w:rsid w:val="00A75392"/>
    <w:rsid w:val="00A758B8"/>
    <w:rsid w:val="00A774A9"/>
    <w:rsid w:val="00A7787A"/>
    <w:rsid w:val="00A77B63"/>
    <w:rsid w:val="00A77F66"/>
    <w:rsid w:val="00A8012E"/>
    <w:rsid w:val="00A80306"/>
    <w:rsid w:val="00A803AD"/>
    <w:rsid w:val="00A80F4E"/>
    <w:rsid w:val="00A80FAD"/>
    <w:rsid w:val="00A828DB"/>
    <w:rsid w:val="00A82F24"/>
    <w:rsid w:val="00A82FC3"/>
    <w:rsid w:val="00A83146"/>
    <w:rsid w:val="00A83CDE"/>
    <w:rsid w:val="00A851E8"/>
    <w:rsid w:val="00A85431"/>
    <w:rsid w:val="00A85F9D"/>
    <w:rsid w:val="00A86AC4"/>
    <w:rsid w:val="00A87419"/>
    <w:rsid w:val="00A90ABC"/>
    <w:rsid w:val="00A92588"/>
    <w:rsid w:val="00A926DB"/>
    <w:rsid w:val="00A9289E"/>
    <w:rsid w:val="00A92B92"/>
    <w:rsid w:val="00A92BE3"/>
    <w:rsid w:val="00A93944"/>
    <w:rsid w:val="00A9445C"/>
    <w:rsid w:val="00A95569"/>
    <w:rsid w:val="00A956E2"/>
    <w:rsid w:val="00A958D5"/>
    <w:rsid w:val="00A95D8B"/>
    <w:rsid w:val="00A962CB"/>
    <w:rsid w:val="00A96484"/>
    <w:rsid w:val="00A96731"/>
    <w:rsid w:val="00A97EE5"/>
    <w:rsid w:val="00A97FBB"/>
    <w:rsid w:val="00AA02E7"/>
    <w:rsid w:val="00AA04DD"/>
    <w:rsid w:val="00AA05BE"/>
    <w:rsid w:val="00AA1360"/>
    <w:rsid w:val="00AA14DE"/>
    <w:rsid w:val="00AA22B5"/>
    <w:rsid w:val="00AA3380"/>
    <w:rsid w:val="00AA41D2"/>
    <w:rsid w:val="00AA4617"/>
    <w:rsid w:val="00AA5141"/>
    <w:rsid w:val="00AA57B2"/>
    <w:rsid w:val="00AA5804"/>
    <w:rsid w:val="00AA5B3B"/>
    <w:rsid w:val="00AA5E5D"/>
    <w:rsid w:val="00AA65A6"/>
    <w:rsid w:val="00AA721E"/>
    <w:rsid w:val="00AB041A"/>
    <w:rsid w:val="00AB0512"/>
    <w:rsid w:val="00AB113D"/>
    <w:rsid w:val="00AB1378"/>
    <w:rsid w:val="00AB1420"/>
    <w:rsid w:val="00AB2AC3"/>
    <w:rsid w:val="00AB2ED7"/>
    <w:rsid w:val="00AB3CEA"/>
    <w:rsid w:val="00AB5AD7"/>
    <w:rsid w:val="00AB6547"/>
    <w:rsid w:val="00AB6F58"/>
    <w:rsid w:val="00AC067E"/>
    <w:rsid w:val="00AC0A29"/>
    <w:rsid w:val="00AC1402"/>
    <w:rsid w:val="00AC1ECA"/>
    <w:rsid w:val="00AC290B"/>
    <w:rsid w:val="00AC4976"/>
    <w:rsid w:val="00AC6343"/>
    <w:rsid w:val="00AC7207"/>
    <w:rsid w:val="00AC7615"/>
    <w:rsid w:val="00AC7C72"/>
    <w:rsid w:val="00AC7EE5"/>
    <w:rsid w:val="00AC7FD3"/>
    <w:rsid w:val="00AD054B"/>
    <w:rsid w:val="00AD0AD6"/>
    <w:rsid w:val="00AD13F8"/>
    <w:rsid w:val="00AD1FA2"/>
    <w:rsid w:val="00AD33C7"/>
    <w:rsid w:val="00AD4846"/>
    <w:rsid w:val="00AD4D05"/>
    <w:rsid w:val="00AD5B40"/>
    <w:rsid w:val="00AD5E33"/>
    <w:rsid w:val="00AD6523"/>
    <w:rsid w:val="00AE10BD"/>
    <w:rsid w:val="00AE1579"/>
    <w:rsid w:val="00AE2334"/>
    <w:rsid w:val="00AE2456"/>
    <w:rsid w:val="00AE3210"/>
    <w:rsid w:val="00AE436F"/>
    <w:rsid w:val="00AE5E18"/>
    <w:rsid w:val="00AE619E"/>
    <w:rsid w:val="00AE6CCD"/>
    <w:rsid w:val="00AE6E7D"/>
    <w:rsid w:val="00AE6F3B"/>
    <w:rsid w:val="00AE7E66"/>
    <w:rsid w:val="00AF067E"/>
    <w:rsid w:val="00AF10D8"/>
    <w:rsid w:val="00AF1F0D"/>
    <w:rsid w:val="00AF26CC"/>
    <w:rsid w:val="00AF27DD"/>
    <w:rsid w:val="00AF3C51"/>
    <w:rsid w:val="00AF40CE"/>
    <w:rsid w:val="00AF40F6"/>
    <w:rsid w:val="00AF472B"/>
    <w:rsid w:val="00AF4DD7"/>
    <w:rsid w:val="00AF5325"/>
    <w:rsid w:val="00AF54A8"/>
    <w:rsid w:val="00AF576B"/>
    <w:rsid w:val="00AF57E3"/>
    <w:rsid w:val="00AF64D5"/>
    <w:rsid w:val="00AF6FED"/>
    <w:rsid w:val="00B0015A"/>
    <w:rsid w:val="00B0136F"/>
    <w:rsid w:val="00B01BF7"/>
    <w:rsid w:val="00B02254"/>
    <w:rsid w:val="00B03174"/>
    <w:rsid w:val="00B04C6D"/>
    <w:rsid w:val="00B04DCA"/>
    <w:rsid w:val="00B050E7"/>
    <w:rsid w:val="00B05745"/>
    <w:rsid w:val="00B057B6"/>
    <w:rsid w:val="00B06083"/>
    <w:rsid w:val="00B063EA"/>
    <w:rsid w:val="00B0750E"/>
    <w:rsid w:val="00B10326"/>
    <w:rsid w:val="00B106E9"/>
    <w:rsid w:val="00B10BAD"/>
    <w:rsid w:val="00B112A4"/>
    <w:rsid w:val="00B118AB"/>
    <w:rsid w:val="00B119EF"/>
    <w:rsid w:val="00B11CCB"/>
    <w:rsid w:val="00B122CC"/>
    <w:rsid w:val="00B1243A"/>
    <w:rsid w:val="00B14C7B"/>
    <w:rsid w:val="00B14DC9"/>
    <w:rsid w:val="00B150D2"/>
    <w:rsid w:val="00B15829"/>
    <w:rsid w:val="00B15F88"/>
    <w:rsid w:val="00B1694F"/>
    <w:rsid w:val="00B16E59"/>
    <w:rsid w:val="00B1743C"/>
    <w:rsid w:val="00B17849"/>
    <w:rsid w:val="00B17F9B"/>
    <w:rsid w:val="00B2187C"/>
    <w:rsid w:val="00B22853"/>
    <w:rsid w:val="00B22E4B"/>
    <w:rsid w:val="00B23834"/>
    <w:rsid w:val="00B2484F"/>
    <w:rsid w:val="00B24A46"/>
    <w:rsid w:val="00B24D38"/>
    <w:rsid w:val="00B26055"/>
    <w:rsid w:val="00B26686"/>
    <w:rsid w:val="00B27531"/>
    <w:rsid w:val="00B27F20"/>
    <w:rsid w:val="00B3099E"/>
    <w:rsid w:val="00B30B3D"/>
    <w:rsid w:val="00B312A1"/>
    <w:rsid w:val="00B32027"/>
    <w:rsid w:val="00B323DF"/>
    <w:rsid w:val="00B328E2"/>
    <w:rsid w:val="00B32D93"/>
    <w:rsid w:val="00B33CAD"/>
    <w:rsid w:val="00B34AC2"/>
    <w:rsid w:val="00B354A2"/>
    <w:rsid w:val="00B355DC"/>
    <w:rsid w:val="00B3568B"/>
    <w:rsid w:val="00B3610A"/>
    <w:rsid w:val="00B365D7"/>
    <w:rsid w:val="00B36AB0"/>
    <w:rsid w:val="00B36C07"/>
    <w:rsid w:val="00B36D11"/>
    <w:rsid w:val="00B36D8B"/>
    <w:rsid w:val="00B40542"/>
    <w:rsid w:val="00B407FD"/>
    <w:rsid w:val="00B418F5"/>
    <w:rsid w:val="00B41D8F"/>
    <w:rsid w:val="00B41FEF"/>
    <w:rsid w:val="00B421E6"/>
    <w:rsid w:val="00B4281D"/>
    <w:rsid w:val="00B43145"/>
    <w:rsid w:val="00B43163"/>
    <w:rsid w:val="00B43A21"/>
    <w:rsid w:val="00B43A65"/>
    <w:rsid w:val="00B44F00"/>
    <w:rsid w:val="00B44FF4"/>
    <w:rsid w:val="00B4565F"/>
    <w:rsid w:val="00B476E2"/>
    <w:rsid w:val="00B47BBE"/>
    <w:rsid w:val="00B502F2"/>
    <w:rsid w:val="00B51900"/>
    <w:rsid w:val="00B51FBE"/>
    <w:rsid w:val="00B520A7"/>
    <w:rsid w:val="00B52636"/>
    <w:rsid w:val="00B52E71"/>
    <w:rsid w:val="00B5429D"/>
    <w:rsid w:val="00B54A5A"/>
    <w:rsid w:val="00B54AC7"/>
    <w:rsid w:val="00B5512E"/>
    <w:rsid w:val="00B556FF"/>
    <w:rsid w:val="00B558E9"/>
    <w:rsid w:val="00B5643A"/>
    <w:rsid w:val="00B567FD"/>
    <w:rsid w:val="00B56AEF"/>
    <w:rsid w:val="00B57213"/>
    <w:rsid w:val="00B5738F"/>
    <w:rsid w:val="00B60F02"/>
    <w:rsid w:val="00B611B6"/>
    <w:rsid w:val="00B611ED"/>
    <w:rsid w:val="00B6199C"/>
    <w:rsid w:val="00B61B29"/>
    <w:rsid w:val="00B61EFE"/>
    <w:rsid w:val="00B62734"/>
    <w:rsid w:val="00B62AFF"/>
    <w:rsid w:val="00B62BF2"/>
    <w:rsid w:val="00B64D2A"/>
    <w:rsid w:val="00B650F6"/>
    <w:rsid w:val="00B651F2"/>
    <w:rsid w:val="00B65619"/>
    <w:rsid w:val="00B662C4"/>
    <w:rsid w:val="00B668B1"/>
    <w:rsid w:val="00B66EA6"/>
    <w:rsid w:val="00B671B2"/>
    <w:rsid w:val="00B67D1D"/>
    <w:rsid w:val="00B7004D"/>
    <w:rsid w:val="00B70D4F"/>
    <w:rsid w:val="00B711E1"/>
    <w:rsid w:val="00B733D1"/>
    <w:rsid w:val="00B735BC"/>
    <w:rsid w:val="00B736B1"/>
    <w:rsid w:val="00B740F2"/>
    <w:rsid w:val="00B74815"/>
    <w:rsid w:val="00B754BE"/>
    <w:rsid w:val="00B75C80"/>
    <w:rsid w:val="00B75FF5"/>
    <w:rsid w:val="00B766E4"/>
    <w:rsid w:val="00B76DCF"/>
    <w:rsid w:val="00B77C1D"/>
    <w:rsid w:val="00B80B6F"/>
    <w:rsid w:val="00B816DE"/>
    <w:rsid w:val="00B83BB1"/>
    <w:rsid w:val="00B8445E"/>
    <w:rsid w:val="00B845CD"/>
    <w:rsid w:val="00B85146"/>
    <w:rsid w:val="00B8591E"/>
    <w:rsid w:val="00B85D04"/>
    <w:rsid w:val="00B869E9"/>
    <w:rsid w:val="00B86DDA"/>
    <w:rsid w:val="00B8731A"/>
    <w:rsid w:val="00B876FD"/>
    <w:rsid w:val="00B87E75"/>
    <w:rsid w:val="00B9085A"/>
    <w:rsid w:val="00B9129A"/>
    <w:rsid w:val="00B919BD"/>
    <w:rsid w:val="00B91E55"/>
    <w:rsid w:val="00B921FF"/>
    <w:rsid w:val="00B92361"/>
    <w:rsid w:val="00B92DD1"/>
    <w:rsid w:val="00B932EE"/>
    <w:rsid w:val="00B9402D"/>
    <w:rsid w:val="00B94FC1"/>
    <w:rsid w:val="00B950A0"/>
    <w:rsid w:val="00B952BE"/>
    <w:rsid w:val="00B9561C"/>
    <w:rsid w:val="00B95C1E"/>
    <w:rsid w:val="00B96E62"/>
    <w:rsid w:val="00B978C7"/>
    <w:rsid w:val="00B97F69"/>
    <w:rsid w:val="00BA03D9"/>
    <w:rsid w:val="00BA092A"/>
    <w:rsid w:val="00BA1567"/>
    <w:rsid w:val="00BA2C17"/>
    <w:rsid w:val="00BA2E7F"/>
    <w:rsid w:val="00BA48C6"/>
    <w:rsid w:val="00BA49D5"/>
    <w:rsid w:val="00BA4D10"/>
    <w:rsid w:val="00BA5DED"/>
    <w:rsid w:val="00BA6FAD"/>
    <w:rsid w:val="00BA7321"/>
    <w:rsid w:val="00BA75C9"/>
    <w:rsid w:val="00BB022E"/>
    <w:rsid w:val="00BB0FDC"/>
    <w:rsid w:val="00BB190A"/>
    <w:rsid w:val="00BB259E"/>
    <w:rsid w:val="00BB32D0"/>
    <w:rsid w:val="00BB3C1A"/>
    <w:rsid w:val="00BB3ED7"/>
    <w:rsid w:val="00BB3FCD"/>
    <w:rsid w:val="00BB41D3"/>
    <w:rsid w:val="00BB4641"/>
    <w:rsid w:val="00BB5225"/>
    <w:rsid w:val="00BB57CC"/>
    <w:rsid w:val="00BB65A6"/>
    <w:rsid w:val="00BB698A"/>
    <w:rsid w:val="00BB6A12"/>
    <w:rsid w:val="00BB6A53"/>
    <w:rsid w:val="00BB76D2"/>
    <w:rsid w:val="00BB7731"/>
    <w:rsid w:val="00BB7EDB"/>
    <w:rsid w:val="00BC08F5"/>
    <w:rsid w:val="00BC1B34"/>
    <w:rsid w:val="00BC2C73"/>
    <w:rsid w:val="00BC2D5E"/>
    <w:rsid w:val="00BC30E7"/>
    <w:rsid w:val="00BC3143"/>
    <w:rsid w:val="00BC34CB"/>
    <w:rsid w:val="00BC40B3"/>
    <w:rsid w:val="00BC4203"/>
    <w:rsid w:val="00BC4BA0"/>
    <w:rsid w:val="00BC533A"/>
    <w:rsid w:val="00BC5BFF"/>
    <w:rsid w:val="00BC5C92"/>
    <w:rsid w:val="00BC65AF"/>
    <w:rsid w:val="00BC7065"/>
    <w:rsid w:val="00BC7561"/>
    <w:rsid w:val="00BC7719"/>
    <w:rsid w:val="00BD0549"/>
    <w:rsid w:val="00BD06EB"/>
    <w:rsid w:val="00BD0DCE"/>
    <w:rsid w:val="00BD10B5"/>
    <w:rsid w:val="00BD1963"/>
    <w:rsid w:val="00BD1C7A"/>
    <w:rsid w:val="00BD28D1"/>
    <w:rsid w:val="00BD2CD6"/>
    <w:rsid w:val="00BD3528"/>
    <w:rsid w:val="00BD35E7"/>
    <w:rsid w:val="00BD3989"/>
    <w:rsid w:val="00BD4188"/>
    <w:rsid w:val="00BD4531"/>
    <w:rsid w:val="00BD46F8"/>
    <w:rsid w:val="00BD5286"/>
    <w:rsid w:val="00BD576C"/>
    <w:rsid w:val="00BD581F"/>
    <w:rsid w:val="00BD5B28"/>
    <w:rsid w:val="00BD6785"/>
    <w:rsid w:val="00BD6ACB"/>
    <w:rsid w:val="00BD6B2A"/>
    <w:rsid w:val="00BD6E9B"/>
    <w:rsid w:val="00BD7752"/>
    <w:rsid w:val="00BD7AC0"/>
    <w:rsid w:val="00BD7AF9"/>
    <w:rsid w:val="00BD7D2A"/>
    <w:rsid w:val="00BE1142"/>
    <w:rsid w:val="00BE2106"/>
    <w:rsid w:val="00BE2130"/>
    <w:rsid w:val="00BE2796"/>
    <w:rsid w:val="00BE4161"/>
    <w:rsid w:val="00BE41B5"/>
    <w:rsid w:val="00BE7A10"/>
    <w:rsid w:val="00BE7E72"/>
    <w:rsid w:val="00BF0800"/>
    <w:rsid w:val="00BF260D"/>
    <w:rsid w:val="00BF2FC9"/>
    <w:rsid w:val="00BF3A5F"/>
    <w:rsid w:val="00BF3C18"/>
    <w:rsid w:val="00BF48B7"/>
    <w:rsid w:val="00BF49BC"/>
    <w:rsid w:val="00BF5BF5"/>
    <w:rsid w:val="00BF62AF"/>
    <w:rsid w:val="00BF65DF"/>
    <w:rsid w:val="00BF67B2"/>
    <w:rsid w:val="00BF6FEB"/>
    <w:rsid w:val="00BF793C"/>
    <w:rsid w:val="00C02DC6"/>
    <w:rsid w:val="00C0320D"/>
    <w:rsid w:val="00C032B9"/>
    <w:rsid w:val="00C05824"/>
    <w:rsid w:val="00C05BBC"/>
    <w:rsid w:val="00C05CC1"/>
    <w:rsid w:val="00C05ED6"/>
    <w:rsid w:val="00C11082"/>
    <w:rsid w:val="00C11F3A"/>
    <w:rsid w:val="00C120E1"/>
    <w:rsid w:val="00C126EE"/>
    <w:rsid w:val="00C12899"/>
    <w:rsid w:val="00C13077"/>
    <w:rsid w:val="00C13663"/>
    <w:rsid w:val="00C14642"/>
    <w:rsid w:val="00C14773"/>
    <w:rsid w:val="00C15FFE"/>
    <w:rsid w:val="00C17990"/>
    <w:rsid w:val="00C17CD0"/>
    <w:rsid w:val="00C17DD2"/>
    <w:rsid w:val="00C17FB6"/>
    <w:rsid w:val="00C218C4"/>
    <w:rsid w:val="00C21C6B"/>
    <w:rsid w:val="00C22198"/>
    <w:rsid w:val="00C22DA8"/>
    <w:rsid w:val="00C22F0F"/>
    <w:rsid w:val="00C23EDC"/>
    <w:rsid w:val="00C24392"/>
    <w:rsid w:val="00C2478F"/>
    <w:rsid w:val="00C2480F"/>
    <w:rsid w:val="00C24F9A"/>
    <w:rsid w:val="00C253E9"/>
    <w:rsid w:val="00C255E7"/>
    <w:rsid w:val="00C25B85"/>
    <w:rsid w:val="00C25C4B"/>
    <w:rsid w:val="00C264FC"/>
    <w:rsid w:val="00C27351"/>
    <w:rsid w:val="00C2793E"/>
    <w:rsid w:val="00C27E57"/>
    <w:rsid w:val="00C27F36"/>
    <w:rsid w:val="00C27FA8"/>
    <w:rsid w:val="00C30866"/>
    <w:rsid w:val="00C30B0B"/>
    <w:rsid w:val="00C31050"/>
    <w:rsid w:val="00C313A0"/>
    <w:rsid w:val="00C31B97"/>
    <w:rsid w:val="00C32D3D"/>
    <w:rsid w:val="00C33B31"/>
    <w:rsid w:val="00C357A5"/>
    <w:rsid w:val="00C36C5C"/>
    <w:rsid w:val="00C3720A"/>
    <w:rsid w:val="00C37426"/>
    <w:rsid w:val="00C37D2F"/>
    <w:rsid w:val="00C37DF0"/>
    <w:rsid w:val="00C37EBC"/>
    <w:rsid w:val="00C4049B"/>
    <w:rsid w:val="00C404D6"/>
    <w:rsid w:val="00C407F2"/>
    <w:rsid w:val="00C40BC9"/>
    <w:rsid w:val="00C40C98"/>
    <w:rsid w:val="00C411B4"/>
    <w:rsid w:val="00C41792"/>
    <w:rsid w:val="00C41956"/>
    <w:rsid w:val="00C41EA5"/>
    <w:rsid w:val="00C431F1"/>
    <w:rsid w:val="00C4340D"/>
    <w:rsid w:val="00C4460C"/>
    <w:rsid w:val="00C45021"/>
    <w:rsid w:val="00C45077"/>
    <w:rsid w:val="00C45316"/>
    <w:rsid w:val="00C46600"/>
    <w:rsid w:val="00C468DD"/>
    <w:rsid w:val="00C4693D"/>
    <w:rsid w:val="00C46AAE"/>
    <w:rsid w:val="00C47D59"/>
    <w:rsid w:val="00C50807"/>
    <w:rsid w:val="00C5082F"/>
    <w:rsid w:val="00C5146B"/>
    <w:rsid w:val="00C51ACE"/>
    <w:rsid w:val="00C51D4E"/>
    <w:rsid w:val="00C51EDF"/>
    <w:rsid w:val="00C52840"/>
    <w:rsid w:val="00C532F0"/>
    <w:rsid w:val="00C536DB"/>
    <w:rsid w:val="00C537DD"/>
    <w:rsid w:val="00C53A6F"/>
    <w:rsid w:val="00C53E5E"/>
    <w:rsid w:val="00C541B1"/>
    <w:rsid w:val="00C54A9A"/>
    <w:rsid w:val="00C54AFF"/>
    <w:rsid w:val="00C54B2E"/>
    <w:rsid w:val="00C54D79"/>
    <w:rsid w:val="00C551D5"/>
    <w:rsid w:val="00C559C8"/>
    <w:rsid w:val="00C55DB0"/>
    <w:rsid w:val="00C563B1"/>
    <w:rsid w:val="00C57169"/>
    <w:rsid w:val="00C576F2"/>
    <w:rsid w:val="00C5787F"/>
    <w:rsid w:val="00C60788"/>
    <w:rsid w:val="00C60CF7"/>
    <w:rsid w:val="00C62306"/>
    <w:rsid w:val="00C62734"/>
    <w:rsid w:val="00C62C5D"/>
    <w:rsid w:val="00C62ED7"/>
    <w:rsid w:val="00C63BED"/>
    <w:rsid w:val="00C64623"/>
    <w:rsid w:val="00C64C94"/>
    <w:rsid w:val="00C655C8"/>
    <w:rsid w:val="00C66427"/>
    <w:rsid w:val="00C66EC1"/>
    <w:rsid w:val="00C67EFD"/>
    <w:rsid w:val="00C700A6"/>
    <w:rsid w:val="00C7050E"/>
    <w:rsid w:val="00C70A68"/>
    <w:rsid w:val="00C70F4B"/>
    <w:rsid w:val="00C71574"/>
    <w:rsid w:val="00C71A01"/>
    <w:rsid w:val="00C71C3C"/>
    <w:rsid w:val="00C71DEE"/>
    <w:rsid w:val="00C72D32"/>
    <w:rsid w:val="00C73CC8"/>
    <w:rsid w:val="00C73E61"/>
    <w:rsid w:val="00C7461D"/>
    <w:rsid w:val="00C76261"/>
    <w:rsid w:val="00C76790"/>
    <w:rsid w:val="00C76C13"/>
    <w:rsid w:val="00C76D36"/>
    <w:rsid w:val="00C775B7"/>
    <w:rsid w:val="00C8043A"/>
    <w:rsid w:val="00C80893"/>
    <w:rsid w:val="00C81213"/>
    <w:rsid w:val="00C8231E"/>
    <w:rsid w:val="00C832E7"/>
    <w:rsid w:val="00C8408A"/>
    <w:rsid w:val="00C8443A"/>
    <w:rsid w:val="00C8552F"/>
    <w:rsid w:val="00C85873"/>
    <w:rsid w:val="00C858E3"/>
    <w:rsid w:val="00C85A3D"/>
    <w:rsid w:val="00C85AE2"/>
    <w:rsid w:val="00C85E0C"/>
    <w:rsid w:val="00C8659B"/>
    <w:rsid w:val="00C872C6"/>
    <w:rsid w:val="00C87B08"/>
    <w:rsid w:val="00C90044"/>
    <w:rsid w:val="00C90BFA"/>
    <w:rsid w:val="00C90F4F"/>
    <w:rsid w:val="00C913AA"/>
    <w:rsid w:val="00C91FDB"/>
    <w:rsid w:val="00C928F0"/>
    <w:rsid w:val="00C92EBB"/>
    <w:rsid w:val="00C93FA3"/>
    <w:rsid w:val="00C94CB9"/>
    <w:rsid w:val="00C95D16"/>
    <w:rsid w:val="00C95EBE"/>
    <w:rsid w:val="00C9652E"/>
    <w:rsid w:val="00C96E5F"/>
    <w:rsid w:val="00C9718A"/>
    <w:rsid w:val="00C979AD"/>
    <w:rsid w:val="00C97C39"/>
    <w:rsid w:val="00CA057B"/>
    <w:rsid w:val="00CA1D18"/>
    <w:rsid w:val="00CA21C7"/>
    <w:rsid w:val="00CA22D0"/>
    <w:rsid w:val="00CA41FF"/>
    <w:rsid w:val="00CA4719"/>
    <w:rsid w:val="00CA512E"/>
    <w:rsid w:val="00CA5A16"/>
    <w:rsid w:val="00CA5C2F"/>
    <w:rsid w:val="00CA6321"/>
    <w:rsid w:val="00CA6838"/>
    <w:rsid w:val="00CB0105"/>
    <w:rsid w:val="00CB0430"/>
    <w:rsid w:val="00CB098F"/>
    <w:rsid w:val="00CB1E81"/>
    <w:rsid w:val="00CB24A7"/>
    <w:rsid w:val="00CB2C23"/>
    <w:rsid w:val="00CB2F77"/>
    <w:rsid w:val="00CB333B"/>
    <w:rsid w:val="00CB3BEA"/>
    <w:rsid w:val="00CB3D70"/>
    <w:rsid w:val="00CB4315"/>
    <w:rsid w:val="00CB43D1"/>
    <w:rsid w:val="00CB4B0D"/>
    <w:rsid w:val="00CB4BD9"/>
    <w:rsid w:val="00CB4FFC"/>
    <w:rsid w:val="00CB76BB"/>
    <w:rsid w:val="00CB77D0"/>
    <w:rsid w:val="00CB79C7"/>
    <w:rsid w:val="00CB7F91"/>
    <w:rsid w:val="00CC1123"/>
    <w:rsid w:val="00CC288F"/>
    <w:rsid w:val="00CC2CB9"/>
    <w:rsid w:val="00CC388A"/>
    <w:rsid w:val="00CC6296"/>
    <w:rsid w:val="00CC6357"/>
    <w:rsid w:val="00CC6F47"/>
    <w:rsid w:val="00CD04BA"/>
    <w:rsid w:val="00CD0F4F"/>
    <w:rsid w:val="00CD1439"/>
    <w:rsid w:val="00CD23D7"/>
    <w:rsid w:val="00CD2924"/>
    <w:rsid w:val="00CD2E63"/>
    <w:rsid w:val="00CD3AA4"/>
    <w:rsid w:val="00CD3EFF"/>
    <w:rsid w:val="00CD4DBB"/>
    <w:rsid w:val="00CD559D"/>
    <w:rsid w:val="00CD5BF2"/>
    <w:rsid w:val="00CD62F2"/>
    <w:rsid w:val="00CD672F"/>
    <w:rsid w:val="00CD763B"/>
    <w:rsid w:val="00CD7F7B"/>
    <w:rsid w:val="00CD7FB9"/>
    <w:rsid w:val="00CE09A6"/>
    <w:rsid w:val="00CE128A"/>
    <w:rsid w:val="00CE1367"/>
    <w:rsid w:val="00CE138A"/>
    <w:rsid w:val="00CE1FB8"/>
    <w:rsid w:val="00CE2796"/>
    <w:rsid w:val="00CE2EC4"/>
    <w:rsid w:val="00CE30BD"/>
    <w:rsid w:val="00CE332B"/>
    <w:rsid w:val="00CE5759"/>
    <w:rsid w:val="00CE66D8"/>
    <w:rsid w:val="00CE78DA"/>
    <w:rsid w:val="00CE7906"/>
    <w:rsid w:val="00CF04A4"/>
    <w:rsid w:val="00CF0A1F"/>
    <w:rsid w:val="00CF0AFC"/>
    <w:rsid w:val="00CF0D76"/>
    <w:rsid w:val="00CF0E66"/>
    <w:rsid w:val="00CF110F"/>
    <w:rsid w:val="00CF1310"/>
    <w:rsid w:val="00CF241B"/>
    <w:rsid w:val="00CF35ED"/>
    <w:rsid w:val="00CF3916"/>
    <w:rsid w:val="00CF4B4C"/>
    <w:rsid w:val="00CF5B3B"/>
    <w:rsid w:val="00CF71D8"/>
    <w:rsid w:val="00CF73A5"/>
    <w:rsid w:val="00CF77D2"/>
    <w:rsid w:val="00CF78CA"/>
    <w:rsid w:val="00D0015C"/>
    <w:rsid w:val="00D00280"/>
    <w:rsid w:val="00D00A7A"/>
    <w:rsid w:val="00D01277"/>
    <w:rsid w:val="00D0142A"/>
    <w:rsid w:val="00D01894"/>
    <w:rsid w:val="00D01E93"/>
    <w:rsid w:val="00D02869"/>
    <w:rsid w:val="00D029F5"/>
    <w:rsid w:val="00D03A05"/>
    <w:rsid w:val="00D03BFA"/>
    <w:rsid w:val="00D04EA6"/>
    <w:rsid w:val="00D058D5"/>
    <w:rsid w:val="00D0630A"/>
    <w:rsid w:val="00D06476"/>
    <w:rsid w:val="00D06FA4"/>
    <w:rsid w:val="00D0729F"/>
    <w:rsid w:val="00D103C7"/>
    <w:rsid w:val="00D11051"/>
    <w:rsid w:val="00D12DDB"/>
    <w:rsid w:val="00D13049"/>
    <w:rsid w:val="00D143AD"/>
    <w:rsid w:val="00D14B17"/>
    <w:rsid w:val="00D15190"/>
    <w:rsid w:val="00D1692C"/>
    <w:rsid w:val="00D17655"/>
    <w:rsid w:val="00D178BC"/>
    <w:rsid w:val="00D202DC"/>
    <w:rsid w:val="00D20E1C"/>
    <w:rsid w:val="00D2218B"/>
    <w:rsid w:val="00D23396"/>
    <w:rsid w:val="00D235B1"/>
    <w:rsid w:val="00D240AE"/>
    <w:rsid w:val="00D244F2"/>
    <w:rsid w:val="00D248B3"/>
    <w:rsid w:val="00D2506B"/>
    <w:rsid w:val="00D2526A"/>
    <w:rsid w:val="00D25F67"/>
    <w:rsid w:val="00D264B2"/>
    <w:rsid w:val="00D26A80"/>
    <w:rsid w:val="00D26C6D"/>
    <w:rsid w:val="00D26EA4"/>
    <w:rsid w:val="00D27FF6"/>
    <w:rsid w:val="00D30EFA"/>
    <w:rsid w:val="00D31D2F"/>
    <w:rsid w:val="00D31E59"/>
    <w:rsid w:val="00D33263"/>
    <w:rsid w:val="00D33CB2"/>
    <w:rsid w:val="00D34334"/>
    <w:rsid w:val="00D34DB8"/>
    <w:rsid w:val="00D357FD"/>
    <w:rsid w:val="00D36EFB"/>
    <w:rsid w:val="00D40114"/>
    <w:rsid w:val="00D405DC"/>
    <w:rsid w:val="00D41529"/>
    <w:rsid w:val="00D427B8"/>
    <w:rsid w:val="00D42B45"/>
    <w:rsid w:val="00D42B91"/>
    <w:rsid w:val="00D42F1B"/>
    <w:rsid w:val="00D43B9E"/>
    <w:rsid w:val="00D44237"/>
    <w:rsid w:val="00D4465F"/>
    <w:rsid w:val="00D45238"/>
    <w:rsid w:val="00D456B4"/>
    <w:rsid w:val="00D45F95"/>
    <w:rsid w:val="00D46D42"/>
    <w:rsid w:val="00D46E28"/>
    <w:rsid w:val="00D4728E"/>
    <w:rsid w:val="00D472A2"/>
    <w:rsid w:val="00D508B5"/>
    <w:rsid w:val="00D50B66"/>
    <w:rsid w:val="00D50F28"/>
    <w:rsid w:val="00D51413"/>
    <w:rsid w:val="00D521EF"/>
    <w:rsid w:val="00D525A3"/>
    <w:rsid w:val="00D52AB2"/>
    <w:rsid w:val="00D53862"/>
    <w:rsid w:val="00D53D60"/>
    <w:rsid w:val="00D54137"/>
    <w:rsid w:val="00D54BFF"/>
    <w:rsid w:val="00D55A19"/>
    <w:rsid w:val="00D55CC8"/>
    <w:rsid w:val="00D5683C"/>
    <w:rsid w:val="00D57182"/>
    <w:rsid w:val="00D57E1D"/>
    <w:rsid w:val="00D60035"/>
    <w:rsid w:val="00D60849"/>
    <w:rsid w:val="00D60D38"/>
    <w:rsid w:val="00D62A74"/>
    <w:rsid w:val="00D63243"/>
    <w:rsid w:val="00D63852"/>
    <w:rsid w:val="00D63F0E"/>
    <w:rsid w:val="00D63FE1"/>
    <w:rsid w:val="00D642D3"/>
    <w:rsid w:val="00D64C07"/>
    <w:rsid w:val="00D65240"/>
    <w:rsid w:val="00D6546C"/>
    <w:rsid w:val="00D65574"/>
    <w:rsid w:val="00D65836"/>
    <w:rsid w:val="00D65B3E"/>
    <w:rsid w:val="00D65EF3"/>
    <w:rsid w:val="00D6744C"/>
    <w:rsid w:val="00D67669"/>
    <w:rsid w:val="00D67A3E"/>
    <w:rsid w:val="00D67E11"/>
    <w:rsid w:val="00D67E1D"/>
    <w:rsid w:val="00D70413"/>
    <w:rsid w:val="00D71E5E"/>
    <w:rsid w:val="00D73C77"/>
    <w:rsid w:val="00D7498E"/>
    <w:rsid w:val="00D75D51"/>
    <w:rsid w:val="00D760C8"/>
    <w:rsid w:val="00D76112"/>
    <w:rsid w:val="00D76B72"/>
    <w:rsid w:val="00D8021F"/>
    <w:rsid w:val="00D80B47"/>
    <w:rsid w:val="00D81629"/>
    <w:rsid w:val="00D817E8"/>
    <w:rsid w:val="00D830B9"/>
    <w:rsid w:val="00D8353A"/>
    <w:rsid w:val="00D8376E"/>
    <w:rsid w:val="00D8420F"/>
    <w:rsid w:val="00D85DA3"/>
    <w:rsid w:val="00D85F4D"/>
    <w:rsid w:val="00D8667E"/>
    <w:rsid w:val="00D86E1C"/>
    <w:rsid w:val="00D87170"/>
    <w:rsid w:val="00D872B8"/>
    <w:rsid w:val="00D90EBC"/>
    <w:rsid w:val="00D9144A"/>
    <w:rsid w:val="00D92622"/>
    <w:rsid w:val="00D92DFA"/>
    <w:rsid w:val="00D93612"/>
    <w:rsid w:val="00D937BD"/>
    <w:rsid w:val="00D94189"/>
    <w:rsid w:val="00D9464E"/>
    <w:rsid w:val="00D95417"/>
    <w:rsid w:val="00D95813"/>
    <w:rsid w:val="00D95B55"/>
    <w:rsid w:val="00D95F88"/>
    <w:rsid w:val="00D96107"/>
    <w:rsid w:val="00D96293"/>
    <w:rsid w:val="00D96677"/>
    <w:rsid w:val="00D96AD9"/>
    <w:rsid w:val="00D97686"/>
    <w:rsid w:val="00D97D38"/>
    <w:rsid w:val="00DA03BB"/>
    <w:rsid w:val="00DA0726"/>
    <w:rsid w:val="00DA0D4F"/>
    <w:rsid w:val="00DA2065"/>
    <w:rsid w:val="00DA254C"/>
    <w:rsid w:val="00DA284D"/>
    <w:rsid w:val="00DA2AAC"/>
    <w:rsid w:val="00DA2BBC"/>
    <w:rsid w:val="00DA3D54"/>
    <w:rsid w:val="00DA54E7"/>
    <w:rsid w:val="00DA5558"/>
    <w:rsid w:val="00DA57B6"/>
    <w:rsid w:val="00DA60A2"/>
    <w:rsid w:val="00DA6421"/>
    <w:rsid w:val="00DA6D2E"/>
    <w:rsid w:val="00DA6D42"/>
    <w:rsid w:val="00DA7BB2"/>
    <w:rsid w:val="00DA7D37"/>
    <w:rsid w:val="00DA7DBD"/>
    <w:rsid w:val="00DB00E1"/>
    <w:rsid w:val="00DB0982"/>
    <w:rsid w:val="00DB0FD0"/>
    <w:rsid w:val="00DB1DD6"/>
    <w:rsid w:val="00DB1EC6"/>
    <w:rsid w:val="00DB2264"/>
    <w:rsid w:val="00DB27F2"/>
    <w:rsid w:val="00DB2A16"/>
    <w:rsid w:val="00DB2BAA"/>
    <w:rsid w:val="00DB4329"/>
    <w:rsid w:val="00DB4DCD"/>
    <w:rsid w:val="00DB5773"/>
    <w:rsid w:val="00DB6192"/>
    <w:rsid w:val="00DB66E0"/>
    <w:rsid w:val="00DB6972"/>
    <w:rsid w:val="00DB6D18"/>
    <w:rsid w:val="00DB7C1B"/>
    <w:rsid w:val="00DC0624"/>
    <w:rsid w:val="00DC0729"/>
    <w:rsid w:val="00DC0A9F"/>
    <w:rsid w:val="00DC0B8F"/>
    <w:rsid w:val="00DC1715"/>
    <w:rsid w:val="00DC18D3"/>
    <w:rsid w:val="00DC206C"/>
    <w:rsid w:val="00DC2A00"/>
    <w:rsid w:val="00DC2A61"/>
    <w:rsid w:val="00DC35B9"/>
    <w:rsid w:val="00DC37B5"/>
    <w:rsid w:val="00DC3A1E"/>
    <w:rsid w:val="00DC4186"/>
    <w:rsid w:val="00DC4D19"/>
    <w:rsid w:val="00DC6417"/>
    <w:rsid w:val="00DC648B"/>
    <w:rsid w:val="00DC6E17"/>
    <w:rsid w:val="00DC772C"/>
    <w:rsid w:val="00DC7D5B"/>
    <w:rsid w:val="00DD04FC"/>
    <w:rsid w:val="00DD0F2E"/>
    <w:rsid w:val="00DD101F"/>
    <w:rsid w:val="00DD17E0"/>
    <w:rsid w:val="00DD1828"/>
    <w:rsid w:val="00DD232E"/>
    <w:rsid w:val="00DD23E8"/>
    <w:rsid w:val="00DD25F0"/>
    <w:rsid w:val="00DD269E"/>
    <w:rsid w:val="00DD35E3"/>
    <w:rsid w:val="00DD37AC"/>
    <w:rsid w:val="00DD3899"/>
    <w:rsid w:val="00DD3AA3"/>
    <w:rsid w:val="00DD62D8"/>
    <w:rsid w:val="00DD6BAA"/>
    <w:rsid w:val="00DD70DB"/>
    <w:rsid w:val="00DD7A1E"/>
    <w:rsid w:val="00DE02E1"/>
    <w:rsid w:val="00DE03AC"/>
    <w:rsid w:val="00DE1745"/>
    <w:rsid w:val="00DE2098"/>
    <w:rsid w:val="00DE26EF"/>
    <w:rsid w:val="00DE2918"/>
    <w:rsid w:val="00DE2D79"/>
    <w:rsid w:val="00DE3B62"/>
    <w:rsid w:val="00DE3C19"/>
    <w:rsid w:val="00DE3DDB"/>
    <w:rsid w:val="00DE41EC"/>
    <w:rsid w:val="00DE4635"/>
    <w:rsid w:val="00DE5633"/>
    <w:rsid w:val="00DE6283"/>
    <w:rsid w:val="00DE6294"/>
    <w:rsid w:val="00DE634B"/>
    <w:rsid w:val="00DE6379"/>
    <w:rsid w:val="00DE65EC"/>
    <w:rsid w:val="00DE6E92"/>
    <w:rsid w:val="00DE7600"/>
    <w:rsid w:val="00DE7E1E"/>
    <w:rsid w:val="00DE7F1C"/>
    <w:rsid w:val="00DF0CB4"/>
    <w:rsid w:val="00DF0FD2"/>
    <w:rsid w:val="00DF12F3"/>
    <w:rsid w:val="00DF3830"/>
    <w:rsid w:val="00DF4C62"/>
    <w:rsid w:val="00DF5384"/>
    <w:rsid w:val="00DF53AD"/>
    <w:rsid w:val="00DF5BF8"/>
    <w:rsid w:val="00DF6518"/>
    <w:rsid w:val="00DF66BD"/>
    <w:rsid w:val="00DF6862"/>
    <w:rsid w:val="00DF6C54"/>
    <w:rsid w:val="00DF70E2"/>
    <w:rsid w:val="00E006FC"/>
    <w:rsid w:val="00E008A6"/>
    <w:rsid w:val="00E00DF6"/>
    <w:rsid w:val="00E012DD"/>
    <w:rsid w:val="00E02076"/>
    <w:rsid w:val="00E02B26"/>
    <w:rsid w:val="00E02E0E"/>
    <w:rsid w:val="00E0313A"/>
    <w:rsid w:val="00E035EB"/>
    <w:rsid w:val="00E03E22"/>
    <w:rsid w:val="00E04434"/>
    <w:rsid w:val="00E0495E"/>
    <w:rsid w:val="00E04A2F"/>
    <w:rsid w:val="00E04DE4"/>
    <w:rsid w:val="00E06C94"/>
    <w:rsid w:val="00E06D0A"/>
    <w:rsid w:val="00E0725C"/>
    <w:rsid w:val="00E07382"/>
    <w:rsid w:val="00E10281"/>
    <w:rsid w:val="00E11FA1"/>
    <w:rsid w:val="00E12302"/>
    <w:rsid w:val="00E129BE"/>
    <w:rsid w:val="00E12DD4"/>
    <w:rsid w:val="00E13A22"/>
    <w:rsid w:val="00E14CCC"/>
    <w:rsid w:val="00E156C7"/>
    <w:rsid w:val="00E163CB"/>
    <w:rsid w:val="00E166BD"/>
    <w:rsid w:val="00E217A9"/>
    <w:rsid w:val="00E21ACB"/>
    <w:rsid w:val="00E2221E"/>
    <w:rsid w:val="00E22557"/>
    <w:rsid w:val="00E226A1"/>
    <w:rsid w:val="00E22A69"/>
    <w:rsid w:val="00E22AE1"/>
    <w:rsid w:val="00E22DE1"/>
    <w:rsid w:val="00E22F0A"/>
    <w:rsid w:val="00E2478E"/>
    <w:rsid w:val="00E25550"/>
    <w:rsid w:val="00E26336"/>
    <w:rsid w:val="00E273D9"/>
    <w:rsid w:val="00E306CB"/>
    <w:rsid w:val="00E30AEE"/>
    <w:rsid w:val="00E315CB"/>
    <w:rsid w:val="00E31D71"/>
    <w:rsid w:val="00E32589"/>
    <w:rsid w:val="00E32936"/>
    <w:rsid w:val="00E32C8D"/>
    <w:rsid w:val="00E33255"/>
    <w:rsid w:val="00E3340A"/>
    <w:rsid w:val="00E33B1D"/>
    <w:rsid w:val="00E3412F"/>
    <w:rsid w:val="00E3448D"/>
    <w:rsid w:val="00E344B7"/>
    <w:rsid w:val="00E34B55"/>
    <w:rsid w:val="00E35D11"/>
    <w:rsid w:val="00E36609"/>
    <w:rsid w:val="00E366AE"/>
    <w:rsid w:val="00E36B78"/>
    <w:rsid w:val="00E372CF"/>
    <w:rsid w:val="00E37412"/>
    <w:rsid w:val="00E374D8"/>
    <w:rsid w:val="00E37633"/>
    <w:rsid w:val="00E40A20"/>
    <w:rsid w:val="00E41032"/>
    <w:rsid w:val="00E416FF"/>
    <w:rsid w:val="00E42439"/>
    <w:rsid w:val="00E447B4"/>
    <w:rsid w:val="00E44918"/>
    <w:rsid w:val="00E4498A"/>
    <w:rsid w:val="00E44BF8"/>
    <w:rsid w:val="00E463A7"/>
    <w:rsid w:val="00E470AC"/>
    <w:rsid w:val="00E47B11"/>
    <w:rsid w:val="00E506F3"/>
    <w:rsid w:val="00E508A1"/>
    <w:rsid w:val="00E50BCE"/>
    <w:rsid w:val="00E50E7D"/>
    <w:rsid w:val="00E51F0E"/>
    <w:rsid w:val="00E52127"/>
    <w:rsid w:val="00E522BE"/>
    <w:rsid w:val="00E52B01"/>
    <w:rsid w:val="00E52B2E"/>
    <w:rsid w:val="00E52F45"/>
    <w:rsid w:val="00E53146"/>
    <w:rsid w:val="00E53F09"/>
    <w:rsid w:val="00E54634"/>
    <w:rsid w:val="00E546B2"/>
    <w:rsid w:val="00E547E1"/>
    <w:rsid w:val="00E5492B"/>
    <w:rsid w:val="00E54C81"/>
    <w:rsid w:val="00E54DD1"/>
    <w:rsid w:val="00E567DB"/>
    <w:rsid w:val="00E56B58"/>
    <w:rsid w:val="00E57605"/>
    <w:rsid w:val="00E60405"/>
    <w:rsid w:val="00E60954"/>
    <w:rsid w:val="00E61D49"/>
    <w:rsid w:val="00E623F8"/>
    <w:rsid w:val="00E62419"/>
    <w:rsid w:val="00E62B93"/>
    <w:rsid w:val="00E63284"/>
    <w:rsid w:val="00E6359F"/>
    <w:rsid w:val="00E63683"/>
    <w:rsid w:val="00E639D0"/>
    <w:rsid w:val="00E63CC2"/>
    <w:rsid w:val="00E63D16"/>
    <w:rsid w:val="00E63EC9"/>
    <w:rsid w:val="00E6458B"/>
    <w:rsid w:val="00E649FA"/>
    <w:rsid w:val="00E65045"/>
    <w:rsid w:val="00E650E7"/>
    <w:rsid w:val="00E651A6"/>
    <w:rsid w:val="00E65D10"/>
    <w:rsid w:val="00E65D1B"/>
    <w:rsid w:val="00E66CAE"/>
    <w:rsid w:val="00E70C36"/>
    <w:rsid w:val="00E712B2"/>
    <w:rsid w:val="00E7151A"/>
    <w:rsid w:val="00E71EAD"/>
    <w:rsid w:val="00E723C0"/>
    <w:rsid w:val="00E72C6A"/>
    <w:rsid w:val="00E7335A"/>
    <w:rsid w:val="00E739CC"/>
    <w:rsid w:val="00E743C6"/>
    <w:rsid w:val="00E74EAA"/>
    <w:rsid w:val="00E7686C"/>
    <w:rsid w:val="00E76991"/>
    <w:rsid w:val="00E76EB2"/>
    <w:rsid w:val="00E771A8"/>
    <w:rsid w:val="00E77D7E"/>
    <w:rsid w:val="00E77E7E"/>
    <w:rsid w:val="00E8058F"/>
    <w:rsid w:val="00E80705"/>
    <w:rsid w:val="00E80B27"/>
    <w:rsid w:val="00E815AB"/>
    <w:rsid w:val="00E81A67"/>
    <w:rsid w:val="00E82465"/>
    <w:rsid w:val="00E827D8"/>
    <w:rsid w:val="00E8313E"/>
    <w:rsid w:val="00E8352E"/>
    <w:rsid w:val="00E83594"/>
    <w:rsid w:val="00E8359B"/>
    <w:rsid w:val="00E84882"/>
    <w:rsid w:val="00E85812"/>
    <w:rsid w:val="00E876CC"/>
    <w:rsid w:val="00E87FBA"/>
    <w:rsid w:val="00E9075F"/>
    <w:rsid w:val="00E90816"/>
    <w:rsid w:val="00E909C8"/>
    <w:rsid w:val="00E90F0A"/>
    <w:rsid w:val="00E91607"/>
    <w:rsid w:val="00E91823"/>
    <w:rsid w:val="00E93898"/>
    <w:rsid w:val="00E93D2F"/>
    <w:rsid w:val="00E93DB8"/>
    <w:rsid w:val="00E93DD4"/>
    <w:rsid w:val="00E93DDF"/>
    <w:rsid w:val="00E941AD"/>
    <w:rsid w:val="00E956D3"/>
    <w:rsid w:val="00E9577A"/>
    <w:rsid w:val="00E9601D"/>
    <w:rsid w:val="00E968F8"/>
    <w:rsid w:val="00E96C71"/>
    <w:rsid w:val="00E9706E"/>
    <w:rsid w:val="00E9730D"/>
    <w:rsid w:val="00E9740E"/>
    <w:rsid w:val="00E97C79"/>
    <w:rsid w:val="00E97D5A"/>
    <w:rsid w:val="00E97E18"/>
    <w:rsid w:val="00E97ED0"/>
    <w:rsid w:val="00EA1E91"/>
    <w:rsid w:val="00EA2E93"/>
    <w:rsid w:val="00EA3661"/>
    <w:rsid w:val="00EA3A15"/>
    <w:rsid w:val="00EA4341"/>
    <w:rsid w:val="00EA43C1"/>
    <w:rsid w:val="00EA5304"/>
    <w:rsid w:val="00EA5836"/>
    <w:rsid w:val="00EA690B"/>
    <w:rsid w:val="00EA77AB"/>
    <w:rsid w:val="00EA7B39"/>
    <w:rsid w:val="00EB026B"/>
    <w:rsid w:val="00EB10E6"/>
    <w:rsid w:val="00EB147A"/>
    <w:rsid w:val="00EB1B4A"/>
    <w:rsid w:val="00EB1BE9"/>
    <w:rsid w:val="00EB32AE"/>
    <w:rsid w:val="00EB392C"/>
    <w:rsid w:val="00EB3DD1"/>
    <w:rsid w:val="00EB4393"/>
    <w:rsid w:val="00EB4A74"/>
    <w:rsid w:val="00EB4B83"/>
    <w:rsid w:val="00EB4D74"/>
    <w:rsid w:val="00EB5067"/>
    <w:rsid w:val="00EB59B3"/>
    <w:rsid w:val="00EB5F1C"/>
    <w:rsid w:val="00EB616F"/>
    <w:rsid w:val="00EB7E76"/>
    <w:rsid w:val="00EC0683"/>
    <w:rsid w:val="00EC08AB"/>
    <w:rsid w:val="00EC20DF"/>
    <w:rsid w:val="00EC2546"/>
    <w:rsid w:val="00EC2ED3"/>
    <w:rsid w:val="00EC3983"/>
    <w:rsid w:val="00EC3E01"/>
    <w:rsid w:val="00EC45B8"/>
    <w:rsid w:val="00EC4D1E"/>
    <w:rsid w:val="00EC569F"/>
    <w:rsid w:val="00EC61D1"/>
    <w:rsid w:val="00EC6482"/>
    <w:rsid w:val="00EC6881"/>
    <w:rsid w:val="00EC74C4"/>
    <w:rsid w:val="00EC7E6F"/>
    <w:rsid w:val="00EC7EFE"/>
    <w:rsid w:val="00ED05BD"/>
    <w:rsid w:val="00ED0BE5"/>
    <w:rsid w:val="00ED16A3"/>
    <w:rsid w:val="00ED183A"/>
    <w:rsid w:val="00ED1DDA"/>
    <w:rsid w:val="00ED341E"/>
    <w:rsid w:val="00ED36BF"/>
    <w:rsid w:val="00ED3879"/>
    <w:rsid w:val="00ED389C"/>
    <w:rsid w:val="00ED38E5"/>
    <w:rsid w:val="00ED555B"/>
    <w:rsid w:val="00ED606B"/>
    <w:rsid w:val="00ED72A6"/>
    <w:rsid w:val="00ED7769"/>
    <w:rsid w:val="00EE1035"/>
    <w:rsid w:val="00EE1CFA"/>
    <w:rsid w:val="00EE1D1E"/>
    <w:rsid w:val="00EE2CFE"/>
    <w:rsid w:val="00EE306F"/>
    <w:rsid w:val="00EE3165"/>
    <w:rsid w:val="00EE31D5"/>
    <w:rsid w:val="00EE493D"/>
    <w:rsid w:val="00EE5AA0"/>
    <w:rsid w:val="00EE627A"/>
    <w:rsid w:val="00EE6522"/>
    <w:rsid w:val="00EE6BAA"/>
    <w:rsid w:val="00EE7162"/>
    <w:rsid w:val="00EE776C"/>
    <w:rsid w:val="00EE7B82"/>
    <w:rsid w:val="00EE7C26"/>
    <w:rsid w:val="00EF06E5"/>
    <w:rsid w:val="00EF0EF3"/>
    <w:rsid w:val="00EF200C"/>
    <w:rsid w:val="00EF2128"/>
    <w:rsid w:val="00EF280D"/>
    <w:rsid w:val="00EF2E5B"/>
    <w:rsid w:val="00EF3620"/>
    <w:rsid w:val="00EF373B"/>
    <w:rsid w:val="00EF3D7D"/>
    <w:rsid w:val="00EF510A"/>
    <w:rsid w:val="00EF56A4"/>
    <w:rsid w:val="00EF6748"/>
    <w:rsid w:val="00EF67B7"/>
    <w:rsid w:val="00EF7ACB"/>
    <w:rsid w:val="00F01099"/>
    <w:rsid w:val="00F010F0"/>
    <w:rsid w:val="00F01523"/>
    <w:rsid w:val="00F02B38"/>
    <w:rsid w:val="00F02C01"/>
    <w:rsid w:val="00F02CEF"/>
    <w:rsid w:val="00F02D71"/>
    <w:rsid w:val="00F040BE"/>
    <w:rsid w:val="00F064D0"/>
    <w:rsid w:val="00F0751A"/>
    <w:rsid w:val="00F07A15"/>
    <w:rsid w:val="00F100D6"/>
    <w:rsid w:val="00F106A0"/>
    <w:rsid w:val="00F125DC"/>
    <w:rsid w:val="00F132EA"/>
    <w:rsid w:val="00F13377"/>
    <w:rsid w:val="00F136E4"/>
    <w:rsid w:val="00F13781"/>
    <w:rsid w:val="00F13797"/>
    <w:rsid w:val="00F13ABD"/>
    <w:rsid w:val="00F14016"/>
    <w:rsid w:val="00F14984"/>
    <w:rsid w:val="00F14C47"/>
    <w:rsid w:val="00F1540A"/>
    <w:rsid w:val="00F165D0"/>
    <w:rsid w:val="00F16752"/>
    <w:rsid w:val="00F17F49"/>
    <w:rsid w:val="00F206F9"/>
    <w:rsid w:val="00F208BA"/>
    <w:rsid w:val="00F2111E"/>
    <w:rsid w:val="00F215CB"/>
    <w:rsid w:val="00F215D3"/>
    <w:rsid w:val="00F21DFB"/>
    <w:rsid w:val="00F21E64"/>
    <w:rsid w:val="00F22636"/>
    <w:rsid w:val="00F22910"/>
    <w:rsid w:val="00F22FEF"/>
    <w:rsid w:val="00F23821"/>
    <w:rsid w:val="00F23ECE"/>
    <w:rsid w:val="00F24272"/>
    <w:rsid w:val="00F24E45"/>
    <w:rsid w:val="00F253CA"/>
    <w:rsid w:val="00F25D27"/>
    <w:rsid w:val="00F26666"/>
    <w:rsid w:val="00F266D7"/>
    <w:rsid w:val="00F27127"/>
    <w:rsid w:val="00F27A6F"/>
    <w:rsid w:val="00F3044D"/>
    <w:rsid w:val="00F30D7E"/>
    <w:rsid w:val="00F323F3"/>
    <w:rsid w:val="00F33EFB"/>
    <w:rsid w:val="00F34037"/>
    <w:rsid w:val="00F34EE1"/>
    <w:rsid w:val="00F368C2"/>
    <w:rsid w:val="00F36A00"/>
    <w:rsid w:val="00F3712C"/>
    <w:rsid w:val="00F377AE"/>
    <w:rsid w:val="00F37B44"/>
    <w:rsid w:val="00F37F8C"/>
    <w:rsid w:val="00F4018D"/>
    <w:rsid w:val="00F40D4E"/>
    <w:rsid w:val="00F40FAA"/>
    <w:rsid w:val="00F4122A"/>
    <w:rsid w:val="00F4123A"/>
    <w:rsid w:val="00F42761"/>
    <w:rsid w:val="00F42B9A"/>
    <w:rsid w:val="00F42F24"/>
    <w:rsid w:val="00F432F1"/>
    <w:rsid w:val="00F43A27"/>
    <w:rsid w:val="00F4423A"/>
    <w:rsid w:val="00F44643"/>
    <w:rsid w:val="00F44AC7"/>
    <w:rsid w:val="00F44FD8"/>
    <w:rsid w:val="00F45B0D"/>
    <w:rsid w:val="00F45DFC"/>
    <w:rsid w:val="00F46AB7"/>
    <w:rsid w:val="00F47147"/>
    <w:rsid w:val="00F47E2B"/>
    <w:rsid w:val="00F51FAF"/>
    <w:rsid w:val="00F52442"/>
    <w:rsid w:val="00F52D4F"/>
    <w:rsid w:val="00F53E8A"/>
    <w:rsid w:val="00F54147"/>
    <w:rsid w:val="00F548D2"/>
    <w:rsid w:val="00F54B97"/>
    <w:rsid w:val="00F5523C"/>
    <w:rsid w:val="00F558B6"/>
    <w:rsid w:val="00F56687"/>
    <w:rsid w:val="00F56A3D"/>
    <w:rsid w:val="00F5707B"/>
    <w:rsid w:val="00F5719B"/>
    <w:rsid w:val="00F5762B"/>
    <w:rsid w:val="00F579BA"/>
    <w:rsid w:val="00F57CC7"/>
    <w:rsid w:val="00F57F84"/>
    <w:rsid w:val="00F6038D"/>
    <w:rsid w:val="00F610A0"/>
    <w:rsid w:val="00F614C6"/>
    <w:rsid w:val="00F6171D"/>
    <w:rsid w:val="00F61E34"/>
    <w:rsid w:val="00F61EFD"/>
    <w:rsid w:val="00F62237"/>
    <w:rsid w:val="00F62AD3"/>
    <w:rsid w:val="00F62EA1"/>
    <w:rsid w:val="00F635BD"/>
    <w:rsid w:val="00F64C74"/>
    <w:rsid w:val="00F64CF7"/>
    <w:rsid w:val="00F65334"/>
    <w:rsid w:val="00F65955"/>
    <w:rsid w:val="00F66AE6"/>
    <w:rsid w:val="00F66C5F"/>
    <w:rsid w:val="00F6736B"/>
    <w:rsid w:val="00F67A70"/>
    <w:rsid w:val="00F67DB3"/>
    <w:rsid w:val="00F7016D"/>
    <w:rsid w:val="00F70769"/>
    <w:rsid w:val="00F70F63"/>
    <w:rsid w:val="00F71EAC"/>
    <w:rsid w:val="00F72A40"/>
    <w:rsid w:val="00F72B04"/>
    <w:rsid w:val="00F72BBC"/>
    <w:rsid w:val="00F72DE4"/>
    <w:rsid w:val="00F72E9B"/>
    <w:rsid w:val="00F74EBC"/>
    <w:rsid w:val="00F75CAC"/>
    <w:rsid w:val="00F75EF8"/>
    <w:rsid w:val="00F7664D"/>
    <w:rsid w:val="00F769FF"/>
    <w:rsid w:val="00F770FC"/>
    <w:rsid w:val="00F7731A"/>
    <w:rsid w:val="00F773F5"/>
    <w:rsid w:val="00F77F72"/>
    <w:rsid w:val="00F80F19"/>
    <w:rsid w:val="00F81205"/>
    <w:rsid w:val="00F816E2"/>
    <w:rsid w:val="00F822FA"/>
    <w:rsid w:val="00F82433"/>
    <w:rsid w:val="00F82EF7"/>
    <w:rsid w:val="00F83012"/>
    <w:rsid w:val="00F83C50"/>
    <w:rsid w:val="00F83E44"/>
    <w:rsid w:val="00F842CE"/>
    <w:rsid w:val="00F845C9"/>
    <w:rsid w:val="00F8460D"/>
    <w:rsid w:val="00F84B24"/>
    <w:rsid w:val="00F853E8"/>
    <w:rsid w:val="00F8654E"/>
    <w:rsid w:val="00F86620"/>
    <w:rsid w:val="00F87A0B"/>
    <w:rsid w:val="00F91941"/>
    <w:rsid w:val="00F91FE0"/>
    <w:rsid w:val="00F941F7"/>
    <w:rsid w:val="00F94619"/>
    <w:rsid w:val="00F95501"/>
    <w:rsid w:val="00F96569"/>
    <w:rsid w:val="00F97993"/>
    <w:rsid w:val="00F97C28"/>
    <w:rsid w:val="00FA09D3"/>
    <w:rsid w:val="00FA0C2D"/>
    <w:rsid w:val="00FA104E"/>
    <w:rsid w:val="00FA1F41"/>
    <w:rsid w:val="00FA23EA"/>
    <w:rsid w:val="00FA2646"/>
    <w:rsid w:val="00FA2B70"/>
    <w:rsid w:val="00FA2D3E"/>
    <w:rsid w:val="00FA3652"/>
    <w:rsid w:val="00FA3C9A"/>
    <w:rsid w:val="00FA438E"/>
    <w:rsid w:val="00FA455B"/>
    <w:rsid w:val="00FA5FA4"/>
    <w:rsid w:val="00FA6337"/>
    <w:rsid w:val="00FA79BD"/>
    <w:rsid w:val="00FB06C2"/>
    <w:rsid w:val="00FB22EB"/>
    <w:rsid w:val="00FB235C"/>
    <w:rsid w:val="00FB3104"/>
    <w:rsid w:val="00FB330E"/>
    <w:rsid w:val="00FB37E6"/>
    <w:rsid w:val="00FB44FE"/>
    <w:rsid w:val="00FB52F0"/>
    <w:rsid w:val="00FB5D10"/>
    <w:rsid w:val="00FC1F17"/>
    <w:rsid w:val="00FC20A6"/>
    <w:rsid w:val="00FC387A"/>
    <w:rsid w:val="00FC3A7A"/>
    <w:rsid w:val="00FC4070"/>
    <w:rsid w:val="00FC43EF"/>
    <w:rsid w:val="00FC4932"/>
    <w:rsid w:val="00FC4AF6"/>
    <w:rsid w:val="00FC5478"/>
    <w:rsid w:val="00FC56DB"/>
    <w:rsid w:val="00FC5775"/>
    <w:rsid w:val="00FC6875"/>
    <w:rsid w:val="00FC6953"/>
    <w:rsid w:val="00FD17A8"/>
    <w:rsid w:val="00FD2B04"/>
    <w:rsid w:val="00FD2DEA"/>
    <w:rsid w:val="00FD2E49"/>
    <w:rsid w:val="00FD3688"/>
    <w:rsid w:val="00FD3AE9"/>
    <w:rsid w:val="00FD402C"/>
    <w:rsid w:val="00FD4ADC"/>
    <w:rsid w:val="00FD59D0"/>
    <w:rsid w:val="00FD6248"/>
    <w:rsid w:val="00FD6EF7"/>
    <w:rsid w:val="00FD7306"/>
    <w:rsid w:val="00FD7633"/>
    <w:rsid w:val="00FD7C0E"/>
    <w:rsid w:val="00FE04FE"/>
    <w:rsid w:val="00FE0697"/>
    <w:rsid w:val="00FE0E21"/>
    <w:rsid w:val="00FE11B9"/>
    <w:rsid w:val="00FE1750"/>
    <w:rsid w:val="00FE1BBB"/>
    <w:rsid w:val="00FE2F6C"/>
    <w:rsid w:val="00FE2FF5"/>
    <w:rsid w:val="00FE3188"/>
    <w:rsid w:val="00FE43A1"/>
    <w:rsid w:val="00FE48A4"/>
    <w:rsid w:val="00FE5741"/>
    <w:rsid w:val="00FF024A"/>
    <w:rsid w:val="00FF09FE"/>
    <w:rsid w:val="00FF200A"/>
    <w:rsid w:val="00FF3223"/>
    <w:rsid w:val="00FF329A"/>
    <w:rsid w:val="00FF3E79"/>
    <w:rsid w:val="00FF3EFB"/>
    <w:rsid w:val="00FF46F7"/>
    <w:rsid w:val="00FF4BE9"/>
    <w:rsid w:val="00FF5322"/>
    <w:rsid w:val="00FF64BC"/>
    <w:rsid w:val="00FF6868"/>
    <w:rsid w:val="1031AEA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D0DA3C"/>
  <w15:docId w15:val="{0F29F6DF-56B3-4931-A454-9FACC069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16"/>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23C"/>
    <w:pPr>
      <w:spacing w:after="0" w:line="240" w:lineRule="auto"/>
    </w:pPr>
  </w:style>
  <w:style w:type="paragraph" w:styleId="Heading1">
    <w:name w:val="heading 1"/>
    <w:aliases w:val="1,Heading 1 Char1 Char,Heading 1 Char Char Char,Heading 1 Char1 Char Char Char,Heading 1 Char Char Char Char Char,Heading 1 Char1 Char Char Char Char Char,Heading 1 Char Char Char Char Char Char Char,Heading 1 Char1 Char1"/>
    <w:basedOn w:val="Normal"/>
    <w:next w:val="Normal"/>
    <w:link w:val="Heading1Char1"/>
    <w:qFormat/>
    <w:rsid w:val="0030523C"/>
    <w:pPr>
      <w:keepNext/>
      <w:keepLines/>
      <w:shd w:val="clear" w:color="auto" w:fill="244061"/>
      <w:tabs>
        <w:tab w:val="left" w:pos="567"/>
      </w:tabs>
      <w:outlineLvl w:val="0"/>
    </w:pPr>
    <w:rPr>
      <w:rFonts w:eastAsia="Times New Roman" w:cs="Times New Roman"/>
      <w:b/>
      <w:bCs/>
      <w:caps/>
      <w:color w:val="FFFFFF"/>
      <w:szCs w:val="28"/>
      <w:lang w:val="x-none" w:eastAsia="x-none"/>
    </w:rPr>
  </w:style>
  <w:style w:type="paragraph" w:styleId="Heading2">
    <w:name w:val="heading 2"/>
    <w:basedOn w:val="Normal"/>
    <w:next w:val="Normal"/>
    <w:link w:val="Heading2Char"/>
    <w:unhideWhenUsed/>
    <w:qFormat/>
    <w:rsid w:val="0030523C"/>
    <w:pPr>
      <w:keepNext/>
      <w:keepLines/>
      <w:shd w:val="clear" w:color="auto" w:fill="D9D9D9"/>
      <w:tabs>
        <w:tab w:val="left" w:pos="567"/>
      </w:tabs>
      <w:outlineLvl w:val="1"/>
    </w:pPr>
    <w:rPr>
      <w:rFonts w:eastAsia="Times New Roman" w:cs="Times New Roman"/>
      <w:b/>
      <w:color w:val="000000"/>
      <w:szCs w:val="26"/>
    </w:rPr>
  </w:style>
  <w:style w:type="paragraph" w:styleId="Heading3">
    <w:name w:val="heading 3"/>
    <w:basedOn w:val="Sub1"/>
    <w:next w:val="Normal"/>
    <w:link w:val="Heading3Char"/>
    <w:unhideWhenUsed/>
    <w:qFormat/>
    <w:rsid w:val="008E1CB9"/>
    <w:pPr>
      <w:spacing w:after="180"/>
      <w:jc w:val="both"/>
      <w:outlineLvl w:val="2"/>
    </w:pPr>
    <w:rPr>
      <w:sz w:val="28"/>
    </w:rPr>
  </w:style>
  <w:style w:type="paragraph" w:styleId="Heading4">
    <w:name w:val="heading 4"/>
    <w:basedOn w:val="Normal"/>
    <w:next w:val="Normal"/>
    <w:link w:val="Heading4Char"/>
    <w:unhideWhenUsed/>
    <w:qFormat/>
    <w:rsid w:val="009814E7"/>
    <w:pPr>
      <w:keepNext/>
      <w:keepLines/>
      <w:spacing w:before="200"/>
      <w:outlineLvl w:val="3"/>
    </w:pPr>
    <w:rPr>
      <w:rFonts w:eastAsia="Times New Roman" w:cs="Times New Roman"/>
      <w:b/>
      <w:bCs/>
      <w:iCs/>
      <w:sz w:val="28"/>
      <w:szCs w:val="20"/>
      <w:lang w:val="x-none" w:eastAsia="x-none"/>
    </w:rPr>
  </w:style>
  <w:style w:type="paragraph" w:styleId="Heading5">
    <w:name w:val="heading 5"/>
    <w:basedOn w:val="Normal"/>
    <w:next w:val="Normal"/>
    <w:link w:val="Heading5Char"/>
    <w:unhideWhenUsed/>
    <w:qFormat/>
    <w:rsid w:val="009814E7"/>
    <w:pPr>
      <w:keepNext/>
      <w:keepLines/>
      <w:spacing w:before="200"/>
      <w:outlineLvl w:val="4"/>
    </w:pPr>
    <w:rPr>
      <w:rFonts w:eastAsia="Times New Roman" w:cs="Times New Roman"/>
      <w:b/>
      <w:i/>
      <w:color w:val="000000" w:themeColor="text1"/>
      <w:szCs w:val="20"/>
      <w:lang w:val="x-none" w:eastAsia="x-none"/>
    </w:rPr>
  </w:style>
  <w:style w:type="paragraph" w:styleId="Heading6">
    <w:name w:val="heading 6"/>
    <w:basedOn w:val="Normal"/>
    <w:next w:val="Normal"/>
    <w:link w:val="Heading6Char"/>
    <w:unhideWhenUsed/>
    <w:qFormat/>
    <w:rsid w:val="0030523C"/>
    <w:pPr>
      <w:keepNext/>
      <w:keepLines/>
      <w:spacing w:before="200"/>
      <w:outlineLvl w:val="5"/>
    </w:pPr>
    <w:rPr>
      <w:rFonts w:ascii="Calibri Light" w:eastAsia="Times New Roman" w:hAnsi="Calibri Light" w:cs="Times New Roman"/>
      <w:i/>
      <w:iCs/>
      <w:color w:val="1F4D78"/>
      <w:szCs w:val="20"/>
      <w:lang w:val="x-none" w:eastAsia="x-none"/>
    </w:rPr>
  </w:style>
  <w:style w:type="paragraph" w:styleId="Heading7">
    <w:name w:val="heading 7"/>
    <w:basedOn w:val="Normal"/>
    <w:next w:val="Normal"/>
    <w:link w:val="Heading7Char"/>
    <w:unhideWhenUsed/>
    <w:qFormat/>
    <w:rsid w:val="0030523C"/>
    <w:pPr>
      <w:keepNext/>
      <w:keepLines/>
      <w:spacing w:before="200"/>
      <w:outlineLvl w:val="6"/>
    </w:pPr>
    <w:rPr>
      <w:rFonts w:ascii="Calibri Light" w:eastAsia="Times New Roman" w:hAnsi="Calibri Light" w:cs="Times New Roman"/>
      <w:i/>
      <w:iCs/>
      <w:color w:val="404040"/>
      <w:szCs w:val="20"/>
      <w:lang w:val="x-none" w:eastAsia="x-none"/>
    </w:rPr>
  </w:style>
  <w:style w:type="paragraph" w:styleId="Heading8">
    <w:name w:val="heading 8"/>
    <w:basedOn w:val="Normal"/>
    <w:next w:val="Normal"/>
    <w:link w:val="Heading8Char"/>
    <w:unhideWhenUsed/>
    <w:qFormat/>
    <w:rsid w:val="0030523C"/>
    <w:pPr>
      <w:keepNext/>
      <w:keepLines/>
      <w:spacing w:before="200"/>
      <w:outlineLvl w:val="7"/>
    </w:pPr>
    <w:rPr>
      <w:rFonts w:ascii="Calibri Light" w:eastAsia="Times New Roman" w:hAnsi="Calibri Light" w:cs="Times New Roman"/>
      <w:color w:val="404040"/>
      <w:szCs w:val="20"/>
      <w:lang w:val="x-none" w:eastAsia="x-none"/>
    </w:rPr>
  </w:style>
  <w:style w:type="paragraph" w:styleId="Heading9">
    <w:name w:val="heading 9"/>
    <w:basedOn w:val="Normal"/>
    <w:next w:val="Normal"/>
    <w:link w:val="Heading9Char"/>
    <w:unhideWhenUsed/>
    <w:qFormat/>
    <w:rsid w:val="0030523C"/>
    <w:pPr>
      <w:keepNext/>
      <w:keepLines/>
      <w:spacing w:before="200"/>
      <w:outlineLvl w:val="8"/>
    </w:pPr>
    <w:rPr>
      <w:rFonts w:ascii="Calibri Light" w:eastAsia="Times New Roman" w:hAnsi="Calibri Light" w:cs="Times New Roman"/>
      <w:i/>
      <w:iCs/>
      <w:color w:val="40404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30523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0523C"/>
    <w:rPr>
      <w:rFonts w:ascii="Arial" w:eastAsia="Times New Roman" w:hAnsi="Arial" w:cs="Times New Roman"/>
      <w:b/>
      <w:color w:val="000000"/>
      <w:sz w:val="24"/>
      <w:szCs w:val="26"/>
      <w:shd w:val="clear" w:color="auto" w:fill="D9D9D9"/>
    </w:rPr>
  </w:style>
  <w:style w:type="character" w:customStyle="1" w:styleId="Heading3Char">
    <w:name w:val="Heading 3 Char"/>
    <w:basedOn w:val="DefaultParagraphFont"/>
    <w:link w:val="Heading3"/>
    <w:rsid w:val="008E1CB9"/>
    <w:rPr>
      <w:b/>
      <w:color w:val="0070C0"/>
      <w:sz w:val="28"/>
    </w:rPr>
  </w:style>
  <w:style w:type="character" w:customStyle="1" w:styleId="Heading4Char">
    <w:name w:val="Heading 4 Char"/>
    <w:basedOn w:val="DefaultParagraphFont"/>
    <w:link w:val="Heading4"/>
    <w:rsid w:val="009814E7"/>
    <w:rPr>
      <w:rFonts w:eastAsia="Times New Roman" w:cs="Times New Roman"/>
      <w:b/>
      <w:bCs/>
      <w:iCs/>
      <w:sz w:val="28"/>
      <w:szCs w:val="20"/>
      <w:lang w:val="x-none" w:eastAsia="x-none"/>
    </w:rPr>
  </w:style>
  <w:style w:type="character" w:customStyle="1" w:styleId="Heading5Char">
    <w:name w:val="Heading 5 Char"/>
    <w:basedOn w:val="DefaultParagraphFont"/>
    <w:link w:val="Heading5"/>
    <w:rsid w:val="009814E7"/>
    <w:rPr>
      <w:rFonts w:eastAsia="Times New Roman" w:cs="Times New Roman"/>
      <w:b/>
      <w:i/>
      <w:color w:val="000000" w:themeColor="text1"/>
      <w:szCs w:val="20"/>
      <w:lang w:val="x-none" w:eastAsia="x-none"/>
    </w:rPr>
  </w:style>
  <w:style w:type="character" w:customStyle="1" w:styleId="Heading6Char">
    <w:name w:val="Heading 6 Char"/>
    <w:basedOn w:val="DefaultParagraphFont"/>
    <w:link w:val="Heading6"/>
    <w:rsid w:val="0030523C"/>
    <w:rPr>
      <w:rFonts w:ascii="Calibri Light" w:eastAsia="Times New Roman" w:hAnsi="Calibri Light" w:cs="Times New Roman"/>
      <w:i/>
      <w:iCs/>
      <w:color w:val="1F4D78"/>
      <w:sz w:val="20"/>
      <w:szCs w:val="20"/>
      <w:lang w:val="x-none" w:eastAsia="x-none"/>
    </w:rPr>
  </w:style>
  <w:style w:type="character" w:customStyle="1" w:styleId="Heading7Char">
    <w:name w:val="Heading 7 Char"/>
    <w:basedOn w:val="DefaultParagraphFont"/>
    <w:link w:val="Heading7"/>
    <w:rsid w:val="0030523C"/>
    <w:rPr>
      <w:rFonts w:ascii="Calibri Light" w:eastAsia="Times New Roman" w:hAnsi="Calibri Light" w:cs="Times New Roman"/>
      <w:i/>
      <w:iCs/>
      <w:color w:val="404040"/>
      <w:sz w:val="20"/>
      <w:szCs w:val="20"/>
      <w:lang w:val="x-none" w:eastAsia="x-none"/>
    </w:rPr>
  </w:style>
  <w:style w:type="character" w:customStyle="1" w:styleId="Heading8Char">
    <w:name w:val="Heading 8 Char"/>
    <w:basedOn w:val="DefaultParagraphFont"/>
    <w:link w:val="Heading8"/>
    <w:rsid w:val="0030523C"/>
    <w:rPr>
      <w:rFonts w:ascii="Calibri Light" w:eastAsia="Times New Roman" w:hAnsi="Calibri Light" w:cs="Times New Roman"/>
      <w:color w:val="404040"/>
      <w:sz w:val="20"/>
      <w:szCs w:val="20"/>
      <w:lang w:val="x-none" w:eastAsia="x-none"/>
    </w:rPr>
  </w:style>
  <w:style w:type="character" w:customStyle="1" w:styleId="Heading9Char">
    <w:name w:val="Heading 9 Char"/>
    <w:basedOn w:val="DefaultParagraphFont"/>
    <w:link w:val="Heading9"/>
    <w:rsid w:val="0030523C"/>
    <w:rPr>
      <w:rFonts w:ascii="Calibri Light" w:eastAsia="Times New Roman" w:hAnsi="Calibri Light" w:cs="Times New Roman"/>
      <w:i/>
      <w:iCs/>
      <w:color w:val="404040"/>
      <w:sz w:val="20"/>
      <w:szCs w:val="20"/>
      <w:lang w:val="x-none" w:eastAsia="x-none"/>
    </w:rPr>
  </w:style>
  <w:style w:type="paragraph" w:styleId="ListParagraph">
    <w:name w:val="List Paragraph"/>
    <w:aliases w:val="Bullets,List Bullet Mary,List Paragraph (numbered (a)),body bullets,Liste 1,Paragraphe  revu,List Paragraph nowy,Numbered Paragraph"/>
    <w:basedOn w:val="Normal"/>
    <w:link w:val="ListParagraphChar"/>
    <w:uiPriority w:val="34"/>
    <w:qFormat/>
    <w:rsid w:val="0030523C"/>
    <w:pPr>
      <w:ind w:left="720"/>
      <w:contextualSpacing/>
    </w:pPr>
  </w:style>
  <w:style w:type="character" w:styleId="CommentReference">
    <w:name w:val="annotation reference"/>
    <w:uiPriority w:val="99"/>
    <w:unhideWhenUsed/>
    <w:rsid w:val="0030523C"/>
    <w:rPr>
      <w:sz w:val="16"/>
      <w:szCs w:val="16"/>
    </w:rPr>
  </w:style>
  <w:style w:type="paragraph" w:styleId="CommentText">
    <w:name w:val="annotation text"/>
    <w:basedOn w:val="Normal"/>
    <w:link w:val="CommentTextChar"/>
    <w:uiPriority w:val="99"/>
    <w:unhideWhenUsed/>
    <w:rsid w:val="0030523C"/>
    <w:rPr>
      <w:rFonts w:ascii="Calibri" w:hAnsi="Calibri" w:cs="Times New Roman"/>
      <w:szCs w:val="20"/>
      <w:lang w:val="x-none" w:eastAsia="x-none"/>
    </w:rPr>
  </w:style>
  <w:style w:type="character" w:customStyle="1" w:styleId="CommentTextChar">
    <w:name w:val="Comment Text Char"/>
    <w:basedOn w:val="DefaultParagraphFont"/>
    <w:link w:val="CommentText"/>
    <w:uiPriority w:val="99"/>
    <w:rsid w:val="0030523C"/>
    <w:rPr>
      <w:rFonts w:ascii="Calibri" w:eastAsia="Calibri" w:hAnsi="Calibri" w:cs="Times New Roman"/>
      <w:sz w:val="20"/>
      <w:szCs w:val="20"/>
      <w:lang w:val="x-none" w:eastAsia="x-none"/>
    </w:rPr>
  </w:style>
  <w:style w:type="paragraph" w:styleId="FootnoteText">
    <w:name w:val="footnote text"/>
    <w:aliases w:val="FOOTNOTES,fn,single space,footnote text,Char Char Char,Char Char"/>
    <w:basedOn w:val="Normal"/>
    <w:link w:val="FootnoteTextChar"/>
    <w:uiPriority w:val="99"/>
    <w:unhideWhenUsed/>
    <w:rsid w:val="0030523C"/>
    <w:rPr>
      <w:rFonts w:cs="Times New Roman"/>
      <w:color w:val="000000"/>
      <w:sz w:val="16"/>
      <w:szCs w:val="20"/>
      <w:lang w:val="x-none" w:eastAsia="x-none"/>
    </w:rPr>
  </w:style>
  <w:style w:type="character" w:customStyle="1" w:styleId="FootnoteTextChar">
    <w:name w:val="Footnote Text Char"/>
    <w:aliases w:val="FOOTNOTES Char,fn Char,single space Char,footnote text Char,Char Char Char Char,Char Char Char1"/>
    <w:basedOn w:val="DefaultParagraphFont"/>
    <w:link w:val="FootnoteText"/>
    <w:uiPriority w:val="99"/>
    <w:rsid w:val="0030523C"/>
    <w:rPr>
      <w:rFonts w:ascii="Arial" w:eastAsia="Calibri" w:hAnsi="Arial" w:cs="Times New Roman"/>
      <w:color w:val="000000"/>
      <w:sz w:val="16"/>
      <w:szCs w:val="20"/>
      <w:lang w:val="x-none" w:eastAsia="x-none"/>
    </w:rPr>
  </w:style>
  <w:style w:type="character" w:styleId="FootnoteReference">
    <w:name w:val="footnote reference"/>
    <w:aliases w:val="Error-Fußnotenzeichen5,Error-Fußnotenzeichen6,Error-Fußnotenzeichen3"/>
    <w:uiPriority w:val="99"/>
    <w:unhideWhenUsed/>
    <w:rsid w:val="0030523C"/>
    <w:rPr>
      <w:vertAlign w:val="superscript"/>
    </w:rPr>
  </w:style>
  <w:style w:type="character" w:styleId="Hyperlink">
    <w:name w:val="Hyperlink"/>
    <w:uiPriority w:val="99"/>
    <w:unhideWhenUsed/>
    <w:rsid w:val="0030523C"/>
    <w:rPr>
      <w:color w:val="0563C1"/>
      <w:u w:val="single"/>
    </w:rPr>
  </w:style>
  <w:style w:type="paragraph" w:styleId="BalloonText">
    <w:name w:val="Balloon Text"/>
    <w:basedOn w:val="Normal"/>
    <w:link w:val="BalloonTextChar"/>
    <w:uiPriority w:val="99"/>
    <w:semiHidden/>
    <w:unhideWhenUsed/>
    <w:rsid w:val="0030523C"/>
    <w:rPr>
      <w:rFonts w:ascii="Segoe UI" w:hAnsi="Segoe UI" w:cs="Times New Roman"/>
      <w:sz w:val="18"/>
      <w:szCs w:val="18"/>
      <w:lang w:val="x-none" w:eastAsia="x-none"/>
    </w:rPr>
  </w:style>
  <w:style w:type="character" w:customStyle="1" w:styleId="BalloonTextChar">
    <w:name w:val="Balloon Text Char"/>
    <w:basedOn w:val="DefaultParagraphFont"/>
    <w:link w:val="BalloonText"/>
    <w:uiPriority w:val="99"/>
    <w:semiHidden/>
    <w:rsid w:val="0030523C"/>
    <w:rPr>
      <w:rFonts w:ascii="Segoe UI" w:eastAsia="Calibri" w:hAnsi="Segoe UI" w:cs="Times New Roman"/>
      <w:sz w:val="18"/>
      <w:szCs w:val="18"/>
      <w:lang w:val="x-none" w:eastAsia="x-none"/>
    </w:rPr>
  </w:style>
  <w:style w:type="paragraph" w:customStyle="1" w:styleId="Default">
    <w:name w:val="Default"/>
    <w:rsid w:val="0030523C"/>
    <w:pPr>
      <w:autoSpaceDE w:val="0"/>
      <w:autoSpaceDN w:val="0"/>
      <w:adjustRightInd w:val="0"/>
      <w:spacing w:after="0" w:line="240" w:lineRule="auto"/>
    </w:pPr>
    <w:rPr>
      <w:rFonts w:ascii="Univers 55" w:eastAsia="Calibri" w:hAnsi="Univers 55" w:cs="Univers 55"/>
      <w:color w:val="000000"/>
      <w:szCs w:val="24"/>
    </w:rPr>
  </w:style>
  <w:style w:type="paragraph" w:styleId="BodyText">
    <w:name w:val="Body Text"/>
    <w:link w:val="BodyTextChar"/>
    <w:rsid w:val="0030523C"/>
    <w:pPr>
      <w:numPr>
        <w:ilvl w:val="1"/>
        <w:numId w:val="1"/>
      </w:numPr>
      <w:spacing w:after="165" w:line="280" w:lineRule="atLeast"/>
    </w:pPr>
    <w:rPr>
      <w:rFonts w:ascii="Humnst777 Lt BT" w:eastAsia="Times New Roman" w:hAnsi="Humnst777 Lt BT" w:cs="Times New Roman"/>
      <w:sz w:val="20"/>
      <w:szCs w:val="24"/>
      <w:lang w:eastAsia="en-GB"/>
    </w:rPr>
  </w:style>
  <w:style w:type="character" w:customStyle="1" w:styleId="BodyTextChar">
    <w:name w:val="Body Text Char"/>
    <w:basedOn w:val="DefaultParagraphFont"/>
    <w:link w:val="BodyText"/>
    <w:rsid w:val="0030523C"/>
    <w:rPr>
      <w:rFonts w:ascii="Humnst777 Lt BT" w:eastAsia="Times New Roman" w:hAnsi="Humnst777 Lt BT" w:cs="Times New Roman"/>
      <w:sz w:val="20"/>
      <w:szCs w:val="24"/>
      <w:lang w:eastAsia="en-GB"/>
    </w:rPr>
  </w:style>
  <w:style w:type="paragraph" w:styleId="BodyText2">
    <w:name w:val="Body Text 2"/>
    <w:basedOn w:val="BodyText"/>
    <w:link w:val="BodyText2Char"/>
    <w:rsid w:val="0030523C"/>
    <w:pPr>
      <w:numPr>
        <w:ilvl w:val="2"/>
      </w:numPr>
    </w:pPr>
    <w:rPr>
      <w:lang w:val="x-none"/>
    </w:rPr>
  </w:style>
  <w:style w:type="character" w:customStyle="1" w:styleId="BodyText2Char">
    <w:name w:val="Body Text 2 Char"/>
    <w:basedOn w:val="DefaultParagraphFont"/>
    <w:link w:val="BodyText2"/>
    <w:rsid w:val="0030523C"/>
    <w:rPr>
      <w:rFonts w:ascii="Humnst777 Lt BT" w:eastAsia="Times New Roman" w:hAnsi="Humnst777 Lt BT" w:cs="Times New Roman"/>
      <w:sz w:val="20"/>
      <w:szCs w:val="24"/>
      <w:lang w:val="x-none" w:eastAsia="en-GB"/>
    </w:rPr>
  </w:style>
  <w:style w:type="paragraph" w:customStyle="1" w:styleId="BoxHeading">
    <w:name w:val="Box Heading"/>
    <w:next w:val="BodyText3"/>
    <w:uiPriority w:val="99"/>
    <w:rsid w:val="0030523C"/>
    <w:pPr>
      <w:keepNext/>
      <w:numPr>
        <w:ilvl w:val="3"/>
        <w:numId w:val="1"/>
      </w:numPr>
      <w:spacing w:after="165" w:line="260" w:lineRule="atLeast"/>
    </w:pPr>
    <w:rPr>
      <w:rFonts w:ascii="Humnst777 BT" w:eastAsia="Times New Roman" w:hAnsi="Humnst777 BT" w:cs="Times New Roman"/>
      <w:b/>
      <w:color w:val="C40012"/>
      <w:sz w:val="20"/>
      <w:szCs w:val="24"/>
      <w:lang w:eastAsia="en-GB"/>
    </w:rPr>
  </w:style>
  <w:style w:type="paragraph" w:customStyle="1" w:styleId="FigureHeading">
    <w:name w:val="Figure Heading"/>
    <w:uiPriority w:val="99"/>
    <w:rsid w:val="0030523C"/>
    <w:pPr>
      <w:keepNext/>
      <w:numPr>
        <w:ilvl w:val="4"/>
        <w:numId w:val="1"/>
      </w:numPr>
      <w:spacing w:after="57" w:line="240" w:lineRule="atLeast"/>
    </w:pPr>
    <w:rPr>
      <w:rFonts w:ascii="Humnst777 BT" w:eastAsia="Times New Roman" w:hAnsi="Humnst777 BT" w:cs="Times New Roman"/>
      <w:b/>
      <w:color w:val="C40012"/>
      <w:sz w:val="20"/>
      <w:szCs w:val="24"/>
      <w:lang w:eastAsia="en-GB"/>
    </w:rPr>
  </w:style>
  <w:style w:type="paragraph" w:customStyle="1" w:styleId="TableHeading">
    <w:name w:val="Table Heading"/>
    <w:basedOn w:val="FigureHeading"/>
    <w:uiPriority w:val="99"/>
    <w:rsid w:val="0030523C"/>
    <w:pPr>
      <w:numPr>
        <w:ilvl w:val="5"/>
      </w:numPr>
    </w:pPr>
  </w:style>
  <w:style w:type="paragraph" w:customStyle="1" w:styleId="ChartHeading">
    <w:name w:val="Chart Heading"/>
    <w:basedOn w:val="FigureHeading"/>
    <w:uiPriority w:val="99"/>
    <w:rsid w:val="0030523C"/>
    <w:pPr>
      <w:numPr>
        <w:ilvl w:val="6"/>
      </w:numPr>
    </w:pPr>
  </w:style>
  <w:style w:type="paragraph" w:styleId="NormalWeb">
    <w:name w:val="Normal (Web)"/>
    <w:basedOn w:val="Normal"/>
    <w:uiPriority w:val="99"/>
    <w:unhideWhenUsed/>
    <w:rsid w:val="0030523C"/>
    <w:pPr>
      <w:spacing w:before="100" w:beforeAutospacing="1" w:after="100" w:afterAutospacing="1"/>
    </w:pPr>
    <w:rPr>
      <w:rFonts w:ascii="Times New Roman" w:eastAsia="Times New Roman" w:hAnsi="Times New Roman" w:cs="Times New Roman"/>
      <w:szCs w:val="24"/>
      <w:lang w:eastAsia="en-GB"/>
    </w:rPr>
  </w:style>
  <w:style w:type="paragraph" w:styleId="BodyText3">
    <w:name w:val="Body Text 3"/>
    <w:basedOn w:val="Normal"/>
    <w:link w:val="BodyText3Char"/>
    <w:uiPriority w:val="99"/>
    <w:unhideWhenUsed/>
    <w:rsid w:val="0030523C"/>
    <w:pPr>
      <w:spacing w:after="120"/>
    </w:pPr>
    <w:rPr>
      <w:rFonts w:ascii="Calibri" w:hAnsi="Calibri" w:cs="Times New Roman"/>
      <w:sz w:val="16"/>
      <w:lang w:val="x-none" w:eastAsia="x-none"/>
    </w:rPr>
  </w:style>
  <w:style w:type="character" w:customStyle="1" w:styleId="BodyText3Char">
    <w:name w:val="Body Text 3 Char"/>
    <w:basedOn w:val="DefaultParagraphFont"/>
    <w:link w:val="BodyText3"/>
    <w:uiPriority w:val="99"/>
    <w:rsid w:val="0030523C"/>
    <w:rPr>
      <w:rFonts w:ascii="Calibri" w:eastAsia="Calibri" w:hAnsi="Calibri" w:cs="Times New Roman"/>
      <w:sz w:val="16"/>
      <w:szCs w:val="16"/>
      <w:lang w:val="x-none" w:eastAsia="x-none"/>
    </w:rPr>
  </w:style>
  <w:style w:type="paragraph" w:styleId="CommentSubject">
    <w:name w:val="annotation subject"/>
    <w:basedOn w:val="CommentText"/>
    <w:next w:val="CommentText"/>
    <w:link w:val="CommentSubjectChar"/>
    <w:unhideWhenUsed/>
    <w:rsid w:val="0030523C"/>
    <w:rPr>
      <w:b/>
      <w:bCs/>
    </w:rPr>
  </w:style>
  <w:style w:type="character" w:customStyle="1" w:styleId="CommentSubjectChar">
    <w:name w:val="Comment Subject Char"/>
    <w:basedOn w:val="CommentTextChar"/>
    <w:link w:val="CommentSubject"/>
    <w:rsid w:val="0030523C"/>
    <w:rPr>
      <w:rFonts w:ascii="Calibri" w:eastAsia="Calibri" w:hAnsi="Calibri" w:cs="Times New Roman"/>
      <w:b/>
      <w:bCs/>
      <w:sz w:val="20"/>
      <w:szCs w:val="20"/>
      <w:lang w:val="x-none" w:eastAsia="x-none"/>
    </w:rPr>
  </w:style>
  <w:style w:type="paragraph" w:styleId="Header">
    <w:name w:val="header"/>
    <w:basedOn w:val="Normal"/>
    <w:link w:val="HeaderChar"/>
    <w:uiPriority w:val="99"/>
    <w:unhideWhenUsed/>
    <w:rsid w:val="0030523C"/>
    <w:pPr>
      <w:tabs>
        <w:tab w:val="center" w:pos="4513"/>
        <w:tab w:val="right" w:pos="9026"/>
      </w:tabs>
    </w:pPr>
  </w:style>
  <w:style w:type="character" w:customStyle="1" w:styleId="HeaderChar">
    <w:name w:val="Header Char"/>
    <w:basedOn w:val="DefaultParagraphFont"/>
    <w:link w:val="Header"/>
    <w:uiPriority w:val="99"/>
    <w:rsid w:val="0030523C"/>
    <w:rPr>
      <w:rFonts w:ascii="Arial" w:eastAsia="Calibri" w:hAnsi="Arial" w:cs="Arial"/>
      <w:sz w:val="20"/>
    </w:rPr>
  </w:style>
  <w:style w:type="paragraph" w:styleId="Footer">
    <w:name w:val="footer"/>
    <w:basedOn w:val="Normal"/>
    <w:link w:val="FooterChar"/>
    <w:uiPriority w:val="99"/>
    <w:unhideWhenUsed/>
    <w:rsid w:val="0030523C"/>
    <w:pPr>
      <w:tabs>
        <w:tab w:val="center" w:pos="4513"/>
        <w:tab w:val="right" w:pos="9026"/>
      </w:tabs>
    </w:pPr>
  </w:style>
  <w:style w:type="character" w:customStyle="1" w:styleId="FooterChar">
    <w:name w:val="Footer Char"/>
    <w:basedOn w:val="DefaultParagraphFont"/>
    <w:link w:val="Footer"/>
    <w:uiPriority w:val="99"/>
    <w:rsid w:val="0030523C"/>
    <w:rPr>
      <w:rFonts w:ascii="Arial" w:eastAsia="Calibri" w:hAnsi="Arial" w:cs="Arial"/>
      <w:sz w:val="20"/>
    </w:rPr>
  </w:style>
  <w:style w:type="paragraph" w:styleId="PlainText">
    <w:name w:val="Plain Text"/>
    <w:basedOn w:val="Normal"/>
    <w:link w:val="PlainTextChar"/>
    <w:uiPriority w:val="99"/>
    <w:unhideWhenUsed/>
    <w:rsid w:val="0030523C"/>
    <w:rPr>
      <w:rFonts w:ascii="Consolas" w:hAnsi="Consolas" w:cs="Times New Roman"/>
      <w:color w:val="000000"/>
      <w:sz w:val="21"/>
      <w:szCs w:val="21"/>
      <w:lang w:val="x-none" w:eastAsia="x-none"/>
    </w:rPr>
  </w:style>
  <w:style w:type="character" w:customStyle="1" w:styleId="PlainTextChar">
    <w:name w:val="Plain Text Char"/>
    <w:basedOn w:val="DefaultParagraphFont"/>
    <w:link w:val="PlainText"/>
    <w:uiPriority w:val="99"/>
    <w:rsid w:val="0030523C"/>
    <w:rPr>
      <w:rFonts w:ascii="Consolas" w:eastAsia="Calibri" w:hAnsi="Consolas" w:cs="Times New Roman"/>
      <w:color w:val="000000"/>
      <w:sz w:val="21"/>
      <w:szCs w:val="21"/>
      <w:lang w:val="x-none" w:eastAsia="x-none"/>
    </w:rPr>
  </w:style>
  <w:style w:type="table" w:styleId="TableGrid">
    <w:name w:val="Table Grid"/>
    <w:basedOn w:val="TableNormal"/>
    <w:uiPriority w:val="39"/>
    <w:rsid w:val="0030523C"/>
    <w:pPr>
      <w:spacing w:after="0" w:line="240" w:lineRule="auto"/>
    </w:pPr>
    <w:rPr>
      <w:rFonts w:ascii="Calibri" w:eastAsia="Calibri" w:hAnsi="Calibri" w:cs="Times New Roman"/>
      <w:color w:val="000000"/>
      <w:sz w:val="20"/>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0523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0523C"/>
  </w:style>
  <w:style w:type="numbering" w:customStyle="1" w:styleId="Style1">
    <w:name w:val="Style1"/>
    <w:uiPriority w:val="99"/>
    <w:rsid w:val="0030523C"/>
    <w:pPr>
      <w:numPr>
        <w:numId w:val="2"/>
      </w:numPr>
    </w:pPr>
  </w:style>
  <w:style w:type="character" w:styleId="Strong">
    <w:name w:val="Strong"/>
    <w:uiPriority w:val="22"/>
    <w:qFormat/>
    <w:rsid w:val="0030523C"/>
    <w:rPr>
      <w:b/>
      <w:bCs/>
    </w:rPr>
  </w:style>
  <w:style w:type="character" w:styleId="FollowedHyperlink">
    <w:name w:val="FollowedHyperlink"/>
    <w:uiPriority w:val="99"/>
    <w:unhideWhenUsed/>
    <w:rsid w:val="0030523C"/>
    <w:rPr>
      <w:color w:val="954F72"/>
      <w:u w:val="single"/>
    </w:rPr>
  </w:style>
  <w:style w:type="paragraph" w:styleId="NoSpacing">
    <w:name w:val="No Spacing"/>
    <w:uiPriority w:val="1"/>
    <w:qFormat/>
    <w:rsid w:val="0030523C"/>
    <w:pPr>
      <w:spacing w:after="0" w:line="240" w:lineRule="auto"/>
    </w:pPr>
    <w:rPr>
      <w:rFonts w:ascii="Calibri" w:eastAsia="Calibri" w:hAnsi="Calibri"/>
    </w:rPr>
  </w:style>
  <w:style w:type="character" w:customStyle="1" w:styleId="personname2">
    <w:name w:val="person_name2"/>
    <w:basedOn w:val="DefaultParagraphFont"/>
    <w:rsid w:val="0030523C"/>
  </w:style>
  <w:style w:type="character" w:styleId="Emphasis">
    <w:name w:val="Emphasis"/>
    <w:uiPriority w:val="20"/>
    <w:qFormat/>
    <w:rsid w:val="0030523C"/>
    <w:rPr>
      <w:i/>
      <w:iCs/>
    </w:rPr>
  </w:style>
  <w:style w:type="paragraph" w:styleId="Revision">
    <w:name w:val="Revision"/>
    <w:hidden/>
    <w:uiPriority w:val="99"/>
    <w:semiHidden/>
    <w:rsid w:val="0030523C"/>
    <w:pPr>
      <w:spacing w:after="0" w:line="240" w:lineRule="auto"/>
    </w:pPr>
    <w:rPr>
      <w:rFonts w:ascii="Calibri" w:eastAsia="Calibri" w:hAnsi="Calibri" w:cs="Times New Roman"/>
      <w:color w:val="000000"/>
      <w:szCs w:val="24"/>
    </w:rPr>
  </w:style>
  <w:style w:type="paragraph" w:styleId="EndnoteText">
    <w:name w:val="endnote text"/>
    <w:basedOn w:val="Normal"/>
    <w:link w:val="EndnoteTextChar"/>
    <w:uiPriority w:val="99"/>
    <w:semiHidden/>
    <w:unhideWhenUsed/>
    <w:rsid w:val="0030523C"/>
    <w:rPr>
      <w:rFonts w:ascii="Calibri" w:hAnsi="Calibri" w:cs="Times New Roman"/>
      <w:szCs w:val="20"/>
      <w:lang w:val="x-none" w:eastAsia="x-none"/>
    </w:rPr>
  </w:style>
  <w:style w:type="character" w:customStyle="1" w:styleId="EndnoteTextChar">
    <w:name w:val="Endnote Text Char"/>
    <w:basedOn w:val="DefaultParagraphFont"/>
    <w:link w:val="EndnoteText"/>
    <w:uiPriority w:val="99"/>
    <w:semiHidden/>
    <w:rsid w:val="0030523C"/>
    <w:rPr>
      <w:rFonts w:ascii="Calibri" w:eastAsia="Calibri" w:hAnsi="Calibri" w:cs="Times New Roman"/>
      <w:sz w:val="20"/>
      <w:szCs w:val="20"/>
      <w:lang w:val="x-none" w:eastAsia="x-none"/>
    </w:rPr>
  </w:style>
  <w:style w:type="character" w:styleId="EndnoteReference">
    <w:name w:val="endnote reference"/>
    <w:uiPriority w:val="99"/>
    <w:semiHidden/>
    <w:unhideWhenUsed/>
    <w:rsid w:val="0030523C"/>
    <w:rPr>
      <w:vertAlign w:val="superscript"/>
    </w:rPr>
  </w:style>
  <w:style w:type="character" w:customStyle="1" w:styleId="Heading1Char1">
    <w:name w:val="Heading 1 Char1"/>
    <w:aliases w:val="1 Char,Heading 1 Char1 Char Char,Heading 1 Char Char Char Char,Heading 1 Char1 Char Char Char Char,Heading 1 Char Char Char Char Char Char,Heading 1 Char1 Char Char Char Char Char Char,Heading 1 Char Char Char Char Char Char Char Char"/>
    <w:link w:val="Heading1"/>
    <w:rsid w:val="0030523C"/>
    <w:rPr>
      <w:rFonts w:ascii="Arial" w:eastAsia="Times New Roman" w:hAnsi="Arial" w:cs="Times New Roman"/>
      <w:b/>
      <w:bCs/>
      <w:caps/>
      <w:color w:val="FFFFFF"/>
      <w:sz w:val="24"/>
      <w:szCs w:val="28"/>
      <w:shd w:val="clear" w:color="auto" w:fill="244061"/>
      <w:lang w:val="x-none" w:eastAsia="x-none"/>
    </w:rPr>
  </w:style>
  <w:style w:type="paragraph" w:customStyle="1" w:styleId="Sub1">
    <w:name w:val="Sub 1"/>
    <w:basedOn w:val="Normal"/>
    <w:qFormat/>
    <w:rsid w:val="0030523C"/>
    <w:rPr>
      <w:b/>
      <w:color w:val="0070C0"/>
    </w:rPr>
  </w:style>
  <w:style w:type="paragraph" w:customStyle="1" w:styleId="Sub2">
    <w:name w:val="Sub 2"/>
    <w:basedOn w:val="Normal"/>
    <w:qFormat/>
    <w:rsid w:val="0030523C"/>
    <w:rPr>
      <w:rFonts w:eastAsia="Times New Roman" w:cs="Times New Roman"/>
      <w:b/>
      <w:lang w:eastAsia="en-GB"/>
    </w:rPr>
  </w:style>
  <w:style w:type="paragraph" w:customStyle="1" w:styleId="Bullet1">
    <w:name w:val="Bullet 1"/>
    <w:basedOn w:val="Normal"/>
    <w:qFormat/>
    <w:rsid w:val="0030523C"/>
    <w:pPr>
      <w:numPr>
        <w:numId w:val="3"/>
      </w:numPr>
      <w:contextualSpacing/>
    </w:pPr>
    <w:rPr>
      <w:rFonts w:cs="Times New Roman"/>
      <w:color w:val="000000"/>
      <w:lang w:val="en"/>
    </w:rPr>
  </w:style>
  <w:style w:type="paragraph" w:styleId="TOC2">
    <w:name w:val="toc 2"/>
    <w:basedOn w:val="Normal"/>
    <w:next w:val="Normal"/>
    <w:autoRedefine/>
    <w:uiPriority w:val="39"/>
    <w:unhideWhenUsed/>
    <w:rsid w:val="00745254"/>
    <w:pPr>
      <w:tabs>
        <w:tab w:val="left" w:pos="567"/>
        <w:tab w:val="right" w:leader="dot" w:pos="9060"/>
      </w:tabs>
      <w:spacing w:after="100"/>
      <w:ind w:left="850" w:hanging="562"/>
    </w:pPr>
  </w:style>
  <w:style w:type="paragraph" w:styleId="TOC1">
    <w:name w:val="toc 1"/>
    <w:basedOn w:val="Normal"/>
    <w:next w:val="Normal"/>
    <w:autoRedefine/>
    <w:uiPriority w:val="39"/>
    <w:unhideWhenUsed/>
    <w:rsid w:val="002D7F63"/>
    <w:pPr>
      <w:tabs>
        <w:tab w:val="left" w:pos="284"/>
        <w:tab w:val="right" w:leader="dot" w:pos="9060"/>
      </w:tabs>
    </w:pPr>
    <w:rPr>
      <w:b/>
      <w:caps/>
      <w:noProof/>
      <w:szCs w:val="24"/>
    </w:rPr>
  </w:style>
  <w:style w:type="character" w:styleId="PageNumber">
    <w:name w:val="page number"/>
    <w:basedOn w:val="DefaultParagraphFont"/>
    <w:rsid w:val="0030523C"/>
  </w:style>
  <w:style w:type="paragraph" w:customStyle="1" w:styleId="TableText">
    <w:name w:val="Table Text"/>
    <w:rsid w:val="0030523C"/>
    <w:pPr>
      <w:spacing w:after="0" w:line="240" w:lineRule="auto"/>
    </w:pPr>
    <w:rPr>
      <w:rFonts w:ascii="Times New Roman" w:eastAsia="Times New Roman" w:hAnsi="Times New Roman" w:cs="Times New Roman"/>
      <w:snapToGrid w:val="0"/>
      <w:color w:val="000000"/>
      <w:szCs w:val="20"/>
    </w:rPr>
  </w:style>
  <w:style w:type="paragraph" w:styleId="BlockText">
    <w:name w:val="Block Text"/>
    <w:basedOn w:val="Normal"/>
    <w:rsid w:val="0030523C"/>
    <w:pPr>
      <w:ind w:left="426" w:right="-335"/>
      <w:jc w:val="both"/>
    </w:pPr>
    <w:rPr>
      <w:rFonts w:ascii="Times New Roman" w:eastAsia="Times New Roman" w:hAnsi="Times New Roman" w:cs="Times New Roman"/>
      <w:szCs w:val="20"/>
    </w:rPr>
  </w:style>
  <w:style w:type="paragraph" w:styleId="BodyTextIndent2">
    <w:name w:val="Body Text Indent 2"/>
    <w:basedOn w:val="Normal"/>
    <w:link w:val="BodyTextIndent2Char"/>
    <w:rsid w:val="0030523C"/>
    <w:pPr>
      <w:ind w:left="360"/>
    </w:pPr>
    <w:rPr>
      <w:rFonts w:ascii="Times New Roman" w:eastAsia="Times New Roman" w:hAnsi="Times New Roman" w:cs="Times New Roman"/>
      <w:szCs w:val="20"/>
      <w:lang w:val="en-US" w:eastAsia="x-none"/>
    </w:rPr>
  </w:style>
  <w:style w:type="character" w:customStyle="1" w:styleId="BodyTextIndent2Char">
    <w:name w:val="Body Text Indent 2 Char"/>
    <w:basedOn w:val="DefaultParagraphFont"/>
    <w:link w:val="BodyTextIndent2"/>
    <w:rsid w:val="0030523C"/>
    <w:rPr>
      <w:rFonts w:ascii="Times New Roman" w:eastAsia="Times New Roman" w:hAnsi="Times New Roman" w:cs="Times New Roman"/>
      <w:sz w:val="20"/>
      <w:szCs w:val="20"/>
      <w:lang w:val="en-US" w:eastAsia="x-none"/>
    </w:rPr>
  </w:style>
  <w:style w:type="paragraph" w:styleId="BodyTextIndent">
    <w:name w:val="Body Text Indent"/>
    <w:basedOn w:val="Normal"/>
    <w:link w:val="BodyTextIndentChar"/>
    <w:rsid w:val="0030523C"/>
    <w:pPr>
      <w:ind w:left="720"/>
      <w:jc w:val="both"/>
    </w:pPr>
    <w:rPr>
      <w:rFonts w:ascii="Times New Roman" w:eastAsia="Times New Roman" w:hAnsi="Times New Roman" w:cs="Times New Roman"/>
      <w:szCs w:val="20"/>
      <w:lang w:val="x-none" w:eastAsia="x-none"/>
    </w:rPr>
  </w:style>
  <w:style w:type="character" w:customStyle="1" w:styleId="BodyTextIndentChar">
    <w:name w:val="Body Text Indent Char"/>
    <w:basedOn w:val="DefaultParagraphFont"/>
    <w:link w:val="BodyTextIndent"/>
    <w:rsid w:val="0030523C"/>
    <w:rPr>
      <w:rFonts w:ascii="Times New Roman" w:eastAsia="Times New Roman" w:hAnsi="Times New Roman" w:cs="Times New Roman"/>
      <w:sz w:val="20"/>
      <w:szCs w:val="20"/>
      <w:lang w:val="x-none" w:eastAsia="x-none"/>
    </w:rPr>
  </w:style>
  <w:style w:type="paragraph" w:styleId="DocumentMap">
    <w:name w:val="Document Map"/>
    <w:basedOn w:val="Normal"/>
    <w:link w:val="DocumentMapChar"/>
    <w:semiHidden/>
    <w:rsid w:val="0030523C"/>
    <w:pPr>
      <w:shd w:val="clear" w:color="auto" w:fill="000080"/>
    </w:pPr>
    <w:rPr>
      <w:rFonts w:ascii="Tahoma" w:eastAsia="Times New Roman" w:hAnsi="Tahoma" w:cs="Times New Roman"/>
      <w:szCs w:val="20"/>
      <w:lang w:val="x-none" w:eastAsia="x-none"/>
    </w:rPr>
  </w:style>
  <w:style w:type="character" w:customStyle="1" w:styleId="DocumentMapChar">
    <w:name w:val="Document Map Char"/>
    <w:basedOn w:val="DefaultParagraphFont"/>
    <w:link w:val="DocumentMap"/>
    <w:semiHidden/>
    <w:rsid w:val="0030523C"/>
    <w:rPr>
      <w:rFonts w:ascii="Tahoma" w:eastAsia="Times New Roman" w:hAnsi="Tahoma" w:cs="Times New Roman"/>
      <w:sz w:val="24"/>
      <w:szCs w:val="20"/>
      <w:shd w:val="clear" w:color="auto" w:fill="000080"/>
      <w:lang w:val="x-none" w:eastAsia="x-none"/>
    </w:rPr>
  </w:style>
  <w:style w:type="paragraph" w:styleId="EnvelopeReturn">
    <w:name w:val="envelope return"/>
    <w:basedOn w:val="Normal"/>
    <w:rsid w:val="0030523C"/>
    <w:pPr>
      <w:jc w:val="both"/>
    </w:pPr>
    <w:rPr>
      <w:rFonts w:eastAsia="Times New Roman" w:cs="Times New Roman"/>
      <w:szCs w:val="20"/>
    </w:rPr>
  </w:style>
  <w:style w:type="paragraph" w:styleId="BodyTextIndent3">
    <w:name w:val="Body Text Indent 3"/>
    <w:basedOn w:val="Normal"/>
    <w:link w:val="BodyTextIndent3Char"/>
    <w:rsid w:val="0030523C"/>
    <w:pPr>
      <w:tabs>
        <w:tab w:val="left" w:pos="0"/>
        <w:tab w:val="left" w:pos="540"/>
        <w:tab w:val="left" w:pos="851"/>
        <w:tab w:val="left" w:pos="9072"/>
        <w:tab w:val="left" w:pos="9360"/>
      </w:tabs>
      <w:suppressAutoHyphens/>
      <w:ind w:left="993" w:hanging="284"/>
    </w:pPr>
    <w:rPr>
      <w:rFonts w:eastAsia="Times New Roman" w:cs="Times New Roman"/>
      <w:spacing w:val="-3"/>
      <w:szCs w:val="20"/>
      <w:lang w:val="x-none" w:eastAsia="x-none"/>
    </w:rPr>
  </w:style>
  <w:style w:type="character" w:customStyle="1" w:styleId="BodyTextIndent3Char">
    <w:name w:val="Body Text Indent 3 Char"/>
    <w:basedOn w:val="DefaultParagraphFont"/>
    <w:link w:val="BodyTextIndent3"/>
    <w:rsid w:val="0030523C"/>
    <w:rPr>
      <w:rFonts w:ascii="Arial" w:eastAsia="Times New Roman" w:hAnsi="Arial" w:cs="Times New Roman"/>
      <w:spacing w:val="-3"/>
      <w:sz w:val="20"/>
      <w:szCs w:val="20"/>
      <w:lang w:val="x-none" w:eastAsia="x-none"/>
    </w:rPr>
  </w:style>
  <w:style w:type="paragraph" w:customStyle="1" w:styleId="ReportBodyText">
    <w:name w:val="Report Body Text"/>
    <w:basedOn w:val="Normal"/>
    <w:rsid w:val="0030523C"/>
    <w:pPr>
      <w:spacing w:after="120"/>
      <w:jc w:val="both"/>
    </w:pPr>
    <w:rPr>
      <w:rFonts w:eastAsia="Times New Roman" w:cs="Times New Roman"/>
      <w:sz w:val="22"/>
      <w:szCs w:val="20"/>
    </w:rPr>
  </w:style>
  <w:style w:type="paragraph" w:customStyle="1" w:styleId="ReportHead1">
    <w:name w:val="Report Head 1"/>
    <w:basedOn w:val="Normal"/>
    <w:next w:val="Normal"/>
    <w:rsid w:val="0030523C"/>
    <w:pPr>
      <w:numPr>
        <w:numId w:val="5"/>
      </w:numPr>
      <w:spacing w:after="240"/>
      <w:jc w:val="both"/>
      <w:outlineLvl w:val="0"/>
    </w:pPr>
    <w:rPr>
      <w:rFonts w:eastAsia="Times New Roman" w:cs="Times New Roman"/>
      <w:b/>
      <w:caps/>
      <w:szCs w:val="20"/>
    </w:rPr>
  </w:style>
  <w:style w:type="paragraph" w:styleId="ListNumber2">
    <w:name w:val="List Number 2"/>
    <w:basedOn w:val="Normal"/>
    <w:rsid w:val="0030523C"/>
    <w:pPr>
      <w:numPr>
        <w:numId w:val="4"/>
      </w:numPr>
      <w:jc w:val="both"/>
    </w:pPr>
    <w:rPr>
      <w:rFonts w:eastAsia="Times New Roman" w:cs="Times New Roman"/>
      <w:szCs w:val="20"/>
    </w:rPr>
  </w:style>
  <w:style w:type="paragraph" w:customStyle="1" w:styleId="ReportHead2">
    <w:name w:val="Report Head 2"/>
    <w:basedOn w:val="Normal"/>
    <w:next w:val="Normal"/>
    <w:rsid w:val="0030523C"/>
    <w:pPr>
      <w:numPr>
        <w:ilvl w:val="1"/>
        <w:numId w:val="6"/>
      </w:numPr>
      <w:spacing w:after="240"/>
      <w:jc w:val="both"/>
      <w:outlineLvl w:val="1"/>
    </w:pPr>
    <w:rPr>
      <w:rFonts w:eastAsia="Times New Roman" w:cs="Times New Roman"/>
      <w:b/>
      <w:szCs w:val="20"/>
    </w:rPr>
  </w:style>
  <w:style w:type="paragraph" w:customStyle="1" w:styleId="ReportHead3">
    <w:name w:val="Report Head 3"/>
    <w:basedOn w:val="Normal"/>
    <w:next w:val="Normal"/>
    <w:rsid w:val="0030523C"/>
    <w:pPr>
      <w:numPr>
        <w:ilvl w:val="1"/>
        <w:numId w:val="5"/>
      </w:numPr>
      <w:spacing w:after="120"/>
      <w:jc w:val="both"/>
      <w:outlineLvl w:val="1"/>
    </w:pPr>
    <w:rPr>
      <w:rFonts w:eastAsia="Times New Roman" w:cs="Times New Roman"/>
      <w:szCs w:val="20"/>
    </w:rPr>
  </w:style>
  <w:style w:type="paragraph" w:customStyle="1" w:styleId="ReportHead4">
    <w:name w:val="Report Head 4"/>
    <w:basedOn w:val="Normal"/>
    <w:rsid w:val="0030523C"/>
    <w:pPr>
      <w:numPr>
        <w:ilvl w:val="2"/>
        <w:numId w:val="5"/>
      </w:numPr>
      <w:spacing w:after="120"/>
      <w:jc w:val="both"/>
      <w:outlineLvl w:val="2"/>
    </w:pPr>
    <w:rPr>
      <w:rFonts w:eastAsia="Times New Roman" w:cs="Times New Roman"/>
      <w:szCs w:val="20"/>
    </w:rPr>
  </w:style>
  <w:style w:type="paragraph" w:customStyle="1" w:styleId="ReportHead5">
    <w:name w:val="Report Head 5"/>
    <w:basedOn w:val="Normal"/>
    <w:rsid w:val="0030523C"/>
    <w:pPr>
      <w:tabs>
        <w:tab w:val="num" w:pos="851"/>
      </w:tabs>
      <w:spacing w:after="120"/>
      <w:ind w:left="851" w:hanging="851"/>
      <w:jc w:val="both"/>
      <w:outlineLvl w:val="3"/>
    </w:pPr>
    <w:rPr>
      <w:rFonts w:eastAsia="Times New Roman" w:cs="Times New Roman"/>
      <w:szCs w:val="20"/>
    </w:rPr>
  </w:style>
  <w:style w:type="paragraph" w:customStyle="1" w:styleId="ReportHead6">
    <w:name w:val="Report Head 6"/>
    <w:basedOn w:val="Normal"/>
    <w:rsid w:val="0030523C"/>
    <w:pPr>
      <w:tabs>
        <w:tab w:val="num" w:pos="850"/>
      </w:tabs>
      <w:spacing w:after="120"/>
      <w:ind w:left="850" w:hanging="850"/>
      <w:jc w:val="both"/>
      <w:outlineLvl w:val="4"/>
    </w:pPr>
    <w:rPr>
      <w:rFonts w:eastAsia="Times New Roman" w:cs="Times New Roman"/>
      <w:szCs w:val="20"/>
    </w:rPr>
  </w:style>
  <w:style w:type="paragraph" w:customStyle="1" w:styleId="lefttext">
    <w:name w:val="lefttext"/>
    <w:basedOn w:val="Normal"/>
    <w:rsid w:val="0030523C"/>
    <w:pPr>
      <w:spacing w:before="100" w:beforeAutospacing="1" w:after="100" w:afterAutospacing="1"/>
    </w:pPr>
    <w:rPr>
      <w:rFonts w:ascii="Times New Roman" w:eastAsia="Times New Roman" w:hAnsi="Times New Roman" w:cs="Times New Roman"/>
      <w:szCs w:val="24"/>
      <w:lang w:val="nl-BE" w:eastAsia="nl-BE"/>
    </w:rPr>
  </w:style>
  <w:style w:type="paragraph" w:customStyle="1" w:styleId="ListBullet1">
    <w:name w:val="List Bullet 1"/>
    <w:basedOn w:val="Normal"/>
    <w:rsid w:val="0030523C"/>
    <w:pPr>
      <w:numPr>
        <w:numId w:val="7"/>
      </w:numPr>
      <w:spacing w:after="240"/>
      <w:jc w:val="both"/>
    </w:pPr>
    <w:rPr>
      <w:rFonts w:ascii="Times New Roman" w:eastAsia="Times New Roman" w:hAnsi="Times New Roman" w:cs="Times New Roman"/>
      <w:szCs w:val="20"/>
    </w:rPr>
  </w:style>
  <w:style w:type="paragraph" w:customStyle="1" w:styleId="Text1">
    <w:name w:val="Text 1"/>
    <w:basedOn w:val="Normal"/>
    <w:rsid w:val="0030523C"/>
    <w:pPr>
      <w:spacing w:after="240"/>
      <w:ind w:left="482"/>
      <w:jc w:val="both"/>
    </w:pPr>
    <w:rPr>
      <w:rFonts w:ascii="Times New Roman" w:eastAsia="Times New Roman" w:hAnsi="Times New Roman" w:cs="Times New Roman"/>
      <w:szCs w:val="20"/>
    </w:rPr>
  </w:style>
  <w:style w:type="paragraph" w:customStyle="1" w:styleId="Text3">
    <w:name w:val="Text 3"/>
    <w:basedOn w:val="Normal"/>
    <w:rsid w:val="0030523C"/>
    <w:pPr>
      <w:tabs>
        <w:tab w:val="left" w:pos="2302"/>
      </w:tabs>
      <w:spacing w:after="240"/>
      <w:ind w:left="1916"/>
      <w:jc w:val="both"/>
    </w:pPr>
    <w:rPr>
      <w:rFonts w:ascii="Times New Roman" w:eastAsia="Times New Roman" w:hAnsi="Times New Roman" w:cs="Times New Roman"/>
      <w:szCs w:val="20"/>
    </w:rPr>
  </w:style>
  <w:style w:type="paragraph" w:styleId="ListBullet2">
    <w:name w:val="List Bullet 2"/>
    <w:basedOn w:val="Normal"/>
    <w:rsid w:val="0030523C"/>
    <w:pPr>
      <w:numPr>
        <w:numId w:val="8"/>
      </w:numPr>
      <w:spacing w:after="240"/>
      <w:jc w:val="both"/>
    </w:pPr>
    <w:rPr>
      <w:rFonts w:ascii="Times New Roman" w:eastAsia="Times New Roman" w:hAnsi="Times New Roman" w:cs="Times New Roman"/>
      <w:szCs w:val="20"/>
    </w:rPr>
  </w:style>
  <w:style w:type="paragraph" w:customStyle="1" w:styleId="questionsub">
    <w:name w:val="question sub"/>
    <w:basedOn w:val="Normal"/>
    <w:rsid w:val="0030523C"/>
    <w:pPr>
      <w:spacing w:after="120"/>
      <w:ind w:left="576" w:hanging="288"/>
    </w:pPr>
    <w:rPr>
      <w:rFonts w:ascii="Times New Roman" w:eastAsia="Times New Roman" w:hAnsi="Times New Roman" w:cs="Times New Roman"/>
      <w:sz w:val="22"/>
      <w:szCs w:val="20"/>
      <w:lang w:val="en-US"/>
    </w:rPr>
  </w:style>
  <w:style w:type="paragraph" w:customStyle="1" w:styleId="TableauNormal1">
    <w:name w:val="Tableau Normal1"/>
    <w:basedOn w:val="Header"/>
    <w:rsid w:val="0030523C"/>
    <w:pPr>
      <w:tabs>
        <w:tab w:val="clear" w:pos="4513"/>
        <w:tab w:val="clear" w:pos="9026"/>
        <w:tab w:val="center" w:pos="4253"/>
        <w:tab w:val="right" w:pos="8505"/>
      </w:tabs>
      <w:spacing w:before="60" w:after="60"/>
    </w:pPr>
    <w:rPr>
      <w:rFonts w:ascii="Times New Roman" w:eastAsia="Times New Roman" w:hAnsi="Times New Roman" w:cs="Times New Roman"/>
      <w:sz w:val="16"/>
      <w:szCs w:val="20"/>
    </w:rPr>
  </w:style>
  <w:style w:type="paragraph" w:customStyle="1" w:styleId="Ballontekst">
    <w:name w:val="Ballontekst"/>
    <w:basedOn w:val="Normal"/>
    <w:semiHidden/>
    <w:rsid w:val="0030523C"/>
    <w:rPr>
      <w:rFonts w:ascii="Tahoma" w:eastAsia="Times New Roman" w:hAnsi="Tahoma" w:cs="Tahoma"/>
      <w:sz w:val="16"/>
    </w:rPr>
  </w:style>
  <w:style w:type="paragraph" w:customStyle="1" w:styleId="MSStandardLevel2">
    <w:name w:val="MS Standard Level 2"/>
    <w:basedOn w:val="Normal"/>
    <w:rsid w:val="0030523C"/>
    <w:pPr>
      <w:tabs>
        <w:tab w:val="num" w:pos="850"/>
      </w:tabs>
      <w:spacing w:after="120"/>
      <w:ind w:left="850" w:hanging="850"/>
      <w:jc w:val="both"/>
      <w:outlineLvl w:val="1"/>
    </w:pPr>
    <w:rPr>
      <w:rFonts w:eastAsia="Times New Roman" w:cs="Times New Roman"/>
      <w:szCs w:val="20"/>
    </w:rPr>
  </w:style>
  <w:style w:type="paragraph" w:customStyle="1" w:styleId="MSStandardLevel3">
    <w:name w:val="MS Standard Level 3"/>
    <w:basedOn w:val="Normal"/>
    <w:rsid w:val="0030523C"/>
    <w:pPr>
      <w:tabs>
        <w:tab w:val="num" w:pos="850"/>
      </w:tabs>
      <w:spacing w:after="120"/>
      <w:ind w:left="850" w:hanging="850"/>
      <w:jc w:val="both"/>
      <w:outlineLvl w:val="2"/>
    </w:pPr>
    <w:rPr>
      <w:rFonts w:eastAsia="Times New Roman" w:cs="Times New Roman"/>
      <w:szCs w:val="20"/>
    </w:rPr>
  </w:style>
  <w:style w:type="paragraph" w:customStyle="1" w:styleId="MSStandardLevel4">
    <w:name w:val="MS Standard Level 4"/>
    <w:basedOn w:val="Normal"/>
    <w:rsid w:val="0030523C"/>
    <w:pPr>
      <w:tabs>
        <w:tab w:val="num" w:pos="1134"/>
      </w:tabs>
      <w:spacing w:after="120"/>
      <w:ind w:left="1134" w:hanging="1134"/>
      <w:jc w:val="both"/>
      <w:outlineLvl w:val="3"/>
    </w:pPr>
    <w:rPr>
      <w:rFonts w:eastAsia="Times New Roman" w:cs="Times New Roman"/>
      <w:szCs w:val="20"/>
    </w:rPr>
  </w:style>
  <w:style w:type="paragraph" w:customStyle="1" w:styleId="MSStandardLevel5">
    <w:name w:val="MS Standard Level 5"/>
    <w:basedOn w:val="Normal"/>
    <w:rsid w:val="0030523C"/>
    <w:pPr>
      <w:tabs>
        <w:tab w:val="left" w:pos="1134"/>
        <w:tab w:val="num" w:pos="1440"/>
      </w:tabs>
      <w:spacing w:after="120"/>
      <w:ind w:left="1134" w:hanging="1134"/>
      <w:jc w:val="both"/>
      <w:outlineLvl w:val="4"/>
    </w:pPr>
    <w:rPr>
      <w:rFonts w:eastAsia="Times New Roman" w:cs="Times New Roman"/>
      <w:szCs w:val="20"/>
    </w:rPr>
  </w:style>
  <w:style w:type="paragraph" w:customStyle="1" w:styleId="MSStandardLevel6">
    <w:name w:val="MS Standard Level 6"/>
    <w:basedOn w:val="Normal"/>
    <w:rsid w:val="0030523C"/>
    <w:pPr>
      <w:tabs>
        <w:tab w:val="left" w:pos="1134"/>
        <w:tab w:val="num" w:pos="1440"/>
      </w:tabs>
      <w:spacing w:after="120"/>
      <w:ind w:left="1134" w:hanging="1134"/>
      <w:jc w:val="both"/>
      <w:outlineLvl w:val="5"/>
    </w:pPr>
    <w:rPr>
      <w:rFonts w:eastAsia="Times New Roman" w:cs="Times New Roman"/>
      <w:szCs w:val="20"/>
    </w:rPr>
  </w:style>
  <w:style w:type="paragraph" w:customStyle="1" w:styleId="MSStandardLevel7">
    <w:name w:val="MS Standard Level 7"/>
    <w:basedOn w:val="Normal"/>
    <w:rsid w:val="0030523C"/>
    <w:pPr>
      <w:tabs>
        <w:tab w:val="left" w:pos="1418"/>
        <w:tab w:val="num" w:pos="1797"/>
      </w:tabs>
      <w:spacing w:after="120"/>
      <w:ind w:left="1417" w:hanging="1417"/>
      <w:jc w:val="both"/>
      <w:outlineLvl w:val="6"/>
    </w:pPr>
    <w:rPr>
      <w:rFonts w:eastAsia="Times New Roman" w:cs="Times New Roman"/>
      <w:szCs w:val="20"/>
    </w:rPr>
  </w:style>
  <w:style w:type="paragraph" w:customStyle="1" w:styleId="MSHouseLevel2">
    <w:name w:val="MS House Level 2"/>
    <w:basedOn w:val="Normal"/>
    <w:rsid w:val="0030523C"/>
    <w:pPr>
      <w:numPr>
        <w:ilvl w:val="1"/>
        <w:numId w:val="9"/>
      </w:numPr>
      <w:spacing w:after="120"/>
      <w:jc w:val="both"/>
      <w:outlineLvl w:val="1"/>
    </w:pPr>
    <w:rPr>
      <w:rFonts w:eastAsia="Times New Roman" w:cs="Times New Roman"/>
      <w:szCs w:val="20"/>
    </w:rPr>
  </w:style>
  <w:style w:type="paragraph" w:customStyle="1" w:styleId="MSHouseLevel3">
    <w:name w:val="MS House Level 3"/>
    <w:basedOn w:val="Normal"/>
    <w:rsid w:val="0030523C"/>
    <w:pPr>
      <w:spacing w:after="120"/>
      <w:jc w:val="both"/>
      <w:outlineLvl w:val="2"/>
    </w:pPr>
    <w:rPr>
      <w:rFonts w:eastAsia="Times New Roman" w:cs="Times New Roman"/>
      <w:szCs w:val="20"/>
    </w:rPr>
  </w:style>
  <w:style w:type="paragraph" w:customStyle="1" w:styleId="MSHouseLevel4">
    <w:name w:val="MS House Level 4"/>
    <w:basedOn w:val="Normal"/>
    <w:rsid w:val="0030523C"/>
    <w:pPr>
      <w:tabs>
        <w:tab w:val="num" w:pos="851"/>
      </w:tabs>
      <w:spacing w:after="120"/>
      <w:ind w:left="851" w:hanging="851"/>
      <w:jc w:val="both"/>
      <w:outlineLvl w:val="3"/>
    </w:pPr>
    <w:rPr>
      <w:rFonts w:eastAsia="Times New Roman" w:cs="Times New Roman"/>
      <w:szCs w:val="20"/>
    </w:rPr>
  </w:style>
  <w:style w:type="paragraph" w:customStyle="1" w:styleId="MSHouseLevel5">
    <w:name w:val="MS House Level 5"/>
    <w:basedOn w:val="Normal"/>
    <w:rsid w:val="0030523C"/>
    <w:pPr>
      <w:tabs>
        <w:tab w:val="num" w:pos="851"/>
      </w:tabs>
      <w:spacing w:after="120"/>
      <w:ind w:left="851" w:hanging="851"/>
      <w:jc w:val="both"/>
      <w:outlineLvl w:val="4"/>
    </w:pPr>
    <w:rPr>
      <w:rFonts w:eastAsia="Times New Roman" w:cs="Times New Roman"/>
      <w:szCs w:val="20"/>
    </w:rPr>
  </w:style>
  <w:style w:type="paragraph" w:customStyle="1" w:styleId="MSHouseLevel6">
    <w:name w:val="MS House Level 6"/>
    <w:basedOn w:val="Normal"/>
    <w:rsid w:val="0030523C"/>
    <w:pPr>
      <w:tabs>
        <w:tab w:val="num" w:pos="1418"/>
      </w:tabs>
      <w:spacing w:after="120"/>
      <w:ind w:left="1418" w:hanging="567"/>
      <w:jc w:val="both"/>
      <w:outlineLvl w:val="5"/>
    </w:pPr>
    <w:rPr>
      <w:rFonts w:eastAsia="Times New Roman" w:cs="Times New Roman"/>
      <w:szCs w:val="20"/>
    </w:rPr>
  </w:style>
  <w:style w:type="paragraph" w:customStyle="1" w:styleId="MSHouseLevel7">
    <w:name w:val="MS House Level 7"/>
    <w:basedOn w:val="Normal"/>
    <w:rsid w:val="0030523C"/>
    <w:pPr>
      <w:tabs>
        <w:tab w:val="num" w:pos="1985"/>
      </w:tabs>
      <w:spacing w:after="120"/>
      <w:ind w:left="1985" w:hanging="567"/>
      <w:jc w:val="both"/>
      <w:outlineLvl w:val="6"/>
    </w:pPr>
    <w:rPr>
      <w:rFonts w:eastAsia="Times New Roman" w:cs="Times New Roman"/>
      <w:szCs w:val="20"/>
    </w:rPr>
  </w:style>
  <w:style w:type="paragraph" w:customStyle="1" w:styleId="MSLetterLevel2">
    <w:name w:val="MS Letter Level 2"/>
    <w:basedOn w:val="MSLetterLevel1"/>
    <w:rsid w:val="0030523C"/>
  </w:style>
  <w:style w:type="paragraph" w:customStyle="1" w:styleId="MSLetterLevel1">
    <w:name w:val="MS Letter Level 1"/>
    <w:basedOn w:val="Normal"/>
    <w:rsid w:val="0030523C"/>
    <w:pPr>
      <w:tabs>
        <w:tab w:val="num" w:pos="360"/>
      </w:tabs>
      <w:spacing w:after="120"/>
      <w:ind w:left="360" w:hanging="360"/>
      <w:jc w:val="both"/>
    </w:pPr>
    <w:rPr>
      <w:rFonts w:eastAsia="Times New Roman" w:cs="Times New Roman"/>
      <w:szCs w:val="20"/>
    </w:rPr>
  </w:style>
  <w:style w:type="paragraph" w:customStyle="1" w:styleId="MSLetterLevel3">
    <w:name w:val="MS Letter Level 3"/>
    <w:basedOn w:val="MSLetterLevel2"/>
    <w:rsid w:val="0030523C"/>
    <w:pPr>
      <w:tabs>
        <w:tab w:val="left" w:pos="1134"/>
      </w:tabs>
    </w:pPr>
  </w:style>
  <w:style w:type="paragraph" w:customStyle="1" w:styleId="NoteHead">
    <w:name w:val="NoteHead"/>
    <w:basedOn w:val="Normal"/>
    <w:next w:val="Subject"/>
    <w:rsid w:val="0030523C"/>
    <w:pPr>
      <w:spacing w:before="720" w:after="720"/>
      <w:jc w:val="center"/>
    </w:pPr>
    <w:rPr>
      <w:rFonts w:ascii="Times New Roman" w:eastAsia="Times New Roman" w:hAnsi="Times New Roman" w:cs="Times New Roman"/>
      <w:b/>
      <w:smallCaps/>
      <w:szCs w:val="20"/>
    </w:rPr>
  </w:style>
  <w:style w:type="paragraph" w:customStyle="1" w:styleId="Subject">
    <w:name w:val="Subject"/>
    <w:basedOn w:val="Normal"/>
    <w:next w:val="Normal"/>
    <w:rsid w:val="0030523C"/>
    <w:pPr>
      <w:spacing w:after="480"/>
      <w:ind w:left="1191" w:hanging="1191"/>
    </w:pPr>
    <w:rPr>
      <w:rFonts w:ascii="Times New Roman" w:eastAsia="Times New Roman" w:hAnsi="Times New Roman" w:cs="Times New Roman"/>
      <w:b/>
      <w:szCs w:val="20"/>
    </w:rPr>
  </w:style>
  <w:style w:type="paragraph" w:customStyle="1" w:styleId="References">
    <w:name w:val="References"/>
    <w:basedOn w:val="Normal"/>
    <w:next w:val="AddressTR"/>
    <w:rsid w:val="0030523C"/>
    <w:pPr>
      <w:spacing w:after="240"/>
      <w:ind w:left="5103"/>
    </w:pPr>
    <w:rPr>
      <w:rFonts w:ascii="Times New Roman" w:eastAsia="Times New Roman" w:hAnsi="Times New Roman" w:cs="Times New Roman"/>
      <w:szCs w:val="20"/>
    </w:rPr>
  </w:style>
  <w:style w:type="paragraph" w:customStyle="1" w:styleId="AddressTR">
    <w:name w:val="AddressTR"/>
    <w:basedOn w:val="Normal"/>
    <w:next w:val="Normal"/>
    <w:rsid w:val="0030523C"/>
    <w:pPr>
      <w:spacing w:after="720"/>
      <w:ind w:left="5103"/>
    </w:pPr>
    <w:rPr>
      <w:rFonts w:ascii="Times New Roman" w:eastAsia="Times New Roman" w:hAnsi="Times New Roman" w:cs="Times New Roman"/>
      <w:szCs w:val="20"/>
    </w:rPr>
  </w:style>
  <w:style w:type="paragraph" w:styleId="Title">
    <w:name w:val="Title"/>
    <w:basedOn w:val="Normal"/>
    <w:next w:val="SubTitle1"/>
    <w:link w:val="TitleChar"/>
    <w:qFormat/>
    <w:rsid w:val="0030523C"/>
    <w:pPr>
      <w:spacing w:after="480"/>
      <w:jc w:val="center"/>
    </w:pPr>
    <w:rPr>
      <w:rFonts w:ascii="Times New Roman" w:eastAsia="Times New Roman" w:hAnsi="Times New Roman" w:cs="Times New Roman"/>
      <w:b/>
      <w:kern w:val="28"/>
      <w:sz w:val="48"/>
      <w:szCs w:val="20"/>
      <w:lang w:val="x-none" w:eastAsia="x-none"/>
    </w:rPr>
  </w:style>
  <w:style w:type="character" w:customStyle="1" w:styleId="TitleChar">
    <w:name w:val="Title Char"/>
    <w:basedOn w:val="DefaultParagraphFont"/>
    <w:link w:val="Title"/>
    <w:rsid w:val="0030523C"/>
    <w:rPr>
      <w:rFonts w:ascii="Times New Roman" w:eastAsia="Times New Roman" w:hAnsi="Times New Roman" w:cs="Times New Roman"/>
      <w:b/>
      <w:kern w:val="28"/>
      <w:sz w:val="48"/>
      <w:szCs w:val="20"/>
      <w:lang w:val="x-none" w:eastAsia="x-none"/>
    </w:rPr>
  </w:style>
  <w:style w:type="paragraph" w:customStyle="1" w:styleId="SubTitle1">
    <w:name w:val="SubTitle 1"/>
    <w:basedOn w:val="Normal"/>
    <w:next w:val="SubTitle2"/>
    <w:rsid w:val="0030523C"/>
    <w:pPr>
      <w:spacing w:after="240"/>
      <w:jc w:val="center"/>
    </w:pPr>
    <w:rPr>
      <w:rFonts w:ascii="Times New Roman" w:eastAsia="Times New Roman" w:hAnsi="Times New Roman" w:cs="Times New Roman"/>
      <w:b/>
      <w:sz w:val="40"/>
      <w:szCs w:val="20"/>
    </w:rPr>
  </w:style>
  <w:style w:type="paragraph" w:customStyle="1" w:styleId="SubTitle2">
    <w:name w:val="SubTitle 2"/>
    <w:basedOn w:val="Normal"/>
    <w:rsid w:val="0030523C"/>
    <w:pPr>
      <w:spacing w:after="240"/>
      <w:jc w:val="center"/>
    </w:pPr>
    <w:rPr>
      <w:rFonts w:ascii="Times New Roman" w:eastAsia="Times New Roman" w:hAnsi="Times New Roman" w:cs="Times New Roman"/>
      <w:b/>
      <w:sz w:val="32"/>
      <w:szCs w:val="20"/>
    </w:rPr>
  </w:style>
  <w:style w:type="paragraph" w:customStyle="1" w:styleId="Text2">
    <w:name w:val="Text 2"/>
    <w:basedOn w:val="Normal"/>
    <w:rsid w:val="0030523C"/>
    <w:pPr>
      <w:tabs>
        <w:tab w:val="left" w:pos="2161"/>
      </w:tabs>
      <w:spacing w:after="240"/>
      <w:ind w:left="1202"/>
      <w:jc w:val="both"/>
    </w:pPr>
    <w:rPr>
      <w:rFonts w:ascii="Times New Roman" w:eastAsia="Times New Roman" w:hAnsi="Times New Roman" w:cs="Times New Roman"/>
      <w:szCs w:val="20"/>
    </w:rPr>
  </w:style>
  <w:style w:type="paragraph" w:customStyle="1" w:styleId="ChapterTitle">
    <w:name w:val="ChapterTitle"/>
    <w:basedOn w:val="Normal"/>
    <w:next w:val="SectionTitle"/>
    <w:rsid w:val="0030523C"/>
    <w:pPr>
      <w:keepNext/>
      <w:spacing w:after="480"/>
      <w:jc w:val="center"/>
    </w:pPr>
    <w:rPr>
      <w:rFonts w:ascii="Times New Roman" w:eastAsia="Times New Roman" w:hAnsi="Times New Roman" w:cs="Times New Roman"/>
      <w:b/>
      <w:sz w:val="32"/>
      <w:szCs w:val="20"/>
    </w:rPr>
  </w:style>
  <w:style w:type="paragraph" w:customStyle="1" w:styleId="SectionTitle">
    <w:name w:val="SectionTitle"/>
    <w:basedOn w:val="Normal"/>
    <w:next w:val="Heading1"/>
    <w:rsid w:val="0030523C"/>
    <w:pPr>
      <w:keepNext/>
      <w:spacing w:after="480"/>
      <w:jc w:val="center"/>
    </w:pPr>
    <w:rPr>
      <w:rFonts w:ascii="Times New Roman" w:eastAsia="Times New Roman" w:hAnsi="Times New Roman" w:cs="Times New Roman"/>
      <w:b/>
      <w:smallCaps/>
      <w:sz w:val="28"/>
      <w:szCs w:val="20"/>
    </w:rPr>
  </w:style>
  <w:style w:type="paragraph" w:styleId="Index7">
    <w:name w:val="index 7"/>
    <w:basedOn w:val="Normal"/>
    <w:next w:val="Normal"/>
    <w:autoRedefine/>
    <w:semiHidden/>
    <w:rsid w:val="0030523C"/>
    <w:pPr>
      <w:spacing w:after="240"/>
      <w:ind w:left="1680" w:hanging="240"/>
      <w:jc w:val="both"/>
    </w:pPr>
    <w:rPr>
      <w:rFonts w:ascii="Times New Roman" w:eastAsia="Times New Roman" w:hAnsi="Times New Roman" w:cs="Times New Roman"/>
      <w:szCs w:val="20"/>
    </w:rPr>
  </w:style>
  <w:style w:type="paragraph" w:styleId="Index9">
    <w:name w:val="index 9"/>
    <w:basedOn w:val="Normal"/>
    <w:next w:val="Normal"/>
    <w:autoRedefine/>
    <w:semiHidden/>
    <w:rsid w:val="0030523C"/>
    <w:pPr>
      <w:spacing w:after="240"/>
      <w:ind w:left="2160" w:hanging="240"/>
      <w:jc w:val="both"/>
    </w:pPr>
    <w:rPr>
      <w:rFonts w:ascii="Times New Roman" w:eastAsia="Times New Roman" w:hAnsi="Times New Roman" w:cs="Times New Roman"/>
      <w:szCs w:val="20"/>
    </w:rPr>
  </w:style>
  <w:style w:type="paragraph" w:customStyle="1" w:styleId="MSHouseLevel1">
    <w:name w:val="MS House Level 1"/>
    <w:basedOn w:val="Normal"/>
    <w:rsid w:val="0030523C"/>
    <w:pPr>
      <w:numPr>
        <w:numId w:val="9"/>
      </w:numPr>
      <w:spacing w:after="240"/>
      <w:jc w:val="both"/>
      <w:outlineLvl w:val="0"/>
    </w:pPr>
    <w:rPr>
      <w:rFonts w:eastAsia="Times New Roman" w:cs="Times New Roman"/>
      <w:b/>
      <w:caps/>
      <w:sz w:val="22"/>
      <w:szCs w:val="20"/>
    </w:rPr>
  </w:style>
  <w:style w:type="paragraph" w:styleId="TOC3">
    <w:name w:val="toc 3"/>
    <w:basedOn w:val="Normal"/>
    <w:next w:val="Normal"/>
    <w:autoRedefine/>
    <w:uiPriority w:val="39"/>
    <w:rsid w:val="0030523C"/>
    <w:pPr>
      <w:tabs>
        <w:tab w:val="left" w:pos="1200"/>
        <w:tab w:val="right" w:leader="dot" w:pos="8778"/>
      </w:tabs>
      <w:ind w:left="480"/>
    </w:pPr>
    <w:rPr>
      <w:rFonts w:eastAsia="Times New Roman"/>
      <w:noProof/>
      <w:szCs w:val="20"/>
    </w:rPr>
  </w:style>
  <w:style w:type="paragraph" w:styleId="TOC4">
    <w:name w:val="toc 4"/>
    <w:basedOn w:val="Normal"/>
    <w:next w:val="Normal"/>
    <w:autoRedefine/>
    <w:semiHidden/>
    <w:rsid w:val="0030523C"/>
    <w:pPr>
      <w:ind w:left="720"/>
    </w:pPr>
    <w:rPr>
      <w:rFonts w:ascii="Times New Roman" w:eastAsia="Times New Roman" w:hAnsi="Times New Roman" w:cs="Times New Roman"/>
      <w:szCs w:val="24"/>
    </w:rPr>
  </w:style>
  <w:style w:type="paragraph" w:styleId="TOC5">
    <w:name w:val="toc 5"/>
    <w:basedOn w:val="Normal"/>
    <w:next w:val="Normal"/>
    <w:autoRedefine/>
    <w:semiHidden/>
    <w:rsid w:val="0030523C"/>
    <w:pPr>
      <w:ind w:left="960"/>
    </w:pPr>
    <w:rPr>
      <w:rFonts w:ascii="Times New Roman" w:eastAsia="Times New Roman" w:hAnsi="Times New Roman" w:cs="Times New Roman"/>
      <w:szCs w:val="24"/>
    </w:rPr>
  </w:style>
  <w:style w:type="paragraph" w:styleId="TOC6">
    <w:name w:val="toc 6"/>
    <w:basedOn w:val="Normal"/>
    <w:next w:val="Normal"/>
    <w:autoRedefine/>
    <w:semiHidden/>
    <w:rsid w:val="0030523C"/>
    <w:pPr>
      <w:ind w:left="1200"/>
    </w:pPr>
    <w:rPr>
      <w:rFonts w:ascii="Times New Roman" w:eastAsia="Times New Roman" w:hAnsi="Times New Roman" w:cs="Times New Roman"/>
      <w:szCs w:val="24"/>
    </w:rPr>
  </w:style>
  <w:style w:type="paragraph" w:styleId="TOC7">
    <w:name w:val="toc 7"/>
    <w:basedOn w:val="Normal"/>
    <w:next w:val="Normal"/>
    <w:autoRedefine/>
    <w:semiHidden/>
    <w:rsid w:val="0030523C"/>
    <w:pPr>
      <w:ind w:left="1440"/>
    </w:pPr>
    <w:rPr>
      <w:rFonts w:ascii="Times New Roman" w:eastAsia="Times New Roman" w:hAnsi="Times New Roman" w:cs="Times New Roman"/>
      <w:szCs w:val="24"/>
    </w:rPr>
  </w:style>
  <w:style w:type="paragraph" w:styleId="TOC8">
    <w:name w:val="toc 8"/>
    <w:basedOn w:val="Normal"/>
    <w:next w:val="Normal"/>
    <w:autoRedefine/>
    <w:semiHidden/>
    <w:rsid w:val="0030523C"/>
    <w:pPr>
      <w:ind w:left="1680"/>
    </w:pPr>
    <w:rPr>
      <w:rFonts w:ascii="Times New Roman" w:eastAsia="Times New Roman" w:hAnsi="Times New Roman" w:cs="Times New Roman"/>
      <w:szCs w:val="24"/>
    </w:rPr>
  </w:style>
  <w:style w:type="paragraph" w:styleId="TOC9">
    <w:name w:val="toc 9"/>
    <w:basedOn w:val="Normal"/>
    <w:next w:val="Normal"/>
    <w:autoRedefine/>
    <w:semiHidden/>
    <w:rsid w:val="0030523C"/>
    <w:pPr>
      <w:ind w:left="1920"/>
    </w:pPr>
    <w:rPr>
      <w:rFonts w:ascii="Times New Roman" w:eastAsia="Times New Roman" w:hAnsi="Times New Roman" w:cs="Times New Roman"/>
      <w:szCs w:val="24"/>
    </w:rPr>
  </w:style>
  <w:style w:type="paragraph" w:customStyle="1" w:styleId="MSBulletLevel1">
    <w:name w:val="MS Bullet Level 1"/>
    <w:basedOn w:val="Normal"/>
    <w:rsid w:val="0030523C"/>
    <w:pPr>
      <w:numPr>
        <w:numId w:val="10"/>
      </w:numPr>
      <w:spacing w:after="120"/>
      <w:jc w:val="both"/>
    </w:pPr>
    <w:rPr>
      <w:rFonts w:eastAsia="Times New Roman" w:cs="Times New Roman"/>
      <w:szCs w:val="20"/>
    </w:rPr>
  </w:style>
  <w:style w:type="paragraph" w:styleId="Caption">
    <w:name w:val="caption"/>
    <w:basedOn w:val="Normal"/>
    <w:next w:val="Normal"/>
    <w:qFormat/>
    <w:rsid w:val="0030523C"/>
    <w:pPr>
      <w:spacing w:before="120" w:after="120"/>
      <w:jc w:val="both"/>
    </w:pPr>
    <w:rPr>
      <w:rFonts w:ascii="Times New Roman" w:eastAsia="Times New Roman" w:hAnsi="Times New Roman" w:cs="Times New Roman"/>
      <w:b/>
      <w:szCs w:val="20"/>
    </w:rPr>
  </w:style>
  <w:style w:type="paragraph" w:styleId="List">
    <w:name w:val="List"/>
    <w:basedOn w:val="Normal"/>
    <w:rsid w:val="0030523C"/>
    <w:pPr>
      <w:spacing w:after="240"/>
      <w:ind w:left="283" w:hanging="283"/>
      <w:jc w:val="both"/>
    </w:pPr>
    <w:rPr>
      <w:rFonts w:ascii="Times New Roman" w:eastAsia="Times New Roman" w:hAnsi="Times New Roman" w:cs="Times New Roman"/>
      <w:szCs w:val="20"/>
    </w:rPr>
  </w:style>
  <w:style w:type="paragraph" w:styleId="NoteHeading">
    <w:name w:val="Note Heading"/>
    <w:basedOn w:val="Normal"/>
    <w:next w:val="Normal"/>
    <w:link w:val="NoteHeadingChar"/>
    <w:rsid w:val="0030523C"/>
    <w:pPr>
      <w:spacing w:after="240"/>
      <w:jc w:val="both"/>
    </w:pPr>
    <w:rPr>
      <w:rFonts w:ascii="Times New Roman" w:eastAsia="Times New Roman" w:hAnsi="Times New Roman" w:cs="Times New Roman"/>
      <w:szCs w:val="20"/>
      <w:lang w:val="x-none" w:eastAsia="x-none"/>
    </w:rPr>
  </w:style>
  <w:style w:type="character" w:customStyle="1" w:styleId="NoteHeadingChar">
    <w:name w:val="Note Heading Char"/>
    <w:basedOn w:val="DefaultParagraphFont"/>
    <w:link w:val="NoteHeading"/>
    <w:rsid w:val="0030523C"/>
    <w:rPr>
      <w:rFonts w:ascii="Times New Roman" w:eastAsia="Times New Roman" w:hAnsi="Times New Roman" w:cs="Times New Roman"/>
      <w:sz w:val="24"/>
      <w:szCs w:val="20"/>
      <w:lang w:val="x-none" w:eastAsia="x-none"/>
    </w:rPr>
  </w:style>
  <w:style w:type="paragraph" w:customStyle="1" w:styleId="MSBulletLevel2">
    <w:name w:val="MS Bullet Level 2"/>
    <w:basedOn w:val="Normal"/>
    <w:rsid w:val="0030523C"/>
    <w:pPr>
      <w:numPr>
        <w:ilvl w:val="1"/>
        <w:numId w:val="11"/>
      </w:numPr>
      <w:spacing w:after="120"/>
      <w:jc w:val="both"/>
    </w:pPr>
    <w:rPr>
      <w:rFonts w:eastAsia="Times New Roman" w:cs="Times New Roman"/>
      <w:szCs w:val="20"/>
    </w:rPr>
  </w:style>
  <w:style w:type="paragraph" w:customStyle="1" w:styleId="MSBulletLevel3">
    <w:name w:val="MS Bullet Level 3"/>
    <w:basedOn w:val="Normal"/>
    <w:rsid w:val="0030523C"/>
    <w:pPr>
      <w:numPr>
        <w:ilvl w:val="2"/>
        <w:numId w:val="11"/>
      </w:numPr>
      <w:spacing w:after="120"/>
      <w:jc w:val="both"/>
    </w:pPr>
    <w:rPr>
      <w:rFonts w:eastAsia="Times New Roman" w:cs="Times New Roman"/>
      <w:szCs w:val="20"/>
    </w:rPr>
  </w:style>
  <w:style w:type="paragraph" w:styleId="ListNumber3">
    <w:name w:val="List Number 3"/>
    <w:basedOn w:val="Text3"/>
    <w:rsid w:val="0030523C"/>
    <w:pPr>
      <w:numPr>
        <w:numId w:val="12"/>
      </w:numPr>
      <w:tabs>
        <w:tab w:val="clear" w:pos="2302"/>
      </w:tabs>
    </w:pPr>
  </w:style>
  <w:style w:type="paragraph" w:customStyle="1" w:styleId="ListNumber3Level2">
    <w:name w:val="List Number 3 (Level 2)"/>
    <w:basedOn w:val="Text3"/>
    <w:rsid w:val="0030523C"/>
    <w:pPr>
      <w:numPr>
        <w:ilvl w:val="1"/>
        <w:numId w:val="12"/>
      </w:numPr>
      <w:tabs>
        <w:tab w:val="clear" w:pos="2302"/>
      </w:tabs>
    </w:pPr>
  </w:style>
  <w:style w:type="paragraph" w:customStyle="1" w:styleId="ListNumber3Level3">
    <w:name w:val="List Number 3 (Level 3)"/>
    <w:basedOn w:val="Text3"/>
    <w:rsid w:val="0030523C"/>
    <w:pPr>
      <w:numPr>
        <w:ilvl w:val="2"/>
        <w:numId w:val="12"/>
      </w:numPr>
      <w:tabs>
        <w:tab w:val="clear" w:pos="2302"/>
      </w:tabs>
    </w:pPr>
  </w:style>
  <w:style w:type="paragraph" w:customStyle="1" w:styleId="ListNumber3Level4">
    <w:name w:val="List Number 3 (Level 4)"/>
    <w:basedOn w:val="Text3"/>
    <w:rsid w:val="0030523C"/>
    <w:pPr>
      <w:numPr>
        <w:ilvl w:val="3"/>
        <w:numId w:val="12"/>
      </w:numPr>
      <w:tabs>
        <w:tab w:val="clear" w:pos="2302"/>
      </w:tabs>
    </w:pPr>
  </w:style>
  <w:style w:type="paragraph" w:customStyle="1" w:styleId="ListParagraph1">
    <w:name w:val="List Paragraph1"/>
    <w:basedOn w:val="Normal"/>
    <w:uiPriority w:val="34"/>
    <w:qFormat/>
    <w:rsid w:val="0030523C"/>
    <w:pPr>
      <w:spacing w:after="200" w:line="276" w:lineRule="auto"/>
      <w:ind w:left="720"/>
      <w:contextualSpacing/>
    </w:pPr>
    <w:rPr>
      <w:rFonts w:ascii="Calibri" w:hAnsi="Calibri" w:cs="Times New Roman"/>
      <w:sz w:val="22"/>
    </w:rPr>
  </w:style>
  <w:style w:type="paragraph" w:customStyle="1" w:styleId="Heading">
    <w:name w:val="Heading"/>
    <w:next w:val="Normal"/>
    <w:rsid w:val="0030523C"/>
    <w:pPr>
      <w:keepNext/>
      <w:spacing w:after="0" w:line="240" w:lineRule="auto"/>
    </w:pPr>
    <w:rPr>
      <w:rFonts w:ascii="Calibri Bold" w:eastAsia="ヒラギノ角ゴ Pro W3" w:hAnsi="Calibri Bold" w:cs="Times New Roman"/>
      <w:color w:val="000000"/>
      <w:sz w:val="28"/>
      <w:szCs w:val="20"/>
    </w:rPr>
  </w:style>
  <w:style w:type="paragraph" w:customStyle="1" w:styleId="Body">
    <w:name w:val="Body"/>
    <w:rsid w:val="0030523C"/>
    <w:pPr>
      <w:spacing w:after="0" w:line="240" w:lineRule="auto"/>
      <w:jc w:val="both"/>
    </w:pPr>
    <w:rPr>
      <w:rFonts w:ascii="Calibri" w:eastAsia="ヒラギノ角ゴ Pro W3" w:hAnsi="Calibri" w:cs="Times New Roman"/>
      <w:color w:val="000000"/>
      <w:szCs w:val="20"/>
    </w:rPr>
  </w:style>
  <w:style w:type="paragraph" w:styleId="MacroText">
    <w:name w:val="macro"/>
    <w:link w:val="MacroTextChar"/>
    <w:rsid w:val="0030523C"/>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fr-FR" w:eastAsia="fr-FR"/>
    </w:rPr>
  </w:style>
  <w:style w:type="character" w:customStyle="1" w:styleId="MacroTextChar">
    <w:name w:val="Macro Text Char"/>
    <w:basedOn w:val="DefaultParagraphFont"/>
    <w:link w:val="MacroText"/>
    <w:rsid w:val="0030523C"/>
    <w:rPr>
      <w:rFonts w:ascii="Courier New" w:eastAsia="Times New Roman" w:hAnsi="Courier New" w:cs="Times New Roman"/>
      <w:sz w:val="20"/>
      <w:szCs w:val="20"/>
      <w:lang w:val="fr-FR" w:eastAsia="fr-FR"/>
    </w:rPr>
  </w:style>
  <w:style w:type="paragraph" w:styleId="TOCHeading">
    <w:name w:val="TOC Heading"/>
    <w:basedOn w:val="Heading1"/>
    <w:next w:val="Normal"/>
    <w:uiPriority w:val="39"/>
    <w:semiHidden/>
    <w:unhideWhenUsed/>
    <w:qFormat/>
    <w:rsid w:val="0030523C"/>
    <w:pPr>
      <w:shd w:val="clear" w:color="auto" w:fill="002060"/>
      <w:tabs>
        <w:tab w:val="clear" w:pos="567"/>
      </w:tabs>
      <w:spacing w:before="480" w:after="240" w:line="276" w:lineRule="auto"/>
      <w:outlineLvl w:val="9"/>
    </w:pPr>
    <w:rPr>
      <w:rFonts w:ascii="Cambria" w:hAnsi="Cambria"/>
      <w:bCs w:val="0"/>
      <w:caps w:val="0"/>
      <w:color w:val="365F91"/>
      <w:kern w:val="32"/>
      <w:sz w:val="28"/>
      <w:lang w:val="fr-FR" w:bidi="ar-TN"/>
    </w:rPr>
  </w:style>
  <w:style w:type="table" w:styleId="MediumList2-Accent1">
    <w:name w:val="Medium List 2 Accent 1"/>
    <w:basedOn w:val="TableNormal"/>
    <w:uiPriority w:val="66"/>
    <w:rsid w:val="0030523C"/>
    <w:pPr>
      <w:spacing w:after="0" w:line="240" w:lineRule="auto"/>
    </w:pPr>
    <w:rPr>
      <w:rFonts w:ascii="Cambria" w:eastAsia="Times New Roman" w:hAnsi="Cambria" w:cs="Times New Roman"/>
      <w:color w:val="000000"/>
      <w:sz w:val="20"/>
      <w:szCs w:val="20"/>
      <w:lang w:val="fr-FR"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IFIAlgeriastyle">
    <w:name w:val="IFI Algeria style"/>
    <w:rsid w:val="0030523C"/>
    <w:pPr>
      <w:numPr>
        <w:numId w:val="14"/>
      </w:numPr>
    </w:pPr>
  </w:style>
  <w:style w:type="paragraph" w:customStyle="1" w:styleId="Pa5">
    <w:name w:val="Pa5"/>
    <w:basedOn w:val="Normal"/>
    <w:next w:val="Normal"/>
    <w:uiPriority w:val="99"/>
    <w:rsid w:val="0030523C"/>
    <w:pPr>
      <w:autoSpaceDE w:val="0"/>
      <w:autoSpaceDN w:val="0"/>
      <w:adjustRightInd w:val="0"/>
      <w:spacing w:line="201" w:lineRule="atLeast"/>
    </w:pPr>
    <w:rPr>
      <w:rFonts w:ascii="Myriad Pro SemiCond" w:eastAsia="Times New Roman" w:hAnsi="Myriad Pro SemiCond" w:cs="Times New Roman"/>
      <w:szCs w:val="24"/>
      <w:lang w:val="fr-FR" w:eastAsia="fr-FR"/>
    </w:rPr>
  </w:style>
  <w:style w:type="character" w:customStyle="1" w:styleId="A12">
    <w:name w:val="A12"/>
    <w:uiPriority w:val="99"/>
    <w:rsid w:val="0030523C"/>
    <w:rPr>
      <w:rFonts w:cs="Myriad Pro SemiCond"/>
      <w:color w:val="211D1E"/>
      <w:sz w:val="19"/>
      <w:szCs w:val="19"/>
    </w:rPr>
  </w:style>
  <w:style w:type="character" w:customStyle="1" w:styleId="hps">
    <w:name w:val="hps"/>
    <w:basedOn w:val="DefaultParagraphFont"/>
    <w:rsid w:val="0030523C"/>
  </w:style>
  <w:style w:type="paragraph" w:customStyle="1" w:styleId="Pa6">
    <w:name w:val="Pa6"/>
    <w:basedOn w:val="Default"/>
    <w:next w:val="Default"/>
    <w:uiPriority w:val="99"/>
    <w:rsid w:val="0030523C"/>
    <w:pPr>
      <w:spacing w:line="201" w:lineRule="atLeast"/>
    </w:pPr>
    <w:rPr>
      <w:rFonts w:ascii="Times New Roman" w:eastAsia="Times New Roman" w:hAnsi="Times New Roman" w:cs="Times New Roman"/>
      <w:color w:val="auto"/>
      <w:lang w:val="fr-FR" w:eastAsia="fr-FR"/>
    </w:rPr>
  </w:style>
  <w:style w:type="paragraph" w:customStyle="1" w:styleId="font5">
    <w:name w:val="font5"/>
    <w:basedOn w:val="Normal"/>
    <w:rsid w:val="0030523C"/>
    <w:pPr>
      <w:spacing w:before="100" w:beforeAutospacing="1" w:after="100" w:afterAutospacing="1"/>
    </w:pPr>
    <w:rPr>
      <w:rFonts w:ascii="Calibri" w:eastAsia="Times New Roman" w:hAnsi="Calibri" w:cs="Times New Roman"/>
      <w:color w:val="000000"/>
      <w:szCs w:val="20"/>
      <w:lang w:val="fr-FR" w:eastAsia="fr-FR"/>
    </w:rPr>
  </w:style>
  <w:style w:type="paragraph" w:customStyle="1" w:styleId="xl65">
    <w:name w:val="xl65"/>
    <w:basedOn w:val="Normal"/>
    <w:rsid w:val="0030523C"/>
    <w:pPr>
      <w:shd w:val="clear" w:color="000000" w:fill="244061"/>
      <w:spacing w:before="100" w:beforeAutospacing="1" w:after="100" w:afterAutospacing="1"/>
      <w:jc w:val="center"/>
      <w:textAlignment w:val="center"/>
    </w:pPr>
    <w:rPr>
      <w:rFonts w:eastAsia="Times New Roman"/>
      <w:b/>
      <w:bCs/>
      <w:color w:val="FFFFFF"/>
      <w:sz w:val="16"/>
      <w:lang w:val="fr-FR" w:eastAsia="fr-FR"/>
    </w:rPr>
  </w:style>
  <w:style w:type="paragraph" w:customStyle="1" w:styleId="xl66">
    <w:name w:val="xl66"/>
    <w:basedOn w:val="Normal"/>
    <w:rsid w:val="0030523C"/>
    <w:pPr>
      <w:pBdr>
        <w:top w:val="single" w:sz="8" w:space="0" w:color="2F75B5"/>
      </w:pBdr>
      <w:shd w:val="clear" w:color="000000" w:fill="B8CCE4"/>
      <w:spacing w:before="100" w:beforeAutospacing="1" w:after="100" w:afterAutospacing="1"/>
      <w:textAlignment w:val="center"/>
    </w:pPr>
    <w:rPr>
      <w:rFonts w:eastAsia="Times New Roman"/>
      <w:sz w:val="16"/>
      <w:lang w:val="fr-FR" w:eastAsia="fr-FR"/>
    </w:rPr>
  </w:style>
  <w:style w:type="paragraph" w:customStyle="1" w:styleId="xl67">
    <w:name w:val="xl67"/>
    <w:basedOn w:val="Normal"/>
    <w:rsid w:val="0030523C"/>
    <w:pPr>
      <w:spacing w:before="100" w:beforeAutospacing="1" w:after="100" w:afterAutospacing="1"/>
      <w:textAlignment w:val="center"/>
    </w:pPr>
    <w:rPr>
      <w:rFonts w:eastAsia="Times New Roman"/>
      <w:sz w:val="16"/>
      <w:lang w:val="fr-FR" w:eastAsia="fr-FR"/>
    </w:rPr>
  </w:style>
  <w:style w:type="paragraph" w:customStyle="1" w:styleId="xl68">
    <w:name w:val="xl68"/>
    <w:basedOn w:val="Normal"/>
    <w:rsid w:val="0030523C"/>
    <w:pPr>
      <w:pBdr>
        <w:top w:val="single" w:sz="8" w:space="0" w:color="2F75B5"/>
      </w:pBdr>
      <w:shd w:val="clear" w:color="000000" w:fill="B8CCE4"/>
      <w:spacing w:before="100" w:beforeAutospacing="1" w:after="100" w:afterAutospacing="1"/>
      <w:jc w:val="center"/>
      <w:textAlignment w:val="center"/>
    </w:pPr>
    <w:rPr>
      <w:rFonts w:eastAsia="Times New Roman"/>
      <w:sz w:val="16"/>
      <w:lang w:val="fr-FR" w:eastAsia="fr-FR"/>
    </w:rPr>
  </w:style>
  <w:style w:type="paragraph" w:customStyle="1" w:styleId="xl69">
    <w:name w:val="xl69"/>
    <w:basedOn w:val="Normal"/>
    <w:rsid w:val="0030523C"/>
    <w:pPr>
      <w:spacing w:before="100" w:beforeAutospacing="1" w:after="100" w:afterAutospacing="1"/>
      <w:jc w:val="center"/>
      <w:textAlignment w:val="center"/>
    </w:pPr>
    <w:rPr>
      <w:rFonts w:eastAsia="Times New Roman"/>
      <w:sz w:val="16"/>
      <w:lang w:val="fr-FR" w:eastAsia="fr-FR"/>
    </w:rPr>
  </w:style>
  <w:style w:type="paragraph" w:customStyle="1" w:styleId="xl70">
    <w:name w:val="xl70"/>
    <w:basedOn w:val="Normal"/>
    <w:rsid w:val="0030523C"/>
    <w:pPr>
      <w:shd w:val="clear" w:color="000000" w:fill="B8CCE4"/>
      <w:spacing w:before="100" w:beforeAutospacing="1" w:after="100" w:afterAutospacing="1"/>
      <w:textAlignment w:val="center"/>
    </w:pPr>
    <w:rPr>
      <w:rFonts w:eastAsia="Times New Roman"/>
      <w:sz w:val="16"/>
      <w:lang w:val="fr-FR" w:eastAsia="fr-FR"/>
    </w:rPr>
  </w:style>
  <w:style w:type="paragraph" w:customStyle="1" w:styleId="xl71">
    <w:name w:val="xl71"/>
    <w:basedOn w:val="Normal"/>
    <w:rsid w:val="0030523C"/>
    <w:pPr>
      <w:shd w:val="clear" w:color="000000" w:fill="B8CCE4"/>
      <w:spacing w:before="100" w:beforeAutospacing="1" w:after="100" w:afterAutospacing="1"/>
      <w:jc w:val="center"/>
      <w:textAlignment w:val="center"/>
    </w:pPr>
    <w:rPr>
      <w:rFonts w:eastAsia="Times New Roman"/>
      <w:sz w:val="16"/>
      <w:lang w:val="fr-FR" w:eastAsia="fr-FR"/>
    </w:rPr>
  </w:style>
  <w:style w:type="paragraph" w:customStyle="1" w:styleId="xl72">
    <w:name w:val="xl72"/>
    <w:basedOn w:val="Normal"/>
    <w:rsid w:val="0030523C"/>
    <w:pPr>
      <w:spacing w:before="100" w:beforeAutospacing="1" w:after="100" w:afterAutospacing="1"/>
    </w:pPr>
    <w:rPr>
      <w:rFonts w:ascii="Times New Roman" w:eastAsia="Times New Roman" w:hAnsi="Times New Roman" w:cs="Times New Roman"/>
      <w:szCs w:val="24"/>
      <w:lang w:val="fr-FR" w:eastAsia="fr-FR"/>
    </w:rPr>
  </w:style>
  <w:style w:type="paragraph" w:customStyle="1" w:styleId="xl73">
    <w:name w:val="xl73"/>
    <w:basedOn w:val="Normal"/>
    <w:rsid w:val="0030523C"/>
    <w:pPr>
      <w:pBdr>
        <w:top w:val="single" w:sz="8" w:space="0" w:color="2F75B5"/>
      </w:pBdr>
      <w:shd w:val="clear" w:color="000000" w:fill="B8CCE4"/>
      <w:spacing w:before="100" w:beforeAutospacing="1" w:after="100" w:afterAutospacing="1"/>
      <w:textAlignment w:val="center"/>
    </w:pPr>
    <w:rPr>
      <w:rFonts w:eastAsia="Times New Roman"/>
      <w:sz w:val="16"/>
      <w:lang w:val="fr-FR" w:eastAsia="fr-FR"/>
    </w:rPr>
  </w:style>
  <w:style w:type="paragraph" w:customStyle="1" w:styleId="xl74">
    <w:name w:val="xl74"/>
    <w:basedOn w:val="Normal"/>
    <w:rsid w:val="0030523C"/>
    <w:pPr>
      <w:spacing w:before="100" w:beforeAutospacing="1" w:after="100" w:afterAutospacing="1"/>
      <w:textAlignment w:val="center"/>
    </w:pPr>
    <w:rPr>
      <w:rFonts w:eastAsia="Times New Roman"/>
      <w:sz w:val="16"/>
      <w:lang w:val="fr-FR" w:eastAsia="fr-FR"/>
    </w:rPr>
  </w:style>
  <w:style w:type="paragraph" w:customStyle="1" w:styleId="xl75">
    <w:name w:val="xl75"/>
    <w:basedOn w:val="Normal"/>
    <w:rsid w:val="0030523C"/>
    <w:pPr>
      <w:shd w:val="clear" w:color="000000" w:fill="B8CCE4"/>
      <w:spacing w:before="100" w:beforeAutospacing="1" w:after="100" w:afterAutospacing="1"/>
      <w:textAlignment w:val="center"/>
    </w:pPr>
    <w:rPr>
      <w:rFonts w:eastAsia="Times New Roman"/>
      <w:sz w:val="16"/>
      <w:lang w:val="fr-FR" w:eastAsia="fr-FR"/>
    </w:rPr>
  </w:style>
  <w:style w:type="paragraph" w:customStyle="1" w:styleId="xl76">
    <w:name w:val="xl76"/>
    <w:basedOn w:val="Normal"/>
    <w:rsid w:val="0030523C"/>
    <w:pPr>
      <w:pBdr>
        <w:top w:val="single" w:sz="8" w:space="0" w:color="2F75B5"/>
      </w:pBdr>
      <w:shd w:val="clear" w:color="000000" w:fill="B8CCE4"/>
      <w:spacing w:before="100" w:beforeAutospacing="1" w:after="100" w:afterAutospacing="1"/>
      <w:jc w:val="center"/>
      <w:textAlignment w:val="center"/>
    </w:pPr>
    <w:rPr>
      <w:rFonts w:eastAsia="Times New Roman"/>
      <w:sz w:val="16"/>
      <w:lang w:val="fr-FR" w:eastAsia="fr-FR"/>
    </w:rPr>
  </w:style>
  <w:style w:type="paragraph" w:customStyle="1" w:styleId="xl77">
    <w:name w:val="xl77"/>
    <w:basedOn w:val="Normal"/>
    <w:rsid w:val="0030523C"/>
    <w:pPr>
      <w:spacing w:before="100" w:beforeAutospacing="1" w:after="100" w:afterAutospacing="1"/>
      <w:jc w:val="center"/>
      <w:textAlignment w:val="center"/>
    </w:pPr>
    <w:rPr>
      <w:rFonts w:eastAsia="Times New Roman"/>
      <w:sz w:val="16"/>
      <w:lang w:val="fr-FR" w:eastAsia="fr-FR"/>
    </w:rPr>
  </w:style>
  <w:style w:type="paragraph" w:customStyle="1" w:styleId="xl78">
    <w:name w:val="xl78"/>
    <w:basedOn w:val="Normal"/>
    <w:rsid w:val="0030523C"/>
    <w:pPr>
      <w:shd w:val="clear" w:color="000000" w:fill="B8CCE4"/>
      <w:spacing w:before="100" w:beforeAutospacing="1" w:after="100" w:afterAutospacing="1"/>
      <w:jc w:val="center"/>
      <w:textAlignment w:val="center"/>
    </w:pPr>
    <w:rPr>
      <w:rFonts w:eastAsia="Times New Roman"/>
      <w:sz w:val="16"/>
      <w:lang w:val="fr-FR" w:eastAsia="fr-FR"/>
    </w:rPr>
  </w:style>
  <w:style w:type="paragraph" w:customStyle="1" w:styleId="xl79">
    <w:name w:val="xl79"/>
    <w:basedOn w:val="Normal"/>
    <w:rsid w:val="0030523C"/>
    <w:pPr>
      <w:spacing w:before="100" w:beforeAutospacing="1" w:after="100" w:afterAutospacing="1"/>
      <w:jc w:val="center"/>
      <w:textAlignment w:val="center"/>
    </w:pPr>
    <w:rPr>
      <w:rFonts w:ascii="Times New Roman" w:eastAsia="Times New Roman" w:hAnsi="Times New Roman" w:cs="Times New Roman"/>
      <w:szCs w:val="24"/>
      <w:lang w:val="fr-FR" w:eastAsia="fr-FR"/>
    </w:rPr>
  </w:style>
  <w:style w:type="paragraph" w:customStyle="1" w:styleId="xl80">
    <w:name w:val="xl80"/>
    <w:basedOn w:val="Normal"/>
    <w:rsid w:val="0030523C"/>
    <w:pPr>
      <w:spacing w:before="100" w:beforeAutospacing="1" w:after="100" w:afterAutospacing="1"/>
      <w:jc w:val="center"/>
    </w:pPr>
    <w:rPr>
      <w:rFonts w:ascii="Times New Roman" w:eastAsia="Times New Roman" w:hAnsi="Times New Roman" w:cs="Times New Roman"/>
      <w:szCs w:val="24"/>
      <w:lang w:val="fr-FR" w:eastAsia="fr-FR"/>
    </w:rPr>
  </w:style>
  <w:style w:type="paragraph" w:customStyle="1" w:styleId="xl81">
    <w:name w:val="xl81"/>
    <w:basedOn w:val="Normal"/>
    <w:rsid w:val="0030523C"/>
    <w:pPr>
      <w:shd w:val="clear" w:color="000000" w:fill="B8CCE4"/>
      <w:spacing w:before="100" w:beforeAutospacing="1" w:after="100" w:afterAutospacing="1"/>
      <w:textAlignment w:val="center"/>
    </w:pPr>
    <w:rPr>
      <w:rFonts w:eastAsia="Times New Roman"/>
      <w:sz w:val="16"/>
      <w:lang w:val="fr-FR" w:eastAsia="fr-FR"/>
    </w:rPr>
  </w:style>
  <w:style w:type="paragraph" w:customStyle="1" w:styleId="xl82">
    <w:name w:val="xl82"/>
    <w:basedOn w:val="Normal"/>
    <w:rsid w:val="0030523C"/>
    <w:pPr>
      <w:pBdr>
        <w:top w:val="single" w:sz="12" w:space="0" w:color="4F81BD"/>
      </w:pBdr>
      <w:shd w:val="clear" w:color="000000" w:fill="B8CCE4"/>
      <w:spacing w:before="100" w:beforeAutospacing="1" w:after="100" w:afterAutospacing="1"/>
      <w:textAlignment w:val="center"/>
    </w:pPr>
    <w:rPr>
      <w:rFonts w:eastAsia="Times New Roman"/>
      <w:sz w:val="16"/>
      <w:lang w:val="fr-FR" w:eastAsia="fr-FR"/>
    </w:rPr>
  </w:style>
  <w:style w:type="paragraph" w:customStyle="1" w:styleId="xl83">
    <w:name w:val="xl83"/>
    <w:basedOn w:val="Normal"/>
    <w:rsid w:val="0030523C"/>
    <w:pPr>
      <w:pBdr>
        <w:right w:val="single" w:sz="12" w:space="0" w:color="808080"/>
      </w:pBdr>
      <w:shd w:val="clear" w:color="000000" w:fill="B8CCE4"/>
      <w:spacing w:before="100" w:beforeAutospacing="1" w:after="100" w:afterAutospacing="1"/>
      <w:textAlignment w:val="center"/>
    </w:pPr>
    <w:rPr>
      <w:rFonts w:eastAsia="Times New Roman"/>
      <w:sz w:val="16"/>
      <w:lang w:val="fr-FR" w:eastAsia="fr-FR"/>
    </w:rPr>
  </w:style>
  <w:style w:type="paragraph" w:customStyle="1" w:styleId="xl84">
    <w:name w:val="xl84"/>
    <w:basedOn w:val="Normal"/>
    <w:rsid w:val="0030523C"/>
    <w:pPr>
      <w:pBdr>
        <w:top w:val="single" w:sz="12" w:space="0" w:color="4F81BD"/>
      </w:pBdr>
      <w:shd w:val="clear" w:color="000000" w:fill="B8CCE4"/>
      <w:spacing w:before="100" w:beforeAutospacing="1" w:after="100" w:afterAutospacing="1"/>
      <w:textAlignment w:val="center"/>
    </w:pPr>
    <w:rPr>
      <w:rFonts w:eastAsia="Times New Roman"/>
      <w:sz w:val="16"/>
      <w:lang w:val="fr-FR" w:eastAsia="fr-FR"/>
    </w:rPr>
  </w:style>
  <w:style w:type="paragraph" w:customStyle="1" w:styleId="xl85">
    <w:name w:val="xl85"/>
    <w:basedOn w:val="Normal"/>
    <w:rsid w:val="0030523C"/>
    <w:pPr>
      <w:spacing w:before="100" w:beforeAutospacing="1" w:after="100" w:afterAutospacing="1"/>
      <w:jc w:val="center"/>
      <w:textAlignment w:val="center"/>
    </w:pPr>
    <w:rPr>
      <w:rFonts w:eastAsia="Times New Roman"/>
      <w:sz w:val="16"/>
      <w:lang w:val="fr-FR" w:eastAsia="fr-FR"/>
    </w:rPr>
  </w:style>
  <w:style w:type="paragraph" w:customStyle="1" w:styleId="xl86">
    <w:name w:val="xl86"/>
    <w:basedOn w:val="Normal"/>
    <w:rsid w:val="0030523C"/>
    <w:pPr>
      <w:spacing w:before="100" w:beforeAutospacing="1" w:after="100" w:afterAutospacing="1"/>
      <w:textAlignment w:val="center"/>
    </w:pPr>
    <w:rPr>
      <w:rFonts w:eastAsia="Times New Roman"/>
      <w:sz w:val="16"/>
      <w:lang w:val="fr-FR" w:eastAsia="fr-FR"/>
    </w:rPr>
  </w:style>
  <w:style w:type="paragraph" w:customStyle="1" w:styleId="xl87">
    <w:name w:val="xl87"/>
    <w:basedOn w:val="Normal"/>
    <w:rsid w:val="0030523C"/>
    <w:pPr>
      <w:pBdr>
        <w:right w:val="single" w:sz="12" w:space="0" w:color="808080"/>
      </w:pBdr>
      <w:spacing w:before="100" w:beforeAutospacing="1" w:after="100" w:afterAutospacing="1"/>
      <w:textAlignment w:val="center"/>
    </w:pPr>
    <w:rPr>
      <w:rFonts w:eastAsia="Times New Roman"/>
      <w:sz w:val="16"/>
      <w:lang w:val="fr-FR" w:eastAsia="fr-FR"/>
    </w:rPr>
  </w:style>
  <w:style w:type="paragraph" w:customStyle="1" w:styleId="xl88">
    <w:name w:val="xl88"/>
    <w:basedOn w:val="Normal"/>
    <w:rsid w:val="0030523C"/>
    <w:pPr>
      <w:pBdr>
        <w:bottom w:val="single" w:sz="12" w:space="0" w:color="4F81BD"/>
      </w:pBdr>
      <w:spacing w:before="100" w:beforeAutospacing="1" w:after="100" w:afterAutospacing="1"/>
      <w:textAlignment w:val="center"/>
    </w:pPr>
    <w:rPr>
      <w:rFonts w:eastAsia="Times New Roman"/>
      <w:sz w:val="16"/>
      <w:lang w:val="fr-FR" w:eastAsia="fr-FR"/>
    </w:rPr>
  </w:style>
  <w:style w:type="paragraph" w:customStyle="1" w:styleId="xl89">
    <w:name w:val="xl89"/>
    <w:basedOn w:val="Normal"/>
    <w:rsid w:val="0030523C"/>
    <w:pPr>
      <w:pBdr>
        <w:top w:val="single" w:sz="12" w:space="0" w:color="4F81BD"/>
      </w:pBdr>
      <w:shd w:val="clear" w:color="000000" w:fill="BFBFBF"/>
      <w:spacing w:before="100" w:beforeAutospacing="1" w:after="100" w:afterAutospacing="1"/>
      <w:jc w:val="center"/>
      <w:textAlignment w:val="center"/>
    </w:pPr>
    <w:rPr>
      <w:rFonts w:eastAsia="Times New Roman"/>
      <w:sz w:val="16"/>
      <w:lang w:val="fr-FR" w:eastAsia="fr-FR"/>
    </w:rPr>
  </w:style>
  <w:style w:type="paragraph" w:customStyle="1" w:styleId="xl90">
    <w:name w:val="xl90"/>
    <w:basedOn w:val="Normal"/>
    <w:rsid w:val="0030523C"/>
    <w:pPr>
      <w:pBdr>
        <w:top w:val="single" w:sz="12" w:space="0" w:color="4F81BD"/>
      </w:pBdr>
      <w:shd w:val="clear" w:color="000000" w:fill="BFBFBF"/>
      <w:spacing w:before="100" w:beforeAutospacing="1" w:after="100" w:afterAutospacing="1"/>
      <w:textAlignment w:val="center"/>
    </w:pPr>
    <w:rPr>
      <w:rFonts w:eastAsia="Times New Roman"/>
      <w:b/>
      <w:bCs/>
      <w:sz w:val="16"/>
      <w:lang w:val="fr-FR" w:eastAsia="fr-FR"/>
    </w:rPr>
  </w:style>
  <w:style w:type="paragraph" w:customStyle="1" w:styleId="xl91">
    <w:name w:val="xl91"/>
    <w:basedOn w:val="Normal"/>
    <w:rsid w:val="0030523C"/>
    <w:pPr>
      <w:pBdr>
        <w:top w:val="single" w:sz="12" w:space="0" w:color="4F81BD"/>
      </w:pBdr>
      <w:shd w:val="clear" w:color="000000" w:fill="BFBFBF"/>
      <w:spacing w:before="100" w:beforeAutospacing="1" w:after="100" w:afterAutospacing="1"/>
      <w:textAlignment w:val="center"/>
    </w:pPr>
    <w:rPr>
      <w:rFonts w:eastAsia="Times New Roman"/>
      <w:b/>
      <w:bCs/>
      <w:sz w:val="16"/>
      <w:lang w:val="fr-FR" w:eastAsia="fr-FR"/>
    </w:rPr>
  </w:style>
  <w:style w:type="paragraph" w:customStyle="1" w:styleId="xl92">
    <w:name w:val="xl92"/>
    <w:basedOn w:val="Normal"/>
    <w:rsid w:val="0030523C"/>
    <w:pPr>
      <w:spacing w:before="100" w:beforeAutospacing="1" w:after="100" w:afterAutospacing="1"/>
    </w:pPr>
    <w:rPr>
      <w:rFonts w:eastAsia="Times New Roman"/>
      <w:sz w:val="16"/>
      <w:lang w:val="fr-FR" w:eastAsia="fr-FR"/>
    </w:rPr>
  </w:style>
  <w:style w:type="paragraph" w:customStyle="1" w:styleId="xl93">
    <w:name w:val="xl93"/>
    <w:basedOn w:val="Normal"/>
    <w:rsid w:val="0030523C"/>
    <w:pPr>
      <w:spacing w:before="100" w:beforeAutospacing="1" w:after="100" w:afterAutospacing="1"/>
      <w:jc w:val="center"/>
    </w:pPr>
    <w:rPr>
      <w:rFonts w:eastAsia="Times New Roman"/>
      <w:sz w:val="16"/>
      <w:lang w:val="fr-FR" w:eastAsia="fr-FR"/>
    </w:rPr>
  </w:style>
  <w:style w:type="paragraph" w:customStyle="1" w:styleId="xl94">
    <w:name w:val="xl94"/>
    <w:basedOn w:val="Normal"/>
    <w:rsid w:val="0030523C"/>
    <w:pPr>
      <w:spacing w:before="100" w:beforeAutospacing="1" w:after="100" w:afterAutospacing="1"/>
    </w:pPr>
    <w:rPr>
      <w:rFonts w:eastAsia="Times New Roman"/>
      <w:sz w:val="16"/>
      <w:lang w:val="fr-FR" w:eastAsia="fr-FR"/>
    </w:rPr>
  </w:style>
  <w:style w:type="paragraph" w:customStyle="1" w:styleId="xl95">
    <w:name w:val="xl95"/>
    <w:basedOn w:val="Normal"/>
    <w:rsid w:val="0030523C"/>
    <w:pPr>
      <w:spacing w:before="100" w:beforeAutospacing="1" w:after="100" w:afterAutospacing="1"/>
      <w:jc w:val="center"/>
    </w:pPr>
    <w:rPr>
      <w:rFonts w:eastAsia="Times New Roman"/>
      <w:sz w:val="16"/>
      <w:lang w:val="fr-FR" w:eastAsia="fr-FR"/>
    </w:rPr>
  </w:style>
  <w:style w:type="paragraph" w:customStyle="1" w:styleId="xl96">
    <w:name w:val="xl96"/>
    <w:basedOn w:val="Normal"/>
    <w:rsid w:val="0030523C"/>
    <w:pPr>
      <w:spacing w:before="100" w:beforeAutospacing="1" w:after="100" w:afterAutospacing="1"/>
    </w:pPr>
    <w:rPr>
      <w:rFonts w:eastAsia="Times New Roman"/>
      <w:sz w:val="16"/>
      <w:lang w:val="fr-FR" w:eastAsia="fr-FR"/>
    </w:rPr>
  </w:style>
  <w:style w:type="paragraph" w:customStyle="1" w:styleId="xl97">
    <w:name w:val="xl97"/>
    <w:basedOn w:val="Normal"/>
    <w:rsid w:val="0030523C"/>
    <w:pPr>
      <w:spacing w:before="100" w:beforeAutospacing="1" w:after="100" w:afterAutospacing="1"/>
      <w:jc w:val="right"/>
      <w:textAlignment w:val="center"/>
    </w:pPr>
    <w:rPr>
      <w:rFonts w:eastAsia="Times New Roman"/>
      <w:i/>
      <w:iCs/>
      <w:sz w:val="16"/>
      <w:lang w:val="fr-FR" w:eastAsia="fr-FR"/>
    </w:rPr>
  </w:style>
  <w:style w:type="paragraph" w:customStyle="1" w:styleId="xl1961">
    <w:name w:val="xl1961"/>
    <w:basedOn w:val="Normal"/>
    <w:rsid w:val="0030523C"/>
    <w:pPr>
      <w:spacing w:before="100" w:beforeAutospacing="1" w:after="100" w:afterAutospacing="1"/>
      <w:textAlignment w:val="center"/>
    </w:pPr>
    <w:rPr>
      <w:rFonts w:ascii="Times New Roman" w:eastAsia="Times New Roman" w:hAnsi="Times New Roman" w:cs="Times New Roman"/>
      <w:color w:val="000000"/>
      <w:sz w:val="16"/>
      <w:lang w:eastAsia="en-GB"/>
    </w:rPr>
  </w:style>
  <w:style w:type="paragraph" w:customStyle="1" w:styleId="xl1962">
    <w:name w:val="xl1962"/>
    <w:basedOn w:val="Normal"/>
    <w:rsid w:val="0030523C"/>
    <w:pPr>
      <w:spacing w:before="100" w:beforeAutospacing="1" w:after="100" w:afterAutospacing="1"/>
      <w:textAlignment w:val="center"/>
    </w:pPr>
    <w:rPr>
      <w:rFonts w:ascii="Times New Roman" w:eastAsia="Times New Roman" w:hAnsi="Times New Roman" w:cs="Times New Roman"/>
      <w:color w:val="000000"/>
      <w:sz w:val="16"/>
      <w:lang w:eastAsia="en-GB"/>
    </w:rPr>
  </w:style>
  <w:style w:type="paragraph" w:customStyle="1" w:styleId="xl1963">
    <w:name w:val="xl1963"/>
    <w:basedOn w:val="Normal"/>
    <w:rsid w:val="0030523C"/>
    <w:pPr>
      <w:spacing w:before="100" w:beforeAutospacing="1" w:after="100" w:afterAutospacing="1"/>
      <w:textAlignment w:val="center"/>
    </w:pPr>
    <w:rPr>
      <w:rFonts w:ascii="Times New Roman" w:eastAsia="Times New Roman" w:hAnsi="Times New Roman" w:cs="Times New Roman"/>
      <w:color w:val="000000"/>
      <w:sz w:val="16"/>
      <w:lang w:eastAsia="en-GB"/>
    </w:rPr>
  </w:style>
  <w:style w:type="paragraph" w:customStyle="1" w:styleId="xl1964">
    <w:name w:val="xl1964"/>
    <w:basedOn w:val="Normal"/>
    <w:rsid w:val="0030523C"/>
    <w:pPr>
      <w:spacing w:before="100" w:beforeAutospacing="1" w:after="100" w:afterAutospacing="1"/>
      <w:textAlignment w:val="center"/>
    </w:pPr>
    <w:rPr>
      <w:rFonts w:ascii="Times New Roman" w:eastAsia="Times New Roman" w:hAnsi="Times New Roman" w:cs="Times New Roman"/>
      <w:sz w:val="16"/>
      <w:lang w:eastAsia="en-GB"/>
    </w:rPr>
  </w:style>
  <w:style w:type="paragraph" w:customStyle="1" w:styleId="xl1965">
    <w:name w:val="xl1965"/>
    <w:basedOn w:val="Normal"/>
    <w:rsid w:val="0030523C"/>
    <w:pPr>
      <w:pBdr>
        <w:bottom w:val="single" w:sz="12" w:space="0" w:color="4F81BD"/>
      </w:pBdr>
      <w:shd w:val="clear" w:color="000000" w:fill="244062"/>
      <w:spacing w:before="100" w:beforeAutospacing="1" w:after="100" w:afterAutospacing="1"/>
      <w:jc w:val="center"/>
      <w:textAlignment w:val="center"/>
    </w:pPr>
    <w:rPr>
      <w:rFonts w:ascii="Times New Roman" w:eastAsia="Times New Roman" w:hAnsi="Times New Roman" w:cs="Times New Roman"/>
      <w:b/>
      <w:bCs/>
      <w:color w:val="FFFFFF"/>
      <w:sz w:val="16"/>
      <w:lang w:eastAsia="en-GB"/>
    </w:rPr>
  </w:style>
  <w:style w:type="paragraph" w:customStyle="1" w:styleId="xl1966">
    <w:name w:val="xl1966"/>
    <w:basedOn w:val="Normal"/>
    <w:rsid w:val="0030523C"/>
    <w:pPr>
      <w:pBdr>
        <w:top w:val="single" w:sz="12" w:space="0" w:color="4F81BD"/>
      </w:pBdr>
      <w:shd w:val="clear" w:color="000000" w:fill="BFBFBF"/>
      <w:spacing w:before="100" w:beforeAutospacing="1" w:after="100" w:afterAutospacing="1"/>
      <w:textAlignment w:val="center"/>
    </w:pPr>
    <w:rPr>
      <w:rFonts w:ascii="Times New Roman" w:eastAsia="Times New Roman" w:hAnsi="Times New Roman" w:cs="Times New Roman"/>
      <w:b/>
      <w:bCs/>
      <w:color w:val="000000"/>
      <w:sz w:val="16"/>
      <w:lang w:eastAsia="en-GB"/>
    </w:rPr>
  </w:style>
  <w:style w:type="paragraph" w:customStyle="1" w:styleId="xl1967">
    <w:name w:val="xl1967"/>
    <w:basedOn w:val="Normal"/>
    <w:rsid w:val="0030523C"/>
    <w:pPr>
      <w:spacing w:before="100" w:beforeAutospacing="1" w:after="100" w:afterAutospacing="1"/>
      <w:textAlignment w:val="center"/>
    </w:pPr>
    <w:rPr>
      <w:rFonts w:ascii="Times New Roman" w:eastAsia="Times New Roman" w:hAnsi="Times New Roman" w:cs="Times New Roman"/>
      <w:color w:val="000000"/>
      <w:sz w:val="16"/>
      <w:lang w:eastAsia="en-GB"/>
    </w:rPr>
  </w:style>
  <w:style w:type="paragraph" w:customStyle="1" w:styleId="xl1968">
    <w:name w:val="xl1968"/>
    <w:basedOn w:val="Normal"/>
    <w:rsid w:val="0030523C"/>
    <w:pPr>
      <w:shd w:val="clear" w:color="000000" w:fill="B8CCE4"/>
      <w:spacing w:before="100" w:beforeAutospacing="1" w:after="100" w:afterAutospacing="1"/>
      <w:textAlignment w:val="center"/>
    </w:pPr>
    <w:rPr>
      <w:rFonts w:ascii="Times New Roman" w:eastAsia="Times New Roman" w:hAnsi="Times New Roman" w:cs="Times New Roman"/>
      <w:color w:val="000000"/>
      <w:sz w:val="16"/>
      <w:lang w:eastAsia="en-GB"/>
    </w:rPr>
  </w:style>
  <w:style w:type="paragraph" w:customStyle="1" w:styleId="xl1969">
    <w:name w:val="xl1969"/>
    <w:basedOn w:val="Normal"/>
    <w:rsid w:val="0030523C"/>
    <w:pPr>
      <w:spacing w:before="100" w:beforeAutospacing="1" w:after="100" w:afterAutospacing="1"/>
      <w:textAlignment w:val="center"/>
    </w:pPr>
    <w:rPr>
      <w:rFonts w:ascii="Times New Roman" w:eastAsia="Times New Roman" w:hAnsi="Times New Roman" w:cs="Times New Roman"/>
      <w:color w:val="000000"/>
      <w:sz w:val="16"/>
      <w:lang w:eastAsia="en-GB"/>
    </w:rPr>
  </w:style>
  <w:style w:type="paragraph" w:customStyle="1" w:styleId="xl1970">
    <w:name w:val="xl1970"/>
    <w:basedOn w:val="Normal"/>
    <w:rsid w:val="0030523C"/>
    <w:pPr>
      <w:spacing w:before="100" w:beforeAutospacing="1" w:after="100" w:afterAutospacing="1"/>
      <w:jc w:val="right"/>
      <w:textAlignment w:val="center"/>
    </w:pPr>
    <w:rPr>
      <w:rFonts w:ascii="Times New Roman" w:eastAsia="Times New Roman" w:hAnsi="Times New Roman" w:cs="Times New Roman"/>
      <w:i/>
      <w:iCs/>
      <w:color w:val="000000"/>
      <w:sz w:val="16"/>
      <w:lang w:eastAsia="en-GB"/>
    </w:rPr>
  </w:style>
  <w:style w:type="paragraph" w:customStyle="1" w:styleId="xl1971">
    <w:name w:val="xl1971"/>
    <w:basedOn w:val="Normal"/>
    <w:rsid w:val="0030523C"/>
    <w:pPr>
      <w:spacing w:before="100" w:beforeAutospacing="1" w:after="100" w:afterAutospacing="1"/>
      <w:ind w:firstLineChars="100" w:firstLine="100"/>
    </w:pPr>
    <w:rPr>
      <w:rFonts w:ascii="Times New Roman" w:eastAsia="Times New Roman" w:hAnsi="Times New Roman" w:cs="Times New Roman"/>
      <w:sz w:val="16"/>
      <w:lang w:eastAsia="en-GB"/>
    </w:rPr>
  </w:style>
  <w:style w:type="paragraph" w:customStyle="1" w:styleId="xl1972">
    <w:name w:val="xl1972"/>
    <w:basedOn w:val="Normal"/>
    <w:rsid w:val="0030523C"/>
    <w:pPr>
      <w:spacing w:before="100" w:beforeAutospacing="1" w:after="100" w:afterAutospacing="1"/>
      <w:textAlignment w:val="center"/>
    </w:pPr>
    <w:rPr>
      <w:rFonts w:ascii="Calibri" w:eastAsia="Times New Roman" w:hAnsi="Calibri" w:cs="Times New Roman"/>
      <w:sz w:val="16"/>
      <w:lang w:eastAsia="en-GB"/>
    </w:rPr>
  </w:style>
  <w:style w:type="paragraph" w:customStyle="1" w:styleId="xl1973">
    <w:name w:val="xl1973"/>
    <w:basedOn w:val="Normal"/>
    <w:rsid w:val="0030523C"/>
    <w:pPr>
      <w:shd w:val="clear" w:color="000000" w:fill="B8CCE4"/>
      <w:spacing w:before="100" w:beforeAutospacing="1" w:after="100" w:afterAutospacing="1"/>
      <w:ind w:firstLineChars="100" w:firstLine="100"/>
    </w:pPr>
    <w:rPr>
      <w:rFonts w:ascii="Times New Roman" w:eastAsia="Times New Roman" w:hAnsi="Times New Roman" w:cs="Times New Roman"/>
      <w:sz w:val="16"/>
      <w:lang w:eastAsia="en-GB"/>
    </w:rPr>
  </w:style>
  <w:style w:type="paragraph" w:customStyle="1" w:styleId="xl1974">
    <w:name w:val="xl1974"/>
    <w:basedOn w:val="Normal"/>
    <w:rsid w:val="0030523C"/>
    <w:pPr>
      <w:shd w:val="clear" w:color="000000" w:fill="B8CCE4"/>
      <w:spacing w:before="100" w:beforeAutospacing="1" w:after="100" w:afterAutospacing="1"/>
      <w:textAlignment w:val="center"/>
    </w:pPr>
    <w:rPr>
      <w:rFonts w:ascii="Times New Roman" w:eastAsia="Times New Roman" w:hAnsi="Times New Roman" w:cs="Times New Roman"/>
      <w:sz w:val="16"/>
      <w:lang w:eastAsia="en-GB"/>
    </w:rPr>
  </w:style>
  <w:style w:type="paragraph" w:customStyle="1" w:styleId="xl1975">
    <w:name w:val="xl1975"/>
    <w:basedOn w:val="Normal"/>
    <w:rsid w:val="0030523C"/>
    <w:pPr>
      <w:shd w:val="clear" w:color="000000" w:fill="B8CCE4"/>
      <w:spacing w:before="100" w:beforeAutospacing="1" w:after="100" w:afterAutospacing="1"/>
    </w:pPr>
    <w:rPr>
      <w:rFonts w:ascii="Times New Roman" w:eastAsia="Times New Roman" w:hAnsi="Times New Roman" w:cs="Times New Roman"/>
      <w:sz w:val="16"/>
      <w:lang w:eastAsia="en-GB"/>
    </w:rPr>
  </w:style>
  <w:style w:type="numbering" w:customStyle="1" w:styleId="Style2">
    <w:name w:val="Style2"/>
    <w:uiPriority w:val="99"/>
    <w:rsid w:val="004A11B0"/>
    <w:pPr>
      <w:numPr>
        <w:numId w:val="17"/>
      </w:numPr>
    </w:pPr>
  </w:style>
  <w:style w:type="character" w:customStyle="1" w:styleId="Mention1">
    <w:name w:val="Mention1"/>
    <w:basedOn w:val="DefaultParagraphFont"/>
    <w:uiPriority w:val="99"/>
    <w:semiHidden/>
    <w:unhideWhenUsed/>
    <w:rsid w:val="001E6D4B"/>
    <w:rPr>
      <w:color w:val="2B579A"/>
      <w:shd w:val="clear" w:color="auto" w:fill="E6E6E6"/>
    </w:rPr>
  </w:style>
  <w:style w:type="character" w:customStyle="1" w:styleId="UnresolvedMention1">
    <w:name w:val="Unresolved Mention1"/>
    <w:basedOn w:val="DefaultParagraphFont"/>
    <w:uiPriority w:val="99"/>
    <w:semiHidden/>
    <w:unhideWhenUsed/>
    <w:rsid w:val="001B1A25"/>
    <w:rPr>
      <w:color w:val="808080"/>
      <w:shd w:val="clear" w:color="auto" w:fill="E6E6E6"/>
    </w:rPr>
  </w:style>
  <w:style w:type="character" w:customStyle="1" w:styleId="UnresolvedMention2">
    <w:name w:val="Unresolved Mention2"/>
    <w:basedOn w:val="DefaultParagraphFont"/>
    <w:uiPriority w:val="99"/>
    <w:semiHidden/>
    <w:unhideWhenUsed/>
    <w:rsid w:val="00AF4DD7"/>
    <w:rPr>
      <w:color w:val="808080"/>
      <w:shd w:val="clear" w:color="auto" w:fill="E6E6E6"/>
    </w:rPr>
  </w:style>
  <w:style w:type="paragraph" w:customStyle="1" w:styleId="Pa9">
    <w:name w:val="Pa9"/>
    <w:basedOn w:val="Normal"/>
    <w:next w:val="Normal"/>
    <w:uiPriority w:val="99"/>
    <w:rsid w:val="00321E1D"/>
    <w:pPr>
      <w:autoSpaceDE w:val="0"/>
      <w:autoSpaceDN w:val="0"/>
      <w:adjustRightInd w:val="0"/>
      <w:spacing w:line="201" w:lineRule="atLeast"/>
    </w:pPr>
    <w:rPr>
      <w:rFonts w:ascii="ITC Charter Com" w:eastAsia="Times New Roman" w:hAnsi="ITC Charter Com" w:cs="Times New Roman"/>
      <w:szCs w:val="24"/>
      <w:lang w:eastAsia="en-GB"/>
    </w:rPr>
  </w:style>
  <w:style w:type="character" w:customStyle="1" w:styleId="Mentionnonrsolue1">
    <w:name w:val="Mention non résolue1"/>
    <w:basedOn w:val="DefaultParagraphFont"/>
    <w:uiPriority w:val="99"/>
    <w:semiHidden/>
    <w:unhideWhenUsed/>
    <w:rsid w:val="00551D73"/>
    <w:rPr>
      <w:color w:val="808080"/>
      <w:shd w:val="clear" w:color="auto" w:fill="E6E6E6"/>
    </w:rPr>
  </w:style>
  <w:style w:type="character" w:customStyle="1" w:styleId="ListParagraphChar">
    <w:name w:val="List Paragraph Char"/>
    <w:aliases w:val="Bullets Char,List Bullet Mary Char,List Paragraph (numbered (a)) Char,body bullets Char,Liste 1 Char,Paragraphe  revu Char,List Paragraph nowy Char,Numbered Paragraph Char"/>
    <w:link w:val="ListParagraph"/>
    <w:uiPriority w:val="34"/>
    <w:rsid w:val="002A15C3"/>
  </w:style>
  <w:style w:type="paragraph" w:styleId="TableofFigures">
    <w:name w:val="table of figures"/>
    <w:basedOn w:val="Normal"/>
    <w:next w:val="Normal"/>
    <w:uiPriority w:val="99"/>
    <w:unhideWhenUsed/>
    <w:rsid w:val="00D67E1D"/>
    <w:pPr>
      <w:spacing w:after="120"/>
    </w:pPr>
  </w:style>
  <w:style w:type="character" w:styleId="UnresolvedMention">
    <w:name w:val="Unresolved Mention"/>
    <w:basedOn w:val="DefaultParagraphFont"/>
    <w:uiPriority w:val="99"/>
    <w:semiHidden/>
    <w:unhideWhenUsed/>
    <w:rsid w:val="0080557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4295">
      <w:bodyDiv w:val="1"/>
      <w:marLeft w:val="0"/>
      <w:marRight w:val="0"/>
      <w:marTop w:val="0"/>
      <w:marBottom w:val="0"/>
      <w:divBdr>
        <w:top w:val="none" w:sz="0" w:space="0" w:color="auto"/>
        <w:left w:val="none" w:sz="0" w:space="0" w:color="auto"/>
        <w:bottom w:val="none" w:sz="0" w:space="0" w:color="auto"/>
        <w:right w:val="none" w:sz="0" w:space="0" w:color="auto"/>
      </w:divBdr>
    </w:div>
    <w:div w:id="14498245">
      <w:bodyDiv w:val="1"/>
      <w:marLeft w:val="0"/>
      <w:marRight w:val="0"/>
      <w:marTop w:val="0"/>
      <w:marBottom w:val="0"/>
      <w:divBdr>
        <w:top w:val="none" w:sz="0" w:space="0" w:color="auto"/>
        <w:left w:val="none" w:sz="0" w:space="0" w:color="auto"/>
        <w:bottom w:val="none" w:sz="0" w:space="0" w:color="auto"/>
        <w:right w:val="none" w:sz="0" w:space="0" w:color="auto"/>
      </w:divBdr>
    </w:div>
    <w:div w:id="21785530">
      <w:bodyDiv w:val="1"/>
      <w:marLeft w:val="0"/>
      <w:marRight w:val="0"/>
      <w:marTop w:val="0"/>
      <w:marBottom w:val="0"/>
      <w:divBdr>
        <w:top w:val="none" w:sz="0" w:space="0" w:color="auto"/>
        <w:left w:val="none" w:sz="0" w:space="0" w:color="auto"/>
        <w:bottom w:val="none" w:sz="0" w:space="0" w:color="auto"/>
        <w:right w:val="none" w:sz="0" w:space="0" w:color="auto"/>
      </w:divBdr>
    </w:div>
    <w:div w:id="39935956">
      <w:bodyDiv w:val="1"/>
      <w:marLeft w:val="0"/>
      <w:marRight w:val="0"/>
      <w:marTop w:val="0"/>
      <w:marBottom w:val="0"/>
      <w:divBdr>
        <w:top w:val="none" w:sz="0" w:space="0" w:color="auto"/>
        <w:left w:val="none" w:sz="0" w:space="0" w:color="auto"/>
        <w:bottom w:val="none" w:sz="0" w:space="0" w:color="auto"/>
        <w:right w:val="none" w:sz="0" w:space="0" w:color="auto"/>
      </w:divBdr>
    </w:div>
    <w:div w:id="50277901">
      <w:bodyDiv w:val="1"/>
      <w:marLeft w:val="0"/>
      <w:marRight w:val="0"/>
      <w:marTop w:val="0"/>
      <w:marBottom w:val="0"/>
      <w:divBdr>
        <w:top w:val="none" w:sz="0" w:space="0" w:color="auto"/>
        <w:left w:val="none" w:sz="0" w:space="0" w:color="auto"/>
        <w:bottom w:val="none" w:sz="0" w:space="0" w:color="auto"/>
        <w:right w:val="none" w:sz="0" w:space="0" w:color="auto"/>
      </w:divBdr>
    </w:div>
    <w:div w:id="74862034">
      <w:bodyDiv w:val="1"/>
      <w:marLeft w:val="0"/>
      <w:marRight w:val="0"/>
      <w:marTop w:val="0"/>
      <w:marBottom w:val="0"/>
      <w:divBdr>
        <w:top w:val="none" w:sz="0" w:space="0" w:color="auto"/>
        <w:left w:val="none" w:sz="0" w:space="0" w:color="auto"/>
        <w:bottom w:val="none" w:sz="0" w:space="0" w:color="auto"/>
        <w:right w:val="none" w:sz="0" w:space="0" w:color="auto"/>
      </w:divBdr>
    </w:div>
    <w:div w:id="90397503">
      <w:bodyDiv w:val="1"/>
      <w:marLeft w:val="0"/>
      <w:marRight w:val="0"/>
      <w:marTop w:val="0"/>
      <w:marBottom w:val="0"/>
      <w:divBdr>
        <w:top w:val="none" w:sz="0" w:space="0" w:color="auto"/>
        <w:left w:val="none" w:sz="0" w:space="0" w:color="auto"/>
        <w:bottom w:val="none" w:sz="0" w:space="0" w:color="auto"/>
        <w:right w:val="none" w:sz="0" w:space="0" w:color="auto"/>
      </w:divBdr>
    </w:div>
    <w:div w:id="99229522">
      <w:bodyDiv w:val="1"/>
      <w:marLeft w:val="0"/>
      <w:marRight w:val="0"/>
      <w:marTop w:val="0"/>
      <w:marBottom w:val="0"/>
      <w:divBdr>
        <w:top w:val="none" w:sz="0" w:space="0" w:color="auto"/>
        <w:left w:val="none" w:sz="0" w:space="0" w:color="auto"/>
        <w:bottom w:val="none" w:sz="0" w:space="0" w:color="auto"/>
        <w:right w:val="none" w:sz="0" w:space="0" w:color="auto"/>
      </w:divBdr>
    </w:div>
    <w:div w:id="103112132">
      <w:bodyDiv w:val="1"/>
      <w:marLeft w:val="0"/>
      <w:marRight w:val="0"/>
      <w:marTop w:val="0"/>
      <w:marBottom w:val="0"/>
      <w:divBdr>
        <w:top w:val="none" w:sz="0" w:space="0" w:color="auto"/>
        <w:left w:val="none" w:sz="0" w:space="0" w:color="auto"/>
        <w:bottom w:val="none" w:sz="0" w:space="0" w:color="auto"/>
        <w:right w:val="none" w:sz="0" w:space="0" w:color="auto"/>
      </w:divBdr>
    </w:div>
    <w:div w:id="122502081">
      <w:bodyDiv w:val="1"/>
      <w:marLeft w:val="0"/>
      <w:marRight w:val="0"/>
      <w:marTop w:val="0"/>
      <w:marBottom w:val="0"/>
      <w:divBdr>
        <w:top w:val="none" w:sz="0" w:space="0" w:color="auto"/>
        <w:left w:val="none" w:sz="0" w:space="0" w:color="auto"/>
        <w:bottom w:val="none" w:sz="0" w:space="0" w:color="auto"/>
        <w:right w:val="none" w:sz="0" w:space="0" w:color="auto"/>
      </w:divBdr>
    </w:div>
    <w:div w:id="127666636">
      <w:bodyDiv w:val="1"/>
      <w:marLeft w:val="0"/>
      <w:marRight w:val="0"/>
      <w:marTop w:val="0"/>
      <w:marBottom w:val="0"/>
      <w:divBdr>
        <w:top w:val="none" w:sz="0" w:space="0" w:color="auto"/>
        <w:left w:val="none" w:sz="0" w:space="0" w:color="auto"/>
        <w:bottom w:val="none" w:sz="0" w:space="0" w:color="auto"/>
        <w:right w:val="none" w:sz="0" w:space="0" w:color="auto"/>
      </w:divBdr>
    </w:div>
    <w:div w:id="138504533">
      <w:bodyDiv w:val="1"/>
      <w:marLeft w:val="0"/>
      <w:marRight w:val="0"/>
      <w:marTop w:val="0"/>
      <w:marBottom w:val="0"/>
      <w:divBdr>
        <w:top w:val="none" w:sz="0" w:space="0" w:color="auto"/>
        <w:left w:val="none" w:sz="0" w:space="0" w:color="auto"/>
        <w:bottom w:val="none" w:sz="0" w:space="0" w:color="auto"/>
        <w:right w:val="none" w:sz="0" w:space="0" w:color="auto"/>
      </w:divBdr>
    </w:div>
    <w:div w:id="165101190">
      <w:bodyDiv w:val="1"/>
      <w:marLeft w:val="0"/>
      <w:marRight w:val="0"/>
      <w:marTop w:val="0"/>
      <w:marBottom w:val="0"/>
      <w:divBdr>
        <w:top w:val="none" w:sz="0" w:space="0" w:color="auto"/>
        <w:left w:val="none" w:sz="0" w:space="0" w:color="auto"/>
        <w:bottom w:val="none" w:sz="0" w:space="0" w:color="auto"/>
        <w:right w:val="none" w:sz="0" w:space="0" w:color="auto"/>
      </w:divBdr>
    </w:div>
    <w:div w:id="167988834">
      <w:bodyDiv w:val="1"/>
      <w:marLeft w:val="0"/>
      <w:marRight w:val="0"/>
      <w:marTop w:val="0"/>
      <w:marBottom w:val="0"/>
      <w:divBdr>
        <w:top w:val="none" w:sz="0" w:space="0" w:color="auto"/>
        <w:left w:val="none" w:sz="0" w:space="0" w:color="auto"/>
        <w:bottom w:val="none" w:sz="0" w:space="0" w:color="auto"/>
        <w:right w:val="none" w:sz="0" w:space="0" w:color="auto"/>
      </w:divBdr>
    </w:div>
    <w:div w:id="197933317">
      <w:bodyDiv w:val="1"/>
      <w:marLeft w:val="0"/>
      <w:marRight w:val="0"/>
      <w:marTop w:val="0"/>
      <w:marBottom w:val="0"/>
      <w:divBdr>
        <w:top w:val="none" w:sz="0" w:space="0" w:color="auto"/>
        <w:left w:val="none" w:sz="0" w:space="0" w:color="auto"/>
        <w:bottom w:val="none" w:sz="0" w:space="0" w:color="auto"/>
        <w:right w:val="none" w:sz="0" w:space="0" w:color="auto"/>
      </w:divBdr>
    </w:div>
    <w:div w:id="235283476">
      <w:bodyDiv w:val="1"/>
      <w:marLeft w:val="0"/>
      <w:marRight w:val="0"/>
      <w:marTop w:val="0"/>
      <w:marBottom w:val="0"/>
      <w:divBdr>
        <w:top w:val="none" w:sz="0" w:space="0" w:color="auto"/>
        <w:left w:val="none" w:sz="0" w:space="0" w:color="auto"/>
        <w:bottom w:val="none" w:sz="0" w:space="0" w:color="auto"/>
        <w:right w:val="none" w:sz="0" w:space="0" w:color="auto"/>
      </w:divBdr>
    </w:div>
    <w:div w:id="236860904">
      <w:bodyDiv w:val="1"/>
      <w:marLeft w:val="0"/>
      <w:marRight w:val="0"/>
      <w:marTop w:val="0"/>
      <w:marBottom w:val="0"/>
      <w:divBdr>
        <w:top w:val="none" w:sz="0" w:space="0" w:color="auto"/>
        <w:left w:val="none" w:sz="0" w:space="0" w:color="auto"/>
        <w:bottom w:val="none" w:sz="0" w:space="0" w:color="auto"/>
        <w:right w:val="none" w:sz="0" w:space="0" w:color="auto"/>
      </w:divBdr>
    </w:div>
    <w:div w:id="252738345">
      <w:bodyDiv w:val="1"/>
      <w:marLeft w:val="0"/>
      <w:marRight w:val="0"/>
      <w:marTop w:val="0"/>
      <w:marBottom w:val="0"/>
      <w:divBdr>
        <w:top w:val="none" w:sz="0" w:space="0" w:color="auto"/>
        <w:left w:val="none" w:sz="0" w:space="0" w:color="auto"/>
        <w:bottom w:val="none" w:sz="0" w:space="0" w:color="auto"/>
        <w:right w:val="none" w:sz="0" w:space="0" w:color="auto"/>
      </w:divBdr>
    </w:div>
    <w:div w:id="290326126">
      <w:bodyDiv w:val="1"/>
      <w:marLeft w:val="0"/>
      <w:marRight w:val="0"/>
      <w:marTop w:val="0"/>
      <w:marBottom w:val="0"/>
      <w:divBdr>
        <w:top w:val="none" w:sz="0" w:space="0" w:color="auto"/>
        <w:left w:val="none" w:sz="0" w:space="0" w:color="auto"/>
        <w:bottom w:val="none" w:sz="0" w:space="0" w:color="auto"/>
        <w:right w:val="none" w:sz="0" w:space="0" w:color="auto"/>
      </w:divBdr>
    </w:div>
    <w:div w:id="303242809">
      <w:bodyDiv w:val="1"/>
      <w:marLeft w:val="0"/>
      <w:marRight w:val="0"/>
      <w:marTop w:val="0"/>
      <w:marBottom w:val="0"/>
      <w:divBdr>
        <w:top w:val="none" w:sz="0" w:space="0" w:color="auto"/>
        <w:left w:val="none" w:sz="0" w:space="0" w:color="auto"/>
        <w:bottom w:val="none" w:sz="0" w:space="0" w:color="auto"/>
        <w:right w:val="none" w:sz="0" w:space="0" w:color="auto"/>
      </w:divBdr>
    </w:div>
    <w:div w:id="310866975">
      <w:bodyDiv w:val="1"/>
      <w:marLeft w:val="0"/>
      <w:marRight w:val="0"/>
      <w:marTop w:val="0"/>
      <w:marBottom w:val="0"/>
      <w:divBdr>
        <w:top w:val="none" w:sz="0" w:space="0" w:color="auto"/>
        <w:left w:val="none" w:sz="0" w:space="0" w:color="auto"/>
        <w:bottom w:val="none" w:sz="0" w:space="0" w:color="auto"/>
        <w:right w:val="none" w:sz="0" w:space="0" w:color="auto"/>
      </w:divBdr>
    </w:div>
    <w:div w:id="316149525">
      <w:bodyDiv w:val="1"/>
      <w:marLeft w:val="0"/>
      <w:marRight w:val="0"/>
      <w:marTop w:val="0"/>
      <w:marBottom w:val="0"/>
      <w:divBdr>
        <w:top w:val="none" w:sz="0" w:space="0" w:color="auto"/>
        <w:left w:val="none" w:sz="0" w:space="0" w:color="auto"/>
        <w:bottom w:val="none" w:sz="0" w:space="0" w:color="auto"/>
        <w:right w:val="none" w:sz="0" w:space="0" w:color="auto"/>
      </w:divBdr>
    </w:div>
    <w:div w:id="344671704">
      <w:bodyDiv w:val="1"/>
      <w:marLeft w:val="0"/>
      <w:marRight w:val="0"/>
      <w:marTop w:val="0"/>
      <w:marBottom w:val="0"/>
      <w:divBdr>
        <w:top w:val="none" w:sz="0" w:space="0" w:color="auto"/>
        <w:left w:val="none" w:sz="0" w:space="0" w:color="auto"/>
        <w:bottom w:val="none" w:sz="0" w:space="0" w:color="auto"/>
        <w:right w:val="none" w:sz="0" w:space="0" w:color="auto"/>
      </w:divBdr>
    </w:div>
    <w:div w:id="346905358">
      <w:bodyDiv w:val="1"/>
      <w:marLeft w:val="0"/>
      <w:marRight w:val="0"/>
      <w:marTop w:val="0"/>
      <w:marBottom w:val="0"/>
      <w:divBdr>
        <w:top w:val="none" w:sz="0" w:space="0" w:color="auto"/>
        <w:left w:val="none" w:sz="0" w:space="0" w:color="auto"/>
        <w:bottom w:val="none" w:sz="0" w:space="0" w:color="auto"/>
        <w:right w:val="none" w:sz="0" w:space="0" w:color="auto"/>
      </w:divBdr>
    </w:div>
    <w:div w:id="363333157">
      <w:bodyDiv w:val="1"/>
      <w:marLeft w:val="0"/>
      <w:marRight w:val="0"/>
      <w:marTop w:val="0"/>
      <w:marBottom w:val="0"/>
      <w:divBdr>
        <w:top w:val="none" w:sz="0" w:space="0" w:color="auto"/>
        <w:left w:val="none" w:sz="0" w:space="0" w:color="auto"/>
        <w:bottom w:val="none" w:sz="0" w:space="0" w:color="auto"/>
        <w:right w:val="none" w:sz="0" w:space="0" w:color="auto"/>
      </w:divBdr>
    </w:div>
    <w:div w:id="370037346">
      <w:bodyDiv w:val="1"/>
      <w:marLeft w:val="0"/>
      <w:marRight w:val="0"/>
      <w:marTop w:val="0"/>
      <w:marBottom w:val="0"/>
      <w:divBdr>
        <w:top w:val="none" w:sz="0" w:space="0" w:color="auto"/>
        <w:left w:val="none" w:sz="0" w:space="0" w:color="auto"/>
        <w:bottom w:val="none" w:sz="0" w:space="0" w:color="auto"/>
        <w:right w:val="none" w:sz="0" w:space="0" w:color="auto"/>
      </w:divBdr>
    </w:div>
    <w:div w:id="370376432">
      <w:bodyDiv w:val="1"/>
      <w:marLeft w:val="0"/>
      <w:marRight w:val="0"/>
      <w:marTop w:val="0"/>
      <w:marBottom w:val="0"/>
      <w:divBdr>
        <w:top w:val="none" w:sz="0" w:space="0" w:color="auto"/>
        <w:left w:val="none" w:sz="0" w:space="0" w:color="auto"/>
        <w:bottom w:val="none" w:sz="0" w:space="0" w:color="auto"/>
        <w:right w:val="none" w:sz="0" w:space="0" w:color="auto"/>
      </w:divBdr>
    </w:div>
    <w:div w:id="407700891">
      <w:bodyDiv w:val="1"/>
      <w:marLeft w:val="0"/>
      <w:marRight w:val="0"/>
      <w:marTop w:val="0"/>
      <w:marBottom w:val="0"/>
      <w:divBdr>
        <w:top w:val="none" w:sz="0" w:space="0" w:color="auto"/>
        <w:left w:val="none" w:sz="0" w:space="0" w:color="auto"/>
        <w:bottom w:val="none" w:sz="0" w:space="0" w:color="auto"/>
        <w:right w:val="none" w:sz="0" w:space="0" w:color="auto"/>
      </w:divBdr>
    </w:div>
    <w:div w:id="428238097">
      <w:bodyDiv w:val="1"/>
      <w:marLeft w:val="0"/>
      <w:marRight w:val="0"/>
      <w:marTop w:val="0"/>
      <w:marBottom w:val="0"/>
      <w:divBdr>
        <w:top w:val="none" w:sz="0" w:space="0" w:color="auto"/>
        <w:left w:val="none" w:sz="0" w:space="0" w:color="auto"/>
        <w:bottom w:val="none" w:sz="0" w:space="0" w:color="auto"/>
        <w:right w:val="none" w:sz="0" w:space="0" w:color="auto"/>
      </w:divBdr>
    </w:div>
    <w:div w:id="429467828">
      <w:bodyDiv w:val="1"/>
      <w:marLeft w:val="0"/>
      <w:marRight w:val="0"/>
      <w:marTop w:val="0"/>
      <w:marBottom w:val="0"/>
      <w:divBdr>
        <w:top w:val="none" w:sz="0" w:space="0" w:color="auto"/>
        <w:left w:val="none" w:sz="0" w:space="0" w:color="auto"/>
        <w:bottom w:val="none" w:sz="0" w:space="0" w:color="auto"/>
        <w:right w:val="none" w:sz="0" w:space="0" w:color="auto"/>
      </w:divBdr>
    </w:div>
    <w:div w:id="443697355">
      <w:bodyDiv w:val="1"/>
      <w:marLeft w:val="0"/>
      <w:marRight w:val="0"/>
      <w:marTop w:val="0"/>
      <w:marBottom w:val="0"/>
      <w:divBdr>
        <w:top w:val="none" w:sz="0" w:space="0" w:color="auto"/>
        <w:left w:val="none" w:sz="0" w:space="0" w:color="auto"/>
        <w:bottom w:val="none" w:sz="0" w:space="0" w:color="auto"/>
        <w:right w:val="none" w:sz="0" w:space="0" w:color="auto"/>
      </w:divBdr>
    </w:div>
    <w:div w:id="454760757">
      <w:bodyDiv w:val="1"/>
      <w:marLeft w:val="0"/>
      <w:marRight w:val="0"/>
      <w:marTop w:val="0"/>
      <w:marBottom w:val="0"/>
      <w:divBdr>
        <w:top w:val="none" w:sz="0" w:space="0" w:color="auto"/>
        <w:left w:val="none" w:sz="0" w:space="0" w:color="auto"/>
        <w:bottom w:val="none" w:sz="0" w:space="0" w:color="auto"/>
        <w:right w:val="none" w:sz="0" w:space="0" w:color="auto"/>
      </w:divBdr>
    </w:div>
    <w:div w:id="496926519">
      <w:bodyDiv w:val="1"/>
      <w:marLeft w:val="0"/>
      <w:marRight w:val="0"/>
      <w:marTop w:val="0"/>
      <w:marBottom w:val="0"/>
      <w:divBdr>
        <w:top w:val="none" w:sz="0" w:space="0" w:color="auto"/>
        <w:left w:val="none" w:sz="0" w:space="0" w:color="auto"/>
        <w:bottom w:val="none" w:sz="0" w:space="0" w:color="auto"/>
        <w:right w:val="none" w:sz="0" w:space="0" w:color="auto"/>
      </w:divBdr>
    </w:div>
    <w:div w:id="499078563">
      <w:bodyDiv w:val="1"/>
      <w:marLeft w:val="0"/>
      <w:marRight w:val="0"/>
      <w:marTop w:val="0"/>
      <w:marBottom w:val="0"/>
      <w:divBdr>
        <w:top w:val="none" w:sz="0" w:space="0" w:color="auto"/>
        <w:left w:val="none" w:sz="0" w:space="0" w:color="auto"/>
        <w:bottom w:val="none" w:sz="0" w:space="0" w:color="auto"/>
        <w:right w:val="none" w:sz="0" w:space="0" w:color="auto"/>
      </w:divBdr>
    </w:div>
    <w:div w:id="526917471">
      <w:bodyDiv w:val="1"/>
      <w:marLeft w:val="0"/>
      <w:marRight w:val="0"/>
      <w:marTop w:val="0"/>
      <w:marBottom w:val="0"/>
      <w:divBdr>
        <w:top w:val="none" w:sz="0" w:space="0" w:color="auto"/>
        <w:left w:val="none" w:sz="0" w:space="0" w:color="auto"/>
        <w:bottom w:val="none" w:sz="0" w:space="0" w:color="auto"/>
        <w:right w:val="none" w:sz="0" w:space="0" w:color="auto"/>
      </w:divBdr>
    </w:div>
    <w:div w:id="531694564">
      <w:bodyDiv w:val="1"/>
      <w:marLeft w:val="0"/>
      <w:marRight w:val="0"/>
      <w:marTop w:val="0"/>
      <w:marBottom w:val="0"/>
      <w:divBdr>
        <w:top w:val="none" w:sz="0" w:space="0" w:color="auto"/>
        <w:left w:val="none" w:sz="0" w:space="0" w:color="auto"/>
        <w:bottom w:val="none" w:sz="0" w:space="0" w:color="auto"/>
        <w:right w:val="none" w:sz="0" w:space="0" w:color="auto"/>
      </w:divBdr>
    </w:div>
    <w:div w:id="543373945">
      <w:bodyDiv w:val="1"/>
      <w:marLeft w:val="0"/>
      <w:marRight w:val="0"/>
      <w:marTop w:val="0"/>
      <w:marBottom w:val="0"/>
      <w:divBdr>
        <w:top w:val="none" w:sz="0" w:space="0" w:color="auto"/>
        <w:left w:val="none" w:sz="0" w:space="0" w:color="auto"/>
        <w:bottom w:val="none" w:sz="0" w:space="0" w:color="auto"/>
        <w:right w:val="none" w:sz="0" w:space="0" w:color="auto"/>
      </w:divBdr>
    </w:div>
    <w:div w:id="574096410">
      <w:bodyDiv w:val="1"/>
      <w:marLeft w:val="0"/>
      <w:marRight w:val="0"/>
      <w:marTop w:val="0"/>
      <w:marBottom w:val="0"/>
      <w:divBdr>
        <w:top w:val="none" w:sz="0" w:space="0" w:color="auto"/>
        <w:left w:val="none" w:sz="0" w:space="0" w:color="auto"/>
        <w:bottom w:val="none" w:sz="0" w:space="0" w:color="auto"/>
        <w:right w:val="none" w:sz="0" w:space="0" w:color="auto"/>
      </w:divBdr>
    </w:div>
    <w:div w:id="602225058">
      <w:bodyDiv w:val="1"/>
      <w:marLeft w:val="0"/>
      <w:marRight w:val="0"/>
      <w:marTop w:val="0"/>
      <w:marBottom w:val="0"/>
      <w:divBdr>
        <w:top w:val="none" w:sz="0" w:space="0" w:color="auto"/>
        <w:left w:val="none" w:sz="0" w:space="0" w:color="auto"/>
        <w:bottom w:val="none" w:sz="0" w:space="0" w:color="auto"/>
        <w:right w:val="none" w:sz="0" w:space="0" w:color="auto"/>
      </w:divBdr>
    </w:div>
    <w:div w:id="605769197">
      <w:bodyDiv w:val="1"/>
      <w:marLeft w:val="0"/>
      <w:marRight w:val="0"/>
      <w:marTop w:val="0"/>
      <w:marBottom w:val="0"/>
      <w:divBdr>
        <w:top w:val="none" w:sz="0" w:space="0" w:color="auto"/>
        <w:left w:val="none" w:sz="0" w:space="0" w:color="auto"/>
        <w:bottom w:val="none" w:sz="0" w:space="0" w:color="auto"/>
        <w:right w:val="none" w:sz="0" w:space="0" w:color="auto"/>
      </w:divBdr>
    </w:div>
    <w:div w:id="644579245">
      <w:bodyDiv w:val="1"/>
      <w:marLeft w:val="0"/>
      <w:marRight w:val="0"/>
      <w:marTop w:val="0"/>
      <w:marBottom w:val="0"/>
      <w:divBdr>
        <w:top w:val="none" w:sz="0" w:space="0" w:color="auto"/>
        <w:left w:val="none" w:sz="0" w:space="0" w:color="auto"/>
        <w:bottom w:val="none" w:sz="0" w:space="0" w:color="auto"/>
        <w:right w:val="none" w:sz="0" w:space="0" w:color="auto"/>
      </w:divBdr>
    </w:div>
    <w:div w:id="670764531">
      <w:bodyDiv w:val="1"/>
      <w:marLeft w:val="0"/>
      <w:marRight w:val="0"/>
      <w:marTop w:val="0"/>
      <w:marBottom w:val="0"/>
      <w:divBdr>
        <w:top w:val="none" w:sz="0" w:space="0" w:color="auto"/>
        <w:left w:val="none" w:sz="0" w:space="0" w:color="auto"/>
        <w:bottom w:val="none" w:sz="0" w:space="0" w:color="auto"/>
        <w:right w:val="none" w:sz="0" w:space="0" w:color="auto"/>
      </w:divBdr>
    </w:div>
    <w:div w:id="694619407">
      <w:bodyDiv w:val="1"/>
      <w:marLeft w:val="0"/>
      <w:marRight w:val="0"/>
      <w:marTop w:val="0"/>
      <w:marBottom w:val="0"/>
      <w:divBdr>
        <w:top w:val="none" w:sz="0" w:space="0" w:color="auto"/>
        <w:left w:val="none" w:sz="0" w:space="0" w:color="auto"/>
        <w:bottom w:val="none" w:sz="0" w:space="0" w:color="auto"/>
        <w:right w:val="none" w:sz="0" w:space="0" w:color="auto"/>
      </w:divBdr>
    </w:div>
    <w:div w:id="697779324">
      <w:bodyDiv w:val="1"/>
      <w:marLeft w:val="0"/>
      <w:marRight w:val="0"/>
      <w:marTop w:val="0"/>
      <w:marBottom w:val="0"/>
      <w:divBdr>
        <w:top w:val="none" w:sz="0" w:space="0" w:color="auto"/>
        <w:left w:val="none" w:sz="0" w:space="0" w:color="auto"/>
        <w:bottom w:val="none" w:sz="0" w:space="0" w:color="auto"/>
        <w:right w:val="none" w:sz="0" w:space="0" w:color="auto"/>
      </w:divBdr>
    </w:div>
    <w:div w:id="711004514">
      <w:bodyDiv w:val="1"/>
      <w:marLeft w:val="0"/>
      <w:marRight w:val="0"/>
      <w:marTop w:val="0"/>
      <w:marBottom w:val="0"/>
      <w:divBdr>
        <w:top w:val="none" w:sz="0" w:space="0" w:color="auto"/>
        <w:left w:val="none" w:sz="0" w:space="0" w:color="auto"/>
        <w:bottom w:val="none" w:sz="0" w:space="0" w:color="auto"/>
        <w:right w:val="none" w:sz="0" w:space="0" w:color="auto"/>
      </w:divBdr>
    </w:div>
    <w:div w:id="718434437">
      <w:bodyDiv w:val="1"/>
      <w:marLeft w:val="0"/>
      <w:marRight w:val="0"/>
      <w:marTop w:val="0"/>
      <w:marBottom w:val="0"/>
      <w:divBdr>
        <w:top w:val="none" w:sz="0" w:space="0" w:color="auto"/>
        <w:left w:val="none" w:sz="0" w:space="0" w:color="auto"/>
        <w:bottom w:val="none" w:sz="0" w:space="0" w:color="auto"/>
        <w:right w:val="none" w:sz="0" w:space="0" w:color="auto"/>
      </w:divBdr>
    </w:div>
    <w:div w:id="721174140">
      <w:bodyDiv w:val="1"/>
      <w:marLeft w:val="0"/>
      <w:marRight w:val="0"/>
      <w:marTop w:val="0"/>
      <w:marBottom w:val="0"/>
      <w:divBdr>
        <w:top w:val="none" w:sz="0" w:space="0" w:color="auto"/>
        <w:left w:val="none" w:sz="0" w:space="0" w:color="auto"/>
        <w:bottom w:val="none" w:sz="0" w:space="0" w:color="auto"/>
        <w:right w:val="none" w:sz="0" w:space="0" w:color="auto"/>
      </w:divBdr>
    </w:div>
    <w:div w:id="757866621">
      <w:bodyDiv w:val="1"/>
      <w:marLeft w:val="0"/>
      <w:marRight w:val="0"/>
      <w:marTop w:val="0"/>
      <w:marBottom w:val="0"/>
      <w:divBdr>
        <w:top w:val="none" w:sz="0" w:space="0" w:color="auto"/>
        <w:left w:val="none" w:sz="0" w:space="0" w:color="auto"/>
        <w:bottom w:val="none" w:sz="0" w:space="0" w:color="auto"/>
        <w:right w:val="none" w:sz="0" w:space="0" w:color="auto"/>
      </w:divBdr>
    </w:div>
    <w:div w:id="834106651">
      <w:bodyDiv w:val="1"/>
      <w:marLeft w:val="0"/>
      <w:marRight w:val="0"/>
      <w:marTop w:val="0"/>
      <w:marBottom w:val="0"/>
      <w:divBdr>
        <w:top w:val="none" w:sz="0" w:space="0" w:color="auto"/>
        <w:left w:val="none" w:sz="0" w:space="0" w:color="auto"/>
        <w:bottom w:val="none" w:sz="0" w:space="0" w:color="auto"/>
        <w:right w:val="none" w:sz="0" w:space="0" w:color="auto"/>
      </w:divBdr>
    </w:div>
    <w:div w:id="839124922">
      <w:bodyDiv w:val="1"/>
      <w:marLeft w:val="0"/>
      <w:marRight w:val="0"/>
      <w:marTop w:val="0"/>
      <w:marBottom w:val="0"/>
      <w:divBdr>
        <w:top w:val="none" w:sz="0" w:space="0" w:color="auto"/>
        <w:left w:val="none" w:sz="0" w:space="0" w:color="auto"/>
        <w:bottom w:val="none" w:sz="0" w:space="0" w:color="auto"/>
        <w:right w:val="none" w:sz="0" w:space="0" w:color="auto"/>
      </w:divBdr>
    </w:div>
    <w:div w:id="850872279">
      <w:bodyDiv w:val="1"/>
      <w:marLeft w:val="0"/>
      <w:marRight w:val="0"/>
      <w:marTop w:val="0"/>
      <w:marBottom w:val="0"/>
      <w:divBdr>
        <w:top w:val="none" w:sz="0" w:space="0" w:color="auto"/>
        <w:left w:val="none" w:sz="0" w:space="0" w:color="auto"/>
        <w:bottom w:val="none" w:sz="0" w:space="0" w:color="auto"/>
        <w:right w:val="none" w:sz="0" w:space="0" w:color="auto"/>
      </w:divBdr>
    </w:div>
    <w:div w:id="863442241">
      <w:bodyDiv w:val="1"/>
      <w:marLeft w:val="0"/>
      <w:marRight w:val="0"/>
      <w:marTop w:val="0"/>
      <w:marBottom w:val="0"/>
      <w:divBdr>
        <w:top w:val="none" w:sz="0" w:space="0" w:color="auto"/>
        <w:left w:val="none" w:sz="0" w:space="0" w:color="auto"/>
        <w:bottom w:val="none" w:sz="0" w:space="0" w:color="auto"/>
        <w:right w:val="none" w:sz="0" w:space="0" w:color="auto"/>
      </w:divBdr>
    </w:div>
    <w:div w:id="873926053">
      <w:bodyDiv w:val="1"/>
      <w:marLeft w:val="0"/>
      <w:marRight w:val="0"/>
      <w:marTop w:val="0"/>
      <w:marBottom w:val="0"/>
      <w:divBdr>
        <w:top w:val="none" w:sz="0" w:space="0" w:color="auto"/>
        <w:left w:val="none" w:sz="0" w:space="0" w:color="auto"/>
        <w:bottom w:val="none" w:sz="0" w:space="0" w:color="auto"/>
        <w:right w:val="none" w:sz="0" w:space="0" w:color="auto"/>
      </w:divBdr>
    </w:div>
    <w:div w:id="875776562">
      <w:bodyDiv w:val="1"/>
      <w:marLeft w:val="0"/>
      <w:marRight w:val="0"/>
      <w:marTop w:val="0"/>
      <w:marBottom w:val="0"/>
      <w:divBdr>
        <w:top w:val="none" w:sz="0" w:space="0" w:color="auto"/>
        <w:left w:val="none" w:sz="0" w:space="0" w:color="auto"/>
        <w:bottom w:val="none" w:sz="0" w:space="0" w:color="auto"/>
        <w:right w:val="none" w:sz="0" w:space="0" w:color="auto"/>
      </w:divBdr>
    </w:div>
    <w:div w:id="879322871">
      <w:bodyDiv w:val="1"/>
      <w:marLeft w:val="0"/>
      <w:marRight w:val="0"/>
      <w:marTop w:val="0"/>
      <w:marBottom w:val="0"/>
      <w:divBdr>
        <w:top w:val="none" w:sz="0" w:space="0" w:color="auto"/>
        <w:left w:val="none" w:sz="0" w:space="0" w:color="auto"/>
        <w:bottom w:val="none" w:sz="0" w:space="0" w:color="auto"/>
        <w:right w:val="none" w:sz="0" w:space="0" w:color="auto"/>
      </w:divBdr>
    </w:div>
    <w:div w:id="881675022">
      <w:bodyDiv w:val="1"/>
      <w:marLeft w:val="0"/>
      <w:marRight w:val="0"/>
      <w:marTop w:val="0"/>
      <w:marBottom w:val="0"/>
      <w:divBdr>
        <w:top w:val="none" w:sz="0" w:space="0" w:color="auto"/>
        <w:left w:val="none" w:sz="0" w:space="0" w:color="auto"/>
        <w:bottom w:val="none" w:sz="0" w:space="0" w:color="auto"/>
        <w:right w:val="none" w:sz="0" w:space="0" w:color="auto"/>
      </w:divBdr>
    </w:div>
    <w:div w:id="897519516">
      <w:bodyDiv w:val="1"/>
      <w:marLeft w:val="0"/>
      <w:marRight w:val="0"/>
      <w:marTop w:val="0"/>
      <w:marBottom w:val="0"/>
      <w:divBdr>
        <w:top w:val="none" w:sz="0" w:space="0" w:color="auto"/>
        <w:left w:val="none" w:sz="0" w:space="0" w:color="auto"/>
        <w:bottom w:val="none" w:sz="0" w:space="0" w:color="auto"/>
        <w:right w:val="none" w:sz="0" w:space="0" w:color="auto"/>
      </w:divBdr>
    </w:div>
    <w:div w:id="902645343">
      <w:bodyDiv w:val="1"/>
      <w:marLeft w:val="0"/>
      <w:marRight w:val="0"/>
      <w:marTop w:val="0"/>
      <w:marBottom w:val="0"/>
      <w:divBdr>
        <w:top w:val="none" w:sz="0" w:space="0" w:color="auto"/>
        <w:left w:val="none" w:sz="0" w:space="0" w:color="auto"/>
        <w:bottom w:val="none" w:sz="0" w:space="0" w:color="auto"/>
        <w:right w:val="none" w:sz="0" w:space="0" w:color="auto"/>
      </w:divBdr>
    </w:div>
    <w:div w:id="947661745">
      <w:bodyDiv w:val="1"/>
      <w:marLeft w:val="0"/>
      <w:marRight w:val="0"/>
      <w:marTop w:val="0"/>
      <w:marBottom w:val="0"/>
      <w:divBdr>
        <w:top w:val="none" w:sz="0" w:space="0" w:color="auto"/>
        <w:left w:val="none" w:sz="0" w:space="0" w:color="auto"/>
        <w:bottom w:val="none" w:sz="0" w:space="0" w:color="auto"/>
        <w:right w:val="none" w:sz="0" w:space="0" w:color="auto"/>
      </w:divBdr>
    </w:div>
    <w:div w:id="958871987">
      <w:bodyDiv w:val="1"/>
      <w:marLeft w:val="0"/>
      <w:marRight w:val="0"/>
      <w:marTop w:val="0"/>
      <w:marBottom w:val="0"/>
      <w:divBdr>
        <w:top w:val="none" w:sz="0" w:space="0" w:color="auto"/>
        <w:left w:val="none" w:sz="0" w:space="0" w:color="auto"/>
        <w:bottom w:val="none" w:sz="0" w:space="0" w:color="auto"/>
        <w:right w:val="none" w:sz="0" w:space="0" w:color="auto"/>
      </w:divBdr>
    </w:div>
    <w:div w:id="1000305710">
      <w:bodyDiv w:val="1"/>
      <w:marLeft w:val="0"/>
      <w:marRight w:val="0"/>
      <w:marTop w:val="0"/>
      <w:marBottom w:val="0"/>
      <w:divBdr>
        <w:top w:val="none" w:sz="0" w:space="0" w:color="auto"/>
        <w:left w:val="none" w:sz="0" w:space="0" w:color="auto"/>
        <w:bottom w:val="none" w:sz="0" w:space="0" w:color="auto"/>
        <w:right w:val="none" w:sz="0" w:space="0" w:color="auto"/>
      </w:divBdr>
    </w:div>
    <w:div w:id="1001809292">
      <w:bodyDiv w:val="1"/>
      <w:marLeft w:val="0"/>
      <w:marRight w:val="0"/>
      <w:marTop w:val="0"/>
      <w:marBottom w:val="0"/>
      <w:divBdr>
        <w:top w:val="none" w:sz="0" w:space="0" w:color="auto"/>
        <w:left w:val="none" w:sz="0" w:space="0" w:color="auto"/>
        <w:bottom w:val="none" w:sz="0" w:space="0" w:color="auto"/>
        <w:right w:val="none" w:sz="0" w:space="0" w:color="auto"/>
      </w:divBdr>
    </w:div>
    <w:div w:id="1007949327">
      <w:bodyDiv w:val="1"/>
      <w:marLeft w:val="0"/>
      <w:marRight w:val="0"/>
      <w:marTop w:val="0"/>
      <w:marBottom w:val="0"/>
      <w:divBdr>
        <w:top w:val="none" w:sz="0" w:space="0" w:color="auto"/>
        <w:left w:val="none" w:sz="0" w:space="0" w:color="auto"/>
        <w:bottom w:val="none" w:sz="0" w:space="0" w:color="auto"/>
        <w:right w:val="none" w:sz="0" w:space="0" w:color="auto"/>
      </w:divBdr>
    </w:div>
    <w:div w:id="1013462310">
      <w:bodyDiv w:val="1"/>
      <w:marLeft w:val="0"/>
      <w:marRight w:val="0"/>
      <w:marTop w:val="0"/>
      <w:marBottom w:val="0"/>
      <w:divBdr>
        <w:top w:val="none" w:sz="0" w:space="0" w:color="auto"/>
        <w:left w:val="none" w:sz="0" w:space="0" w:color="auto"/>
        <w:bottom w:val="none" w:sz="0" w:space="0" w:color="auto"/>
        <w:right w:val="none" w:sz="0" w:space="0" w:color="auto"/>
      </w:divBdr>
    </w:div>
    <w:div w:id="1020861150">
      <w:bodyDiv w:val="1"/>
      <w:marLeft w:val="0"/>
      <w:marRight w:val="0"/>
      <w:marTop w:val="0"/>
      <w:marBottom w:val="0"/>
      <w:divBdr>
        <w:top w:val="none" w:sz="0" w:space="0" w:color="auto"/>
        <w:left w:val="none" w:sz="0" w:space="0" w:color="auto"/>
        <w:bottom w:val="none" w:sz="0" w:space="0" w:color="auto"/>
        <w:right w:val="none" w:sz="0" w:space="0" w:color="auto"/>
      </w:divBdr>
    </w:div>
    <w:div w:id="1026832799">
      <w:bodyDiv w:val="1"/>
      <w:marLeft w:val="0"/>
      <w:marRight w:val="0"/>
      <w:marTop w:val="0"/>
      <w:marBottom w:val="0"/>
      <w:divBdr>
        <w:top w:val="none" w:sz="0" w:space="0" w:color="auto"/>
        <w:left w:val="none" w:sz="0" w:space="0" w:color="auto"/>
        <w:bottom w:val="none" w:sz="0" w:space="0" w:color="auto"/>
        <w:right w:val="none" w:sz="0" w:space="0" w:color="auto"/>
      </w:divBdr>
    </w:div>
    <w:div w:id="1027561978">
      <w:bodyDiv w:val="1"/>
      <w:marLeft w:val="0"/>
      <w:marRight w:val="0"/>
      <w:marTop w:val="0"/>
      <w:marBottom w:val="0"/>
      <w:divBdr>
        <w:top w:val="none" w:sz="0" w:space="0" w:color="auto"/>
        <w:left w:val="none" w:sz="0" w:space="0" w:color="auto"/>
        <w:bottom w:val="none" w:sz="0" w:space="0" w:color="auto"/>
        <w:right w:val="none" w:sz="0" w:space="0" w:color="auto"/>
      </w:divBdr>
    </w:div>
    <w:div w:id="1083718493">
      <w:bodyDiv w:val="1"/>
      <w:marLeft w:val="0"/>
      <w:marRight w:val="0"/>
      <w:marTop w:val="0"/>
      <w:marBottom w:val="0"/>
      <w:divBdr>
        <w:top w:val="none" w:sz="0" w:space="0" w:color="auto"/>
        <w:left w:val="none" w:sz="0" w:space="0" w:color="auto"/>
        <w:bottom w:val="none" w:sz="0" w:space="0" w:color="auto"/>
        <w:right w:val="none" w:sz="0" w:space="0" w:color="auto"/>
      </w:divBdr>
    </w:div>
    <w:div w:id="1091199747">
      <w:bodyDiv w:val="1"/>
      <w:marLeft w:val="0"/>
      <w:marRight w:val="0"/>
      <w:marTop w:val="0"/>
      <w:marBottom w:val="0"/>
      <w:divBdr>
        <w:top w:val="none" w:sz="0" w:space="0" w:color="auto"/>
        <w:left w:val="none" w:sz="0" w:space="0" w:color="auto"/>
        <w:bottom w:val="none" w:sz="0" w:space="0" w:color="auto"/>
        <w:right w:val="none" w:sz="0" w:space="0" w:color="auto"/>
      </w:divBdr>
    </w:div>
    <w:div w:id="1099518924">
      <w:bodyDiv w:val="1"/>
      <w:marLeft w:val="0"/>
      <w:marRight w:val="0"/>
      <w:marTop w:val="0"/>
      <w:marBottom w:val="0"/>
      <w:divBdr>
        <w:top w:val="none" w:sz="0" w:space="0" w:color="auto"/>
        <w:left w:val="none" w:sz="0" w:space="0" w:color="auto"/>
        <w:bottom w:val="none" w:sz="0" w:space="0" w:color="auto"/>
        <w:right w:val="none" w:sz="0" w:space="0" w:color="auto"/>
      </w:divBdr>
    </w:div>
    <w:div w:id="1144548507">
      <w:bodyDiv w:val="1"/>
      <w:marLeft w:val="0"/>
      <w:marRight w:val="0"/>
      <w:marTop w:val="0"/>
      <w:marBottom w:val="0"/>
      <w:divBdr>
        <w:top w:val="none" w:sz="0" w:space="0" w:color="auto"/>
        <w:left w:val="none" w:sz="0" w:space="0" w:color="auto"/>
        <w:bottom w:val="none" w:sz="0" w:space="0" w:color="auto"/>
        <w:right w:val="none" w:sz="0" w:space="0" w:color="auto"/>
      </w:divBdr>
    </w:div>
    <w:div w:id="1156605170">
      <w:bodyDiv w:val="1"/>
      <w:marLeft w:val="0"/>
      <w:marRight w:val="0"/>
      <w:marTop w:val="0"/>
      <w:marBottom w:val="0"/>
      <w:divBdr>
        <w:top w:val="none" w:sz="0" w:space="0" w:color="auto"/>
        <w:left w:val="none" w:sz="0" w:space="0" w:color="auto"/>
        <w:bottom w:val="none" w:sz="0" w:space="0" w:color="auto"/>
        <w:right w:val="none" w:sz="0" w:space="0" w:color="auto"/>
      </w:divBdr>
      <w:divsChild>
        <w:div w:id="298341753">
          <w:marLeft w:val="0"/>
          <w:marRight w:val="0"/>
          <w:marTop w:val="0"/>
          <w:marBottom w:val="0"/>
          <w:divBdr>
            <w:top w:val="none" w:sz="0" w:space="0" w:color="auto"/>
            <w:left w:val="none" w:sz="0" w:space="0" w:color="auto"/>
            <w:bottom w:val="none" w:sz="0" w:space="0" w:color="auto"/>
            <w:right w:val="none" w:sz="0" w:space="0" w:color="auto"/>
          </w:divBdr>
          <w:divsChild>
            <w:div w:id="403069812">
              <w:marLeft w:val="-240"/>
              <w:marRight w:val="0"/>
              <w:marTop w:val="0"/>
              <w:marBottom w:val="0"/>
              <w:divBdr>
                <w:top w:val="none" w:sz="0" w:space="0" w:color="auto"/>
                <w:left w:val="none" w:sz="0" w:space="0" w:color="auto"/>
                <w:bottom w:val="none" w:sz="0" w:space="0" w:color="auto"/>
                <w:right w:val="none" w:sz="0" w:space="0" w:color="auto"/>
              </w:divBdr>
              <w:divsChild>
                <w:div w:id="2126240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12030">
      <w:bodyDiv w:val="1"/>
      <w:marLeft w:val="0"/>
      <w:marRight w:val="0"/>
      <w:marTop w:val="0"/>
      <w:marBottom w:val="0"/>
      <w:divBdr>
        <w:top w:val="none" w:sz="0" w:space="0" w:color="auto"/>
        <w:left w:val="none" w:sz="0" w:space="0" w:color="auto"/>
        <w:bottom w:val="none" w:sz="0" w:space="0" w:color="auto"/>
        <w:right w:val="none" w:sz="0" w:space="0" w:color="auto"/>
      </w:divBdr>
    </w:div>
    <w:div w:id="1165054065">
      <w:bodyDiv w:val="1"/>
      <w:marLeft w:val="0"/>
      <w:marRight w:val="0"/>
      <w:marTop w:val="0"/>
      <w:marBottom w:val="0"/>
      <w:divBdr>
        <w:top w:val="none" w:sz="0" w:space="0" w:color="auto"/>
        <w:left w:val="none" w:sz="0" w:space="0" w:color="auto"/>
        <w:bottom w:val="none" w:sz="0" w:space="0" w:color="auto"/>
        <w:right w:val="none" w:sz="0" w:space="0" w:color="auto"/>
      </w:divBdr>
    </w:div>
    <w:div w:id="1165366168">
      <w:bodyDiv w:val="1"/>
      <w:marLeft w:val="0"/>
      <w:marRight w:val="0"/>
      <w:marTop w:val="0"/>
      <w:marBottom w:val="0"/>
      <w:divBdr>
        <w:top w:val="none" w:sz="0" w:space="0" w:color="auto"/>
        <w:left w:val="none" w:sz="0" w:space="0" w:color="auto"/>
        <w:bottom w:val="none" w:sz="0" w:space="0" w:color="auto"/>
        <w:right w:val="none" w:sz="0" w:space="0" w:color="auto"/>
      </w:divBdr>
    </w:div>
    <w:div w:id="1183324802">
      <w:bodyDiv w:val="1"/>
      <w:marLeft w:val="0"/>
      <w:marRight w:val="0"/>
      <w:marTop w:val="0"/>
      <w:marBottom w:val="0"/>
      <w:divBdr>
        <w:top w:val="none" w:sz="0" w:space="0" w:color="auto"/>
        <w:left w:val="none" w:sz="0" w:space="0" w:color="auto"/>
        <w:bottom w:val="none" w:sz="0" w:space="0" w:color="auto"/>
        <w:right w:val="none" w:sz="0" w:space="0" w:color="auto"/>
      </w:divBdr>
    </w:div>
    <w:div w:id="1188060029">
      <w:bodyDiv w:val="1"/>
      <w:marLeft w:val="0"/>
      <w:marRight w:val="0"/>
      <w:marTop w:val="0"/>
      <w:marBottom w:val="0"/>
      <w:divBdr>
        <w:top w:val="none" w:sz="0" w:space="0" w:color="auto"/>
        <w:left w:val="none" w:sz="0" w:space="0" w:color="auto"/>
        <w:bottom w:val="none" w:sz="0" w:space="0" w:color="auto"/>
        <w:right w:val="none" w:sz="0" w:space="0" w:color="auto"/>
      </w:divBdr>
    </w:div>
    <w:div w:id="1189493309">
      <w:bodyDiv w:val="1"/>
      <w:marLeft w:val="0"/>
      <w:marRight w:val="0"/>
      <w:marTop w:val="0"/>
      <w:marBottom w:val="0"/>
      <w:divBdr>
        <w:top w:val="none" w:sz="0" w:space="0" w:color="auto"/>
        <w:left w:val="none" w:sz="0" w:space="0" w:color="auto"/>
        <w:bottom w:val="none" w:sz="0" w:space="0" w:color="auto"/>
        <w:right w:val="none" w:sz="0" w:space="0" w:color="auto"/>
      </w:divBdr>
    </w:div>
    <w:div w:id="1190728617">
      <w:bodyDiv w:val="1"/>
      <w:marLeft w:val="0"/>
      <w:marRight w:val="0"/>
      <w:marTop w:val="0"/>
      <w:marBottom w:val="0"/>
      <w:divBdr>
        <w:top w:val="none" w:sz="0" w:space="0" w:color="auto"/>
        <w:left w:val="none" w:sz="0" w:space="0" w:color="auto"/>
        <w:bottom w:val="none" w:sz="0" w:space="0" w:color="auto"/>
        <w:right w:val="none" w:sz="0" w:space="0" w:color="auto"/>
      </w:divBdr>
    </w:div>
    <w:div w:id="1195849308">
      <w:bodyDiv w:val="1"/>
      <w:marLeft w:val="0"/>
      <w:marRight w:val="0"/>
      <w:marTop w:val="0"/>
      <w:marBottom w:val="0"/>
      <w:divBdr>
        <w:top w:val="none" w:sz="0" w:space="0" w:color="auto"/>
        <w:left w:val="none" w:sz="0" w:space="0" w:color="auto"/>
        <w:bottom w:val="none" w:sz="0" w:space="0" w:color="auto"/>
        <w:right w:val="none" w:sz="0" w:space="0" w:color="auto"/>
      </w:divBdr>
    </w:div>
    <w:div w:id="1200357863">
      <w:bodyDiv w:val="1"/>
      <w:marLeft w:val="0"/>
      <w:marRight w:val="0"/>
      <w:marTop w:val="0"/>
      <w:marBottom w:val="0"/>
      <w:divBdr>
        <w:top w:val="none" w:sz="0" w:space="0" w:color="auto"/>
        <w:left w:val="none" w:sz="0" w:space="0" w:color="auto"/>
        <w:bottom w:val="none" w:sz="0" w:space="0" w:color="auto"/>
        <w:right w:val="none" w:sz="0" w:space="0" w:color="auto"/>
      </w:divBdr>
    </w:div>
    <w:div w:id="1206453587">
      <w:bodyDiv w:val="1"/>
      <w:marLeft w:val="0"/>
      <w:marRight w:val="0"/>
      <w:marTop w:val="0"/>
      <w:marBottom w:val="0"/>
      <w:divBdr>
        <w:top w:val="none" w:sz="0" w:space="0" w:color="auto"/>
        <w:left w:val="none" w:sz="0" w:space="0" w:color="auto"/>
        <w:bottom w:val="none" w:sz="0" w:space="0" w:color="auto"/>
        <w:right w:val="none" w:sz="0" w:space="0" w:color="auto"/>
      </w:divBdr>
    </w:div>
    <w:div w:id="1208644875">
      <w:bodyDiv w:val="1"/>
      <w:marLeft w:val="0"/>
      <w:marRight w:val="0"/>
      <w:marTop w:val="0"/>
      <w:marBottom w:val="0"/>
      <w:divBdr>
        <w:top w:val="none" w:sz="0" w:space="0" w:color="auto"/>
        <w:left w:val="none" w:sz="0" w:space="0" w:color="auto"/>
        <w:bottom w:val="none" w:sz="0" w:space="0" w:color="auto"/>
        <w:right w:val="none" w:sz="0" w:space="0" w:color="auto"/>
      </w:divBdr>
    </w:div>
    <w:div w:id="1214610663">
      <w:bodyDiv w:val="1"/>
      <w:marLeft w:val="0"/>
      <w:marRight w:val="0"/>
      <w:marTop w:val="0"/>
      <w:marBottom w:val="0"/>
      <w:divBdr>
        <w:top w:val="none" w:sz="0" w:space="0" w:color="auto"/>
        <w:left w:val="none" w:sz="0" w:space="0" w:color="auto"/>
        <w:bottom w:val="none" w:sz="0" w:space="0" w:color="auto"/>
        <w:right w:val="none" w:sz="0" w:space="0" w:color="auto"/>
      </w:divBdr>
    </w:div>
    <w:div w:id="1223441839">
      <w:bodyDiv w:val="1"/>
      <w:marLeft w:val="0"/>
      <w:marRight w:val="0"/>
      <w:marTop w:val="0"/>
      <w:marBottom w:val="0"/>
      <w:divBdr>
        <w:top w:val="none" w:sz="0" w:space="0" w:color="auto"/>
        <w:left w:val="none" w:sz="0" w:space="0" w:color="auto"/>
        <w:bottom w:val="none" w:sz="0" w:space="0" w:color="auto"/>
        <w:right w:val="none" w:sz="0" w:space="0" w:color="auto"/>
      </w:divBdr>
    </w:div>
    <w:div w:id="1250306193">
      <w:bodyDiv w:val="1"/>
      <w:marLeft w:val="0"/>
      <w:marRight w:val="0"/>
      <w:marTop w:val="0"/>
      <w:marBottom w:val="0"/>
      <w:divBdr>
        <w:top w:val="none" w:sz="0" w:space="0" w:color="auto"/>
        <w:left w:val="none" w:sz="0" w:space="0" w:color="auto"/>
        <w:bottom w:val="none" w:sz="0" w:space="0" w:color="auto"/>
        <w:right w:val="none" w:sz="0" w:space="0" w:color="auto"/>
      </w:divBdr>
    </w:div>
    <w:div w:id="1258948350">
      <w:bodyDiv w:val="1"/>
      <w:marLeft w:val="0"/>
      <w:marRight w:val="0"/>
      <w:marTop w:val="0"/>
      <w:marBottom w:val="0"/>
      <w:divBdr>
        <w:top w:val="none" w:sz="0" w:space="0" w:color="auto"/>
        <w:left w:val="none" w:sz="0" w:space="0" w:color="auto"/>
        <w:bottom w:val="none" w:sz="0" w:space="0" w:color="auto"/>
        <w:right w:val="none" w:sz="0" w:space="0" w:color="auto"/>
      </w:divBdr>
    </w:div>
    <w:div w:id="1265724974">
      <w:bodyDiv w:val="1"/>
      <w:marLeft w:val="0"/>
      <w:marRight w:val="0"/>
      <w:marTop w:val="0"/>
      <w:marBottom w:val="0"/>
      <w:divBdr>
        <w:top w:val="none" w:sz="0" w:space="0" w:color="auto"/>
        <w:left w:val="none" w:sz="0" w:space="0" w:color="auto"/>
        <w:bottom w:val="none" w:sz="0" w:space="0" w:color="auto"/>
        <w:right w:val="none" w:sz="0" w:space="0" w:color="auto"/>
      </w:divBdr>
    </w:div>
    <w:div w:id="1275943553">
      <w:bodyDiv w:val="1"/>
      <w:marLeft w:val="0"/>
      <w:marRight w:val="0"/>
      <w:marTop w:val="0"/>
      <w:marBottom w:val="0"/>
      <w:divBdr>
        <w:top w:val="none" w:sz="0" w:space="0" w:color="auto"/>
        <w:left w:val="none" w:sz="0" w:space="0" w:color="auto"/>
        <w:bottom w:val="none" w:sz="0" w:space="0" w:color="auto"/>
        <w:right w:val="none" w:sz="0" w:space="0" w:color="auto"/>
      </w:divBdr>
    </w:div>
    <w:div w:id="1285310389">
      <w:bodyDiv w:val="1"/>
      <w:marLeft w:val="0"/>
      <w:marRight w:val="0"/>
      <w:marTop w:val="0"/>
      <w:marBottom w:val="0"/>
      <w:divBdr>
        <w:top w:val="none" w:sz="0" w:space="0" w:color="auto"/>
        <w:left w:val="none" w:sz="0" w:space="0" w:color="auto"/>
        <w:bottom w:val="none" w:sz="0" w:space="0" w:color="auto"/>
        <w:right w:val="none" w:sz="0" w:space="0" w:color="auto"/>
      </w:divBdr>
    </w:div>
    <w:div w:id="1292395695">
      <w:bodyDiv w:val="1"/>
      <w:marLeft w:val="0"/>
      <w:marRight w:val="0"/>
      <w:marTop w:val="0"/>
      <w:marBottom w:val="0"/>
      <w:divBdr>
        <w:top w:val="none" w:sz="0" w:space="0" w:color="auto"/>
        <w:left w:val="none" w:sz="0" w:space="0" w:color="auto"/>
        <w:bottom w:val="none" w:sz="0" w:space="0" w:color="auto"/>
        <w:right w:val="none" w:sz="0" w:space="0" w:color="auto"/>
      </w:divBdr>
    </w:div>
    <w:div w:id="1302734828">
      <w:bodyDiv w:val="1"/>
      <w:marLeft w:val="0"/>
      <w:marRight w:val="0"/>
      <w:marTop w:val="0"/>
      <w:marBottom w:val="0"/>
      <w:divBdr>
        <w:top w:val="none" w:sz="0" w:space="0" w:color="auto"/>
        <w:left w:val="none" w:sz="0" w:space="0" w:color="auto"/>
        <w:bottom w:val="none" w:sz="0" w:space="0" w:color="auto"/>
        <w:right w:val="none" w:sz="0" w:space="0" w:color="auto"/>
      </w:divBdr>
    </w:div>
    <w:div w:id="1303460917">
      <w:bodyDiv w:val="1"/>
      <w:marLeft w:val="0"/>
      <w:marRight w:val="0"/>
      <w:marTop w:val="0"/>
      <w:marBottom w:val="0"/>
      <w:divBdr>
        <w:top w:val="none" w:sz="0" w:space="0" w:color="auto"/>
        <w:left w:val="none" w:sz="0" w:space="0" w:color="auto"/>
        <w:bottom w:val="none" w:sz="0" w:space="0" w:color="auto"/>
        <w:right w:val="none" w:sz="0" w:space="0" w:color="auto"/>
      </w:divBdr>
    </w:div>
    <w:div w:id="1310791281">
      <w:bodyDiv w:val="1"/>
      <w:marLeft w:val="0"/>
      <w:marRight w:val="0"/>
      <w:marTop w:val="0"/>
      <w:marBottom w:val="0"/>
      <w:divBdr>
        <w:top w:val="none" w:sz="0" w:space="0" w:color="auto"/>
        <w:left w:val="none" w:sz="0" w:space="0" w:color="auto"/>
        <w:bottom w:val="none" w:sz="0" w:space="0" w:color="auto"/>
        <w:right w:val="none" w:sz="0" w:space="0" w:color="auto"/>
      </w:divBdr>
    </w:div>
    <w:div w:id="1336570483">
      <w:bodyDiv w:val="1"/>
      <w:marLeft w:val="0"/>
      <w:marRight w:val="0"/>
      <w:marTop w:val="0"/>
      <w:marBottom w:val="0"/>
      <w:divBdr>
        <w:top w:val="none" w:sz="0" w:space="0" w:color="auto"/>
        <w:left w:val="none" w:sz="0" w:space="0" w:color="auto"/>
        <w:bottom w:val="none" w:sz="0" w:space="0" w:color="auto"/>
        <w:right w:val="none" w:sz="0" w:space="0" w:color="auto"/>
      </w:divBdr>
    </w:div>
    <w:div w:id="1351755278">
      <w:bodyDiv w:val="1"/>
      <w:marLeft w:val="0"/>
      <w:marRight w:val="0"/>
      <w:marTop w:val="0"/>
      <w:marBottom w:val="0"/>
      <w:divBdr>
        <w:top w:val="none" w:sz="0" w:space="0" w:color="auto"/>
        <w:left w:val="none" w:sz="0" w:space="0" w:color="auto"/>
        <w:bottom w:val="none" w:sz="0" w:space="0" w:color="auto"/>
        <w:right w:val="none" w:sz="0" w:space="0" w:color="auto"/>
      </w:divBdr>
    </w:div>
    <w:div w:id="1351762235">
      <w:bodyDiv w:val="1"/>
      <w:marLeft w:val="0"/>
      <w:marRight w:val="0"/>
      <w:marTop w:val="0"/>
      <w:marBottom w:val="0"/>
      <w:divBdr>
        <w:top w:val="none" w:sz="0" w:space="0" w:color="auto"/>
        <w:left w:val="none" w:sz="0" w:space="0" w:color="auto"/>
        <w:bottom w:val="none" w:sz="0" w:space="0" w:color="auto"/>
        <w:right w:val="none" w:sz="0" w:space="0" w:color="auto"/>
      </w:divBdr>
    </w:div>
    <w:div w:id="1377392627">
      <w:bodyDiv w:val="1"/>
      <w:marLeft w:val="0"/>
      <w:marRight w:val="0"/>
      <w:marTop w:val="0"/>
      <w:marBottom w:val="0"/>
      <w:divBdr>
        <w:top w:val="none" w:sz="0" w:space="0" w:color="auto"/>
        <w:left w:val="none" w:sz="0" w:space="0" w:color="auto"/>
        <w:bottom w:val="none" w:sz="0" w:space="0" w:color="auto"/>
        <w:right w:val="none" w:sz="0" w:space="0" w:color="auto"/>
      </w:divBdr>
    </w:div>
    <w:div w:id="1382174683">
      <w:bodyDiv w:val="1"/>
      <w:marLeft w:val="0"/>
      <w:marRight w:val="0"/>
      <w:marTop w:val="0"/>
      <w:marBottom w:val="0"/>
      <w:divBdr>
        <w:top w:val="none" w:sz="0" w:space="0" w:color="auto"/>
        <w:left w:val="none" w:sz="0" w:space="0" w:color="auto"/>
        <w:bottom w:val="none" w:sz="0" w:space="0" w:color="auto"/>
        <w:right w:val="none" w:sz="0" w:space="0" w:color="auto"/>
      </w:divBdr>
    </w:div>
    <w:div w:id="1397317970">
      <w:bodyDiv w:val="1"/>
      <w:marLeft w:val="0"/>
      <w:marRight w:val="0"/>
      <w:marTop w:val="0"/>
      <w:marBottom w:val="0"/>
      <w:divBdr>
        <w:top w:val="none" w:sz="0" w:space="0" w:color="auto"/>
        <w:left w:val="none" w:sz="0" w:space="0" w:color="auto"/>
        <w:bottom w:val="none" w:sz="0" w:space="0" w:color="auto"/>
        <w:right w:val="none" w:sz="0" w:space="0" w:color="auto"/>
      </w:divBdr>
    </w:div>
    <w:div w:id="1408723411">
      <w:bodyDiv w:val="1"/>
      <w:marLeft w:val="0"/>
      <w:marRight w:val="0"/>
      <w:marTop w:val="0"/>
      <w:marBottom w:val="0"/>
      <w:divBdr>
        <w:top w:val="none" w:sz="0" w:space="0" w:color="auto"/>
        <w:left w:val="none" w:sz="0" w:space="0" w:color="auto"/>
        <w:bottom w:val="none" w:sz="0" w:space="0" w:color="auto"/>
        <w:right w:val="none" w:sz="0" w:space="0" w:color="auto"/>
      </w:divBdr>
    </w:div>
    <w:div w:id="1429622588">
      <w:bodyDiv w:val="1"/>
      <w:marLeft w:val="0"/>
      <w:marRight w:val="0"/>
      <w:marTop w:val="0"/>
      <w:marBottom w:val="0"/>
      <w:divBdr>
        <w:top w:val="none" w:sz="0" w:space="0" w:color="auto"/>
        <w:left w:val="none" w:sz="0" w:space="0" w:color="auto"/>
        <w:bottom w:val="none" w:sz="0" w:space="0" w:color="auto"/>
        <w:right w:val="none" w:sz="0" w:space="0" w:color="auto"/>
      </w:divBdr>
    </w:div>
    <w:div w:id="1432047366">
      <w:bodyDiv w:val="1"/>
      <w:marLeft w:val="0"/>
      <w:marRight w:val="0"/>
      <w:marTop w:val="0"/>
      <w:marBottom w:val="0"/>
      <w:divBdr>
        <w:top w:val="none" w:sz="0" w:space="0" w:color="auto"/>
        <w:left w:val="none" w:sz="0" w:space="0" w:color="auto"/>
        <w:bottom w:val="none" w:sz="0" w:space="0" w:color="auto"/>
        <w:right w:val="none" w:sz="0" w:space="0" w:color="auto"/>
      </w:divBdr>
    </w:div>
    <w:div w:id="1446584205">
      <w:bodyDiv w:val="1"/>
      <w:marLeft w:val="0"/>
      <w:marRight w:val="0"/>
      <w:marTop w:val="0"/>
      <w:marBottom w:val="0"/>
      <w:divBdr>
        <w:top w:val="none" w:sz="0" w:space="0" w:color="auto"/>
        <w:left w:val="none" w:sz="0" w:space="0" w:color="auto"/>
        <w:bottom w:val="none" w:sz="0" w:space="0" w:color="auto"/>
        <w:right w:val="none" w:sz="0" w:space="0" w:color="auto"/>
      </w:divBdr>
    </w:div>
    <w:div w:id="1447383590">
      <w:bodyDiv w:val="1"/>
      <w:marLeft w:val="0"/>
      <w:marRight w:val="0"/>
      <w:marTop w:val="0"/>
      <w:marBottom w:val="0"/>
      <w:divBdr>
        <w:top w:val="none" w:sz="0" w:space="0" w:color="auto"/>
        <w:left w:val="none" w:sz="0" w:space="0" w:color="auto"/>
        <w:bottom w:val="none" w:sz="0" w:space="0" w:color="auto"/>
        <w:right w:val="none" w:sz="0" w:space="0" w:color="auto"/>
      </w:divBdr>
    </w:div>
    <w:div w:id="1449541045">
      <w:bodyDiv w:val="1"/>
      <w:marLeft w:val="0"/>
      <w:marRight w:val="0"/>
      <w:marTop w:val="0"/>
      <w:marBottom w:val="0"/>
      <w:divBdr>
        <w:top w:val="none" w:sz="0" w:space="0" w:color="auto"/>
        <w:left w:val="none" w:sz="0" w:space="0" w:color="auto"/>
        <w:bottom w:val="none" w:sz="0" w:space="0" w:color="auto"/>
        <w:right w:val="none" w:sz="0" w:space="0" w:color="auto"/>
      </w:divBdr>
    </w:div>
    <w:div w:id="1452432858">
      <w:bodyDiv w:val="1"/>
      <w:marLeft w:val="0"/>
      <w:marRight w:val="0"/>
      <w:marTop w:val="0"/>
      <w:marBottom w:val="0"/>
      <w:divBdr>
        <w:top w:val="none" w:sz="0" w:space="0" w:color="auto"/>
        <w:left w:val="none" w:sz="0" w:space="0" w:color="auto"/>
        <w:bottom w:val="none" w:sz="0" w:space="0" w:color="auto"/>
        <w:right w:val="none" w:sz="0" w:space="0" w:color="auto"/>
      </w:divBdr>
    </w:div>
    <w:div w:id="1465344732">
      <w:bodyDiv w:val="1"/>
      <w:marLeft w:val="0"/>
      <w:marRight w:val="0"/>
      <w:marTop w:val="0"/>
      <w:marBottom w:val="0"/>
      <w:divBdr>
        <w:top w:val="none" w:sz="0" w:space="0" w:color="auto"/>
        <w:left w:val="none" w:sz="0" w:space="0" w:color="auto"/>
        <w:bottom w:val="none" w:sz="0" w:space="0" w:color="auto"/>
        <w:right w:val="none" w:sz="0" w:space="0" w:color="auto"/>
      </w:divBdr>
    </w:div>
    <w:div w:id="1471555748">
      <w:bodyDiv w:val="1"/>
      <w:marLeft w:val="0"/>
      <w:marRight w:val="0"/>
      <w:marTop w:val="0"/>
      <w:marBottom w:val="0"/>
      <w:divBdr>
        <w:top w:val="none" w:sz="0" w:space="0" w:color="auto"/>
        <w:left w:val="none" w:sz="0" w:space="0" w:color="auto"/>
        <w:bottom w:val="none" w:sz="0" w:space="0" w:color="auto"/>
        <w:right w:val="none" w:sz="0" w:space="0" w:color="auto"/>
      </w:divBdr>
    </w:div>
    <w:div w:id="1480460460">
      <w:bodyDiv w:val="1"/>
      <w:marLeft w:val="0"/>
      <w:marRight w:val="0"/>
      <w:marTop w:val="0"/>
      <w:marBottom w:val="0"/>
      <w:divBdr>
        <w:top w:val="none" w:sz="0" w:space="0" w:color="auto"/>
        <w:left w:val="none" w:sz="0" w:space="0" w:color="auto"/>
        <w:bottom w:val="none" w:sz="0" w:space="0" w:color="auto"/>
        <w:right w:val="none" w:sz="0" w:space="0" w:color="auto"/>
      </w:divBdr>
    </w:div>
    <w:div w:id="1501316636">
      <w:bodyDiv w:val="1"/>
      <w:marLeft w:val="0"/>
      <w:marRight w:val="0"/>
      <w:marTop w:val="0"/>
      <w:marBottom w:val="0"/>
      <w:divBdr>
        <w:top w:val="none" w:sz="0" w:space="0" w:color="auto"/>
        <w:left w:val="none" w:sz="0" w:space="0" w:color="auto"/>
        <w:bottom w:val="none" w:sz="0" w:space="0" w:color="auto"/>
        <w:right w:val="none" w:sz="0" w:space="0" w:color="auto"/>
      </w:divBdr>
    </w:div>
    <w:div w:id="1505978050">
      <w:bodyDiv w:val="1"/>
      <w:marLeft w:val="0"/>
      <w:marRight w:val="0"/>
      <w:marTop w:val="0"/>
      <w:marBottom w:val="0"/>
      <w:divBdr>
        <w:top w:val="none" w:sz="0" w:space="0" w:color="auto"/>
        <w:left w:val="none" w:sz="0" w:space="0" w:color="auto"/>
        <w:bottom w:val="none" w:sz="0" w:space="0" w:color="auto"/>
        <w:right w:val="none" w:sz="0" w:space="0" w:color="auto"/>
      </w:divBdr>
    </w:div>
    <w:div w:id="1522817244">
      <w:bodyDiv w:val="1"/>
      <w:marLeft w:val="0"/>
      <w:marRight w:val="0"/>
      <w:marTop w:val="0"/>
      <w:marBottom w:val="0"/>
      <w:divBdr>
        <w:top w:val="none" w:sz="0" w:space="0" w:color="auto"/>
        <w:left w:val="none" w:sz="0" w:space="0" w:color="auto"/>
        <w:bottom w:val="none" w:sz="0" w:space="0" w:color="auto"/>
        <w:right w:val="none" w:sz="0" w:space="0" w:color="auto"/>
      </w:divBdr>
    </w:div>
    <w:div w:id="1561361323">
      <w:bodyDiv w:val="1"/>
      <w:marLeft w:val="0"/>
      <w:marRight w:val="0"/>
      <w:marTop w:val="0"/>
      <w:marBottom w:val="0"/>
      <w:divBdr>
        <w:top w:val="none" w:sz="0" w:space="0" w:color="auto"/>
        <w:left w:val="none" w:sz="0" w:space="0" w:color="auto"/>
        <w:bottom w:val="none" w:sz="0" w:space="0" w:color="auto"/>
        <w:right w:val="none" w:sz="0" w:space="0" w:color="auto"/>
      </w:divBdr>
    </w:div>
    <w:div w:id="1563830880">
      <w:bodyDiv w:val="1"/>
      <w:marLeft w:val="0"/>
      <w:marRight w:val="0"/>
      <w:marTop w:val="0"/>
      <w:marBottom w:val="0"/>
      <w:divBdr>
        <w:top w:val="none" w:sz="0" w:space="0" w:color="auto"/>
        <w:left w:val="none" w:sz="0" w:space="0" w:color="auto"/>
        <w:bottom w:val="none" w:sz="0" w:space="0" w:color="auto"/>
        <w:right w:val="none" w:sz="0" w:space="0" w:color="auto"/>
      </w:divBdr>
    </w:div>
    <w:div w:id="1565946845">
      <w:bodyDiv w:val="1"/>
      <w:marLeft w:val="0"/>
      <w:marRight w:val="0"/>
      <w:marTop w:val="0"/>
      <w:marBottom w:val="0"/>
      <w:divBdr>
        <w:top w:val="none" w:sz="0" w:space="0" w:color="auto"/>
        <w:left w:val="none" w:sz="0" w:space="0" w:color="auto"/>
        <w:bottom w:val="none" w:sz="0" w:space="0" w:color="auto"/>
        <w:right w:val="none" w:sz="0" w:space="0" w:color="auto"/>
      </w:divBdr>
    </w:div>
    <w:div w:id="1597784671">
      <w:bodyDiv w:val="1"/>
      <w:marLeft w:val="0"/>
      <w:marRight w:val="0"/>
      <w:marTop w:val="0"/>
      <w:marBottom w:val="0"/>
      <w:divBdr>
        <w:top w:val="none" w:sz="0" w:space="0" w:color="auto"/>
        <w:left w:val="none" w:sz="0" w:space="0" w:color="auto"/>
        <w:bottom w:val="none" w:sz="0" w:space="0" w:color="auto"/>
        <w:right w:val="none" w:sz="0" w:space="0" w:color="auto"/>
      </w:divBdr>
    </w:div>
    <w:div w:id="1624074182">
      <w:bodyDiv w:val="1"/>
      <w:marLeft w:val="0"/>
      <w:marRight w:val="0"/>
      <w:marTop w:val="0"/>
      <w:marBottom w:val="0"/>
      <w:divBdr>
        <w:top w:val="none" w:sz="0" w:space="0" w:color="auto"/>
        <w:left w:val="none" w:sz="0" w:space="0" w:color="auto"/>
        <w:bottom w:val="none" w:sz="0" w:space="0" w:color="auto"/>
        <w:right w:val="none" w:sz="0" w:space="0" w:color="auto"/>
      </w:divBdr>
    </w:div>
    <w:div w:id="1683629808">
      <w:bodyDiv w:val="1"/>
      <w:marLeft w:val="0"/>
      <w:marRight w:val="0"/>
      <w:marTop w:val="0"/>
      <w:marBottom w:val="0"/>
      <w:divBdr>
        <w:top w:val="none" w:sz="0" w:space="0" w:color="auto"/>
        <w:left w:val="none" w:sz="0" w:space="0" w:color="auto"/>
        <w:bottom w:val="none" w:sz="0" w:space="0" w:color="auto"/>
        <w:right w:val="none" w:sz="0" w:space="0" w:color="auto"/>
      </w:divBdr>
    </w:div>
    <w:div w:id="1698702312">
      <w:bodyDiv w:val="1"/>
      <w:marLeft w:val="0"/>
      <w:marRight w:val="0"/>
      <w:marTop w:val="0"/>
      <w:marBottom w:val="0"/>
      <w:divBdr>
        <w:top w:val="none" w:sz="0" w:space="0" w:color="auto"/>
        <w:left w:val="none" w:sz="0" w:space="0" w:color="auto"/>
        <w:bottom w:val="none" w:sz="0" w:space="0" w:color="auto"/>
        <w:right w:val="none" w:sz="0" w:space="0" w:color="auto"/>
      </w:divBdr>
    </w:div>
    <w:div w:id="1710883128">
      <w:bodyDiv w:val="1"/>
      <w:marLeft w:val="0"/>
      <w:marRight w:val="0"/>
      <w:marTop w:val="0"/>
      <w:marBottom w:val="0"/>
      <w:divBdr>
        <w:top w:val="none" w:sz="0" w:space="0" w:color="auto"/>
        <w:left w:val="none" w:sz="0" w:space="0" w:color="auto"/>
        <w:bottom w:val="none" w:sz="0" w:space="0" w:color="auto"/>
        <w:right w:val="none" w:sz="0" w:space="0" w:color="auto"/>
      </w:divBdr>
    </w:div>
    <w:div w:id="1720474549">
      <w:bodyDiv w:val="1"/>
      <w:marLeft w:val="0"/>
      <w:marRight w:val="0"/>
      <w:marTop w:val="0"/>
      <w:marBottom w:val="0"/>
      <w:divBdr>
        <w:top w:val="none" w:sz="0" w:space="0" w:color="auto"/>
        <w:left w:val="none" w:sz="0" w:space="0" w:color="auto"/>
        <w:bottom w:val="none" w:sz="0" w:space="0" w:color="auto"/>
        <w:right w:val="none" w:sz="0" w:space="0" w:color="auto"/>
      </w:divBdr>
    </w:div>
    <w:div w:id="1738746633">
      <w:bodyDiv w:val="1"/>
      <w:marLeft w:val="0"/>
      <w:marRight w:val="0"/>
      <w:marTop w:val="0"/>
      <w:marBottom w:val="0"/>
      <w:divBdr>
        <w:top w:val="none" w:sz="0" w:space="0" w:color="auto"/>
        <w:left w:val="none" w:sz="0" w:space="0" w:color="auto"/>
        <w:bottom w:val="none" w:sz="0" w:space="0" w:color="auto"/>
        <w:right w:val="none" w:sz="0" w:space="0" w:color="auto"/>
      </w:divBdr>
    </w:div>
    <w:div w:id="1752854049">
      <w:bodyDiv w:val="1"/>
      <w:marLeft w:val="0"/>
      <w:marRight w:val="0"/>
      <w:marTop w:val="0"/>
      <w:marBottom w:val="0"/>
      <w:divBdr>
        <w:top w:val="none" w:sz="0" w:space="0" w:color="auto"/>
        <w:left w:val="none" w:sz="0" w:space="0" w:color="auto"/>
        <w:bottom w:val="none" w:sz="0" w:space="0" w:color="auto"/>
        <w:right w:val="none" w:sz="0" w:space="0" w:color="auto"/>
      </w:divBdr>
    </w:div>
    <w:div w:id="1758940905">
      <w:bodyDiv w:val="1"/>
      <w:marLeft w:val="0"/>
      <w:marRight w:val="0"/>
      <w:marTop w:val="0"/>
      <w:marBottom w:val="0"/>
      <w:divBdr>
        <w:top w:val="none" w:sz="0" w:space="0" w:color="auto"/>
        <w:left w:val="none" w:sz="0" w:space="0" w:color="auto"/>
        <w:bottom w:val="none" w:sz="0" w:space="0" w:color="auto"/>
        <w:right w:val="none" w:sz="0" w:space="0" w:color="auto"/>
      </w:divBdr>
    </w:div>
    <w:div w:id="1762338374">
      <w:bodyDiv w:val="1"/>
      <w:marLeft w:val="0"/>
      <w:marRight w:val="0"/>
      <w:marTop w:val="0"/>
      <w:marBottom w:val="0"/>
      <w:divBdr>
        <w:top w:val="none" w:sz="0" w:space="0" w:color="auto"/>
        <w:left w:val="none" w:sz="0" w:space="0" w:color="auto"/>
        <w:bottom w:val="none" w:sz="0" w:space="0" w:color="auto"/>
        <w:right w:val="none" w:sz="0" w:space="0" w:color="auto"/>
      </w:divBdr>
    </w:div>
    <w:div w:id="1772361060">
      <w:bodyDiv w:val="1"/>
      <w:marLeft w:val="0"/>
      <w:marRight w:val="0"/>
      <w:marTop w:val="0"/>
      <w:marBottom w:val="0"/>
      <w:divBdr>
        <w:top w:val="none" w:sz="0" w:space="0" w:color="auto"/>
        <w:left w:val="none" w:sz="0" w:space="0" w:color="auto"/>
        <w:bottom w:val="none" w:sz="0" w:space="0" w:color="auto"/>
        <w:right w:val="none" w:sz="0" w:space="0" w:color="auto"/>
      </w:divBdr>
    </w:div>
    <w:div w:id="1795833014">
      <w:bodyDiv w:val="1"/>
      <w:marLeft w:val="0"/>
      <w:marRight w:val="0"/>
      <w:marTop w:val="0"/>
      <w:marBottom w:val="0"/>
      <w:divBdr>
        <w:top w:val="none" w:sz="0" w:space="0" w:color="auto"/>
        <w:left w:val="none" w:sz="0" w:space="0" w:color="auto"/>
        <w:bottom w:val="none" w:sz="0" w:space="0" w:color="auto"/>
        <w:right w:val="none" w:sz="0" w:space="0" w:color="auto"/>
      </w:divBdr>
    </w:div>
    <w:div w:id="1815099362">
      <w:bodyDiv w:val="1"/>
      <w:marLeft w:val="0"/>
      <w:marRight w:val="0"/>
      <w:marTop w:val="0"/>
      <w:marBottom w:val="0"/>
      <w:divBdr>
        <w:top w:val="none" w:sz="0" w:space="0" w:color="auto"/>
        <w:left w:val="none" w:sz="0" w:space="0" w:color="auto"/>
        <w:bottom w:val="none" w:sz="0" w:space="0" w:color="auto"/>
        <w:right w:val="none" w:sz="0" w:space="0" w:color="auto"/>
      </w:divBdr>
    </w:div>
    <w:div w:id="1822383907">
      <w:bodyDiv w:val="1"/>
      <w:marLeft w:val="0"/>
      <w:marRight w:val="0"/>
      <w:marTop w:val="0"/>
      <w:marBottom w:val="0"/>
      <w:divBdr>
        <w:top w:val="none" w:sz="0" w:space="0" w:color="auto"/>
        <w:left w:val="none" w:sz="0" w:space="0" w:color="auto"/>
        <w:bottom w:val="none" w:sz="0" w:space="0" w:color="auto"/>
        <w:right w:val="none" w:sz="0" w:space="0" w:color="auto"/>
      </w:divBdr>
    </w:div>
    <w:div w:id="1835757810">
      <w:bodyDiv w:val="1"/>
      <w:marLeft w:val="0"/>
      <w:marRight w:val="0"/>
      <w:marTop w:val="0"/>
      <w:marBottom w:val="0"/>
      <w:divBdr>
        <w:top w:val="none" w:sz="0" w:space="0" w:color="auto"/>
        <w:left w:val="none" w:sz="0" w:space="0" w:color="auto"/>
        <w:bottom w:val="none" w:sz="0" w:space="0" w:color="auto"/>
        <w:right w:val="none" w:sz="0" w:space="0" w:color="auto"/>
      </w:divBdr>
    </w:div>
    <w:div w:id="1839955025">
      <w:bodyDiv w:val="1"/>
      <w:marLeft w:val="0"/>
      <w:marRight w:val="0"/>
      <w:marTop w:val="0"/>
      <w:marBottom w:val="0"/>
      <w:divBdr>
        <w:top w:val="none" w:sz="0" w:space="0" w:color="auto"/>
        <w:left w:val="none" w:sz="0" w:space="0" w:color="auto"/>
        <w:bottom w:val="none" w:sz="0" w:space="0" w:color="auto"/>
        <w:right w:val="none" w:sz="0" w:space="0" w:color="auto"/>
      </w:divBdr>
    </w:div>
    <w:div w:id="1919360124">
      <w:bodyDiv w:val="1"/>
      <w:marLeft w:val="0"/>
      <w:marRight w:val="0"/>
      <w:marTop w:val="0"/>
      <w:marBottom w:val="0"/>
      <w:divBdr>
        <w:top w:val="none" w:sz="0" w:space="0" w:color="auto"/>
        <w:left w:val="none" w:sz="0" w:space="0" w:color="auto"/>
        <w:bottom w:val="none" w:sz="0" w:space="0" w:color="auto"/>
        <w:right w:val="none" w:sz="0" w:space="0" w:color="auto"/>
      </w:divBdr>
    </w:div>
    <w:div w:id="1919896413">
      <w:bodyDiv w:val="1"/>
      <w:marLeft w:val="0"/>
      <w:marRight w:val="0"/>
      <w:marTop w:val="0"/>
      <w:marBottom w:val="0"/>
      <w:divBdr>
        <w:top w:val="none" w:sz="0" w:space="0" w:color="auto"/>
        <w:left w:val="none" w:sz="0" w:space="0" w:color="auto"/>
        <w:bottom w:val="none" w:sz="0" w:space="0" w:color="auto"/>
        <w:right w:val="none" w:sz="0" w:space="0" w:color="auto"/>
      </w:divBdr>
    </w:div>
    <w:div w:id="1921212115">
      <w:bodyDiv w:val="1"/>
      <w:marLeft w:val="0"/>
      <w:marRight w:val="0"/>
      <w:marTop w:val="0"/>
      <w:marBottom w:val="0"/>
      <w:divBdr>
        <w:top w:val="none" w:sz="0" w:space="0" w:color="auto"/>
        <w:left w:val="none" w:sz="0" w:space="0" w:color="auto"/>
        <w:bottom w:val="none" w:sz="0" w:space="0" w:color="auto"/>
        <w:right w:val="none" w:sz="0" w:space="0" w:color="auto"/>
      </w:divBdr>
    </w:div>
    <w:div w:id="1926574440">
      <w:bodyDiv w:val="1"/>
      <w:marLeft w:val="0"/>
      <w:marRight w:val="0"/>
      <w:marTop w:val="0"/>
      <w:marBottom w:val="0"/>
      <w:divBdr>
        <w:top w:val="none" w:sz="0" w:space="0" w:color="auto"/>
        <w:left w:val="none" w:sz="0" w:space="0" w:color="auto"/>
        <w:bottom w:val="none" w:sz="0" w:space="0" w:color="auto"/>
        <w:right w:val="none" w:sz="0" w:space="0" w:color="auto"/>
      </w:divBdr>
    </w:div>
    <w:div w:id="1927807172">
      <w:bodyDiv w:val="1"/>
      <w:marLeft w:val="0"/>
      <w:marRight w:val="0"/>
      <w:marTop w:val="0"/>
      <w:marBottom w:val="0"/>
      <w:divBdr>
        <w:top w:val="none" w:sz="0" w:space="0" w:color="auto"/>
        <w:left w:val="none" w:sz="0" w:space="0" w:color="auto"/>
        <w:bottom w:val="none" w:sz="0" w:space="0" w:color="auto"/>
        <w:right w:val="none" w:sz="0" w:space="0" w:color="auto"/>
      </w:divBdr>
    </w:div>
    <w:div w:id="1934123982">
      <w:bodyDiv w:val="1"/>
      <w:marLeft w:val="0"/>
      <w:marRight w:val="0"/>
      <w:marTop w:val="0"/>
      <w:marBottom w:val="0"/>
      <w:divBdr>
        <w:top w:val="none" w:sz="0" w:space="0" w:color="auto"/>
        <w:left w:val="none" w:sz="0" w:space="0" w:color="auto"/>
        <w:bottom w:val="none" w:sz="0" w:space="0" w:color="auto"/>
        <w:right w:val="none" w:sz="0" w:space="0" w:color="auto"/>
      </w:divBdr>
    </w:div>
    <w:div w:id="1948656945">
      <w:bodyDiv w:val="1"/>
      <w:marLeft w:val="0"/>
      <w:marRight w:val="0"/>
      <w:marTop w:val="0"/>
      <w:marBottom w:val="0"/>
      <w:divBdr>
        <w:top w:val="none" w:sz="0" w:space="0" w:color="auto"/>
        <w:left w:val="none" w:sz="0" w:space="0" w:color="auto"/>
        <w:bottom w:val="none" w:sz="0" w:space="0" w:color="auto"/>
        <w:right w:val="none" w:sz="0" w:space="0" w:color="auto"/>
      </w:divBdr>
    </w:div>
    <w:div w:id="1955019339">
      <w:bodyDiv w:val="1"/>
      <w:marLeft w:val="0"/>
      <w:marRight w:val="0"/>
      <w:marTop w:val="0"/>
      <w:marBottom w:val="0"/>
      <w:divBdr>
        <w:top w:val="none" w:sz="0" w:space="0" w:color="auto"/>
        <w:left w:val="none" w:sz="0" w:space="0" w:color="auto"/>
        <w:bottom w:val="none" w:sz="0" w:space="0" w:color="auto"/>
        <w:right w:val="none" w:sz="0" w:space="0" w:color="auto"/>
      </w:divBdr>
    </w:div>
    <w:div w:id="1960643735">
      <w:bodyDiv w:val="1"/>
      <w:marLeft w:val="0"/>
      <w:marRight w:val="0"/>
      <w:marTop w:val="0"/>
      <w:marBottom w:val="0"/>
      <w:divBdr>
        <w:top w:val="none" w:sz="0" w:space="0" w:color="auto"/>
        <w:left w:val="none" w:sz="0" w:space="0" w:color="auto"/>
        <w:bottom w:val="none" w:sz="0" w:space="0" w:color="auto"/>
        <w:right w:val="none" w:sz="0" w:space="0" w:color="auto"/>
      </w:divBdr>
    </w:div>
    <w:div w:id="1965040974">
      <w:bodyDiv w:val="1"/>
      <w:marLeft w:val="0"/>
      <w:marRight w:val="0"/>
      <w:marTop w:val="0"/>
      <w:marBottom w:val="0"/>
      <w:divBdr>
        <w:top w:val="none" w:sz="0" w:space="0" w:color="auto"/>
        <w:left w:val="none" w:sz="0" w:space="0" w:color="auto"/>
        <w:bottom w:val="none" w:sz="0" w:space="0" w:color="auto"/>
        <w:right w:val="none" w:sz="0" w:space="0" w:color="auto"/>
      </w:divBdr>
    </w:div>
    <w:div w:id="1984844379">
      <w:bodyDiv w:val="1"/>
      <w:marLeft w:val="0"/>
      <w:marRight w:val="0"/>
      <w:marTop w:val="0"/>
      <w:marBottom w:val="0"/>
      <w:divBdr>
        <w:top w:val="none" w:sz="0" w:space="0" w:color="auto"/>
        <w:left w:val="none" w:sz="0" w:space="0" w:color="auto"/>
        <w:bottom w:val="none" w:sz="0" w:space="0" w:color="auto"/>
        <w:right w:val="none" w:sz="0" w:space="0" w:color="auto"/>
      </w:divBdr>
    </w:div>
    <w:div w:id="1992370756">
      <w:bodyDiv w:val="1"/>
      <w:marLeft w:val="0"/>
      <w:marRight w:val="0"/>
      <w:marTop w:val="0"/>
      <w:marBottom w:val="0"/>
      <w:divBdr>
        <w:top w:val="none" w:sz="0" w:space="0" w:color="auto"/>
        <w:left w:val="none" w:sz="0" w:space="0" w:color="auto"/>
        <w:bottom w:val="none" w:sz="0" w:space="0" w:color="auto"/>
        <w:right w:val="none" w:sz="0" w:space="0" w:color="auto"/>
      </w:divBdr>
    </w:div>
    <w:div w:id="2000378296">
      <w:bodyDiv w:val="1"/>
      <w:marLeft w:val="0"/>
      <w:marRight w:val="0"/>
      <w:marTop w:val="0"/>
      <w:marBottom w:val="0"/>
      <w:divBdr>
        <w:top w:val="none" w:sz="0" w:space="0" w:color="auto"/>
        <w:left w:val="none" w:sz="0" w:space="0" w:color="auto"/>
        <w:bottom w:val="none" w:sz="0" w:space="0" w:color="auto"/>
        <w:right w:val="none" w:sz="0" w:space="0" w:color="auto"/>
      </w:divBdr>
    </w:div>
    <w:div w:id="2061976231">
      <w:bodyDiv w:val="1"/>
      <w:marLeft w:val="0"/>
      <w:marRight w:val="0"/>
      <w:marTop w:val="0"/>
      <w:marBottom w:val="0"/>
      <w:divBdr>
        <w:top w:val="none" w:sz="0" w:space="0" w:color="auto"/>
        <w:left w:val="none" w:sz="0" w:space="0" w:color="auto"/>
        <w:bottom w:val="none" w:sz="0" w:space="0" w:color="auto"/>
        <w:right w:val="none" w:sz="0" w:space="0" w:color="auto"/>
      </w:divBdr>
    </w:div>
    <w:div w:id="2086342821">
      <w:bodyDiv w:val="1"/>
      <w:marLeft w:val="0"/>
      <w:marRight w:val="0"/>
      <w:marTop w:val="0"/>
      <w:marBottom w:val="0"/>
      <w:divBdr>
        <w:top w:val="none" w:sz="0" w:space="0" w:color="auto"/>
        <w:left w:val="none" w:sz="0" w:space="0" w:color="auto"/>
        <w:bottom w:val="none" w:sz="0" w:space="0" w:color="auto"/>
        <w:right w:val="none" w:sz="0" w:space="0" w:color="auto"/>
      </w:divBdr>
    </w:div>
    <w:div w:id="2100443138">
      <w:bodyDiv w:val="1"/>
      <w:marLeft w:val="0"/>
      <w:marRight w:val="0"/>
      <w:marTop w:val="0"/>
      <w:marBottom w:val="0"/>
      <w:divBdr>
        <w:top w:val="none" w:sz="0" w:space="0" w:color="auto"/>
        <w:left w:val="none" w:sz="0" w:space="0" w:color="auto"/>
        <w:bottom w:val="none" w:sz="0" w:space="0" w:color="auto"/>
        <w:right w:val="none" w:sz="0" w:space="0" w:color="auto"/>
      </w:divBdr>
    </w:div>
    <w:div w:id="2115585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2.xml"/><Relationship Id="rId27" Type="http://schemas.openxmlformats.org/officeDocument/2006/relationships/image" Target="media/image11.emf"/></Relationships>
</file>

<file path=word/_rels/footnotes.xml.rels><?xml version="1.0" encoding="UTF-8" standalone="yes"?>
<Relationships xmlns="http://schemas.openxmlformats.org/package/2006/relationships"><Relationship Id="rId8" Type="http://schemas.openxmlformats.org/officeDocument/2006/relationships/hyperlink" Target="https://www.ogauthority.co.uk/data-centre/interactive-maps-and-tools/" TargetMode="External"/><Relationship Id="rId13" Type="http://schemas.openxmlformats.org/officeDocument/2006/relationships/hyperlink" Target="https://www.gov.uk/government/statistics/total-energy-section-1-energy-trends" TargetMode="External"/><Relationship Id="rId3" Type="http://schemas.openxmlformats.org/officeDocument/2006/relationships/hyperlink" Target="https://www.ons.gov.uk/economy/nationalaccounts/uksectoraccounts/datasets/unitedkingdomeconomicaccountsmainaggregates" TargetMode="External"/><Relationship Id="rId7" Type="http://schemas.openxmlformats.org/officeDocument/2006/relationships/hyperlink" Target="https://www.ons.gov.uk/employmentandlabourmarket/peopleinwork/employmentandemployeetypes/bulletins/regionallabourmarket/september2019" TargetMode="External"/><Relationship Id="rId12" Type="http://schemas.openxmlformats.org/officeDocument/2006/relationships/hyperlink" Target="https://www.ons.gov.uk/economy/grossvalueaddedgva/datasets/regionalgrossvalueaddedincomeapproach" TargetMode="External"/><Relationship Id="rId2" Type="http://schemas.openxmlformats.org/officeDocument/2006/relationships/hyperlink" Target="https://www.ons.gov.uk/economy/grossdomesticproductgdp/datasets/ukgdpolowlevelaggregates" TargetMode="External"/><Relationship Id="rId1" Type="http://schemas.openxmlformats.org/officeDocument/2006/relationships/hyperlink" Target="https://www.ons.gov.uk/economy/grossdomesticproductgdp/datasets/ukgdpolowlevelaggregates" TargetMode="External"/><Relationship Id="rId6" Type="http://schemas.openxmlformats.org/officeDocument/2006/relationships/hyperlink" Target="https://obr.uk/" TargetMode="External"/><Relationship Id="rId11" Type="http://schemas.openxmlformats.org/officeDocument/2006/relationships/hyperlink" Target="https://www.gov.uk/government/collections/energy-and-emissions-projections" TargetMode="External"/><Relationship Id="rId5" Type="http://schemas.openxmlformats.org/officeDocument/2006/relationships/hyperlink" Target="https://www.gov.uk/government/statistics/business-population-estimates-2018" TargetMode="External"/><Relationship Id="rId10" Type="http://schemas.openxmlformats.org/officeDocument/2006/relationships/hyperlink" Target="http://mapapps2.bgs.ac.uk/coalauthority/home.html" TargetMode="External"/><Relationship Id="rId4" Type="http://schemas.openxmlformats.org/officeDocument/2006/relationships/hyperlink" Target="https://www.ons.gov.uk/businessindustryandtrade/business/businessservices/bulletins/uknonfinancialbusinesseconomy/2017provisionalresults" TargetMode="External"/><Relationship Id="rId9" Type="http://schemas.openxmlformats.org/officeDocument/2006/relationships/hyperlink" Target="https://www.economy-ni.gov.uk/publications/petroleum-licence-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90C4493E99B54591FF033CB29A0A1F" ma:contentTypeVersion="11" ma:contentTypeDescription="Create a new document." ma:contentTypeScope="" ma:versionID="2d83d0fdec27d48439312ae5a3f2c6c4">
  <xsd:schema xmlns:xsd="http://www.w3.org/2001/XMLSchema" xmlns:xs="http://www.w3.org/2001/XMLSchema" xmlns:p="http://schemas.microsoft.com/office/2006/metadata/properties" xmlns:ns3="752436a3-9700-4879-921b-ca80fb4e33f1" xmlns:ns4="62e161b0-29ed-4b5f-9407-ee5ab8bd369f" targetNamespace="http://schemas.microsoft.com/office/2006/metadata/properties" ma:root="true" ma:fieldsID="384aab58246821d0499d3509de0948f0" ns3:_="" ns4:_="">
    <xsd:import namespace="752436a3-9700-4879-921b-ca80fb4e33f1"/>
    <xsd:import namespace="62e161b0-29ed-4b5f-9407-ee5ab8bd36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436a3-9700-4879-921b-ca80fb4e33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161b0-29ed-4b5f-9407-ee5ab8bd369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2e161b0-29ed-4b5f-9407-ee5ab8bd369f">
      <UserInfo>
        <DisplayName>Wallace, Nicola (BEIS)</DisplayName>
        <AccountId>9064</AccountId>
        <AccountType/>
      </UserInfo>
      <UserInfo>
        <DisplayName>Ray, Matthew (Business Frameworks)</DisplayName>
        <AccountId>5836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21FD4-2016-4E42-8C01-1FA7C5B13012}">
  <ds:schemaRefs>
    <ds:schemaRef ds:uri="http://schemas.microsoft.com/sharepoint/v3/contenttype/forms"/>
  </ds:schemaRefs>
</ds:datastoreItem>
</file>

<file path=customXml/itemProps2.xml><?xml version="1.0" encoding="utf-8"?>
<ds:datastoreItem xmlns:ds="http://schemas.openxmlformats.org/officeDocument/2006/customXml" ds:itemID="{2D7800E6-AE99-4344-8EB9-995B2EF7F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436a3-9700-4879-921b-ca80fb4e33f1"/>
    <ds:schemaRef ds:uri="62e161b0-29ed-4b5f-9407-ee5ab8bd3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8A8AEC-C286-4DAA-B961-A3EB530246ED}">
  <ds:schemaRefs>
    <ds:schemaRef ds:uri="http://schemas.microsoft.com/office/2006/metadata/properties"/>
    <ds:schemaRef ds:uri="http://schemas.microsoft.com/office/infopath/2007/PartnerControls"/>
    <ds:schemaRef ds:uri="62e161b0-29ed-4b5f-9407-ee5ab8bd369f"/>
  </ds:schemaRefs>
</ds:datastoreItem>
</file>

<file path=customXml/itemProps4.xml><?xml version="1.0" encoding="utf-8"?>
<ds:datastoreItem xmlns:ds="http://schemas.openxmlformats.org/officeDocument/2006/customXml" ds:itemID="{96BD2223-59AB-4ACD-A45D-F812932C3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1541</Words>
  <Characters>8788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UK Extractives Industries Transparency Initiative (EITI) Report for 2016</vt:lpstr>
    </vt:vector>
  </TitlesOfParts>
  <Company>BIS</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Extractives Industries Transparency Initiative (EITI) Report for 2016</dc:title>
  <dc:subject/>
  <dc:creator>UK EITI MSG</dc:creator>
  <cp:keywords/>
  <cp:lastModifiedBy>Nash, Michael (Business Frameworks)</cp:lastModifiedBy>
  <cp:revision>2</cp:revision>
  <cp:lastPrinted>2020-03-13T12:05:00Z</cp:lastPrinted>
  <dcterms:created xsi:type="dcterms:W3CDTF">2020-03-19T15:02:00Z</dcterms:created>
  <dcterms:modified xsi:type="dcterms:W3CDTF">2020-03-19T15:02:00Z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2019-09-18T11:24:40Z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571ee627-ba15-413a-9236-0000b5673469</vt:lpwstr>
  </property>
  <property fmtid="{D5CDD505-2E9C-101B-9397-08002B2CF9AE}" pid="8" name="MSIP_Label_ba62f585-b40f-4ab9-bafe-39150f03d124_ContentBits">
    <vt:lpwstr>0</vt:lpwstr>
  </property>
  <property fmtid="{D5CDD505-2E9C-101B-9397-08002B2CF9AE}" pid="9" name="ContentTypeId">
    <vt:lpwstr>0x0101002F90C4493E99B54591FF033CB29A0A1F</vt:lpwstr>
  </property>
  <property fmtid="{D5CDD505-2E9C-101B-9397-08002B2CF9AE}" pid="10" name="Business Unit">
    <vt:lpwstr>91;#Company Law, Transparency and Tax|f73a51f8-bfcd-4e68-a033-6f422088fddd</vt:lpwstr>
  </property>
  <property fmtid="{D5CDD505-2E9C-101B-9397-08002B2CF9AE}" pid="11" name="_dlc_DocIdItemGuid">
    <vt:lpwstr>db83212b-741f-483e-9580-3473a1115617</vt:lpwstr>
  </property>
</Properties>
</file>