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6AAA" w14:textId="5E612333" w:rsidR="00243255" w:rsidRPr="0081318C" w:rsidRDefault="00136E7C" w:rsidP="00E0694A">
      <w:pPr>
        <w:pStyle w:val="Heading1"/>
        <w:keepNext w:val="0"/>
        <w:keepLines w:val="0"/>
        <w:pageBreakBefore/>
        <w:numPr>
          <w:ilvl w:val="0"/>
          <w:numId w:val="42"/>
        </w:numPr>
        <w:shd w:val="clear" w:color="auto" w:fill="1F4E79"/>
        <w:tabs>
          <w:tab w:val="clear" w:pos="567"/>
        </w:tabs>
        <w:spacing w:line="276" w:lineRule="auto"/>
        <w:ind w:left="567" w:hanging="567"/>
        <w:rPr>
          <w:rFonts w:cs="Arial"/>
          <w:szCs w:val="24"/>
        </w:rPr>
      </w:pPr>
      <w:bookmarkStart w:id="0" w:name="_Toc513063206"/>
      <w:bookmarkStart w:id="1" w:name="_GoBack"/>
      <w:bookmarkEnd w:id="1"/>
      <w:r>
        <w:rPr>
          <w:rFonts w:cs="Arial"/>
          <w:szCs w:val="24"/>
          <w:lang w:val="en-GB"/>
        </w:rPr>
        <w:t>UPSTREAM</w:t>
      </w:r>
      <w:r w:rsidR="003E2297">
        <w:rPr>
          <w:rFonts w:cs="Arial"/>
          <w:szCs w:val="24"/>
          <w:lang w:val="en-GB"/>
        </w:rPr>
        <w:t xml:space="preserve"> </w:t>
      </w:r>
      <w:r w:rsidR="00243255" w:rsidRPr="00E0694A">
        <w:rPr>
          <w:rFonts w:cs="Arial"/>
          <w:szCs w:val="24"/>
          <w:lang w:val="en-GB"/>
        </w:rPr>
        <w:t>Oil and Gas</w:t>
      </w:r>
      <w:bookmarkEnd w:id="0"/>
      <w:r>
        <w:rPr>
          <w:rFonts w:cs="Arial"/>
          <w:szCs w:val="24"/>
          <w:lang w:val="en-GB"/>
        </w:rPr>
        <w:t xml:space="preserve"> IN THE UK</w:t>
      </w:r>
    </w:p>
    <w:p w14:paraId="7CE4548B" w14:textId="77777777" w:rsidR="001134D4" w:rsidRDefault="001134D4" w:rsidP="00E0694A">
      <w:pPr>
        <w:pStyle w:val="Heading3"/>
        <w:keepNext/>
        <w:spacing w:after="0"/>
        <w:ind w:left="1225"/>
        <w:jc w:val="left"/>
        <w:rPr>
          <w:sz w:val="24"/>
          <w:szCs w:val="24"/>
        </w:rPr>
      </w:pPr>
    </w:p>
    <w:p w14:paraId="5F43DAD7" w14:textId="7534927A" w:rsidR="00243255" w:rsidRPr="003A7719" w:rsidRDefault="00752DFB" w:rsidP="00E0694A">
      <w:pPr>
        <w:pStyle w:val="Heading2"/>
        <w:keepLines w:val="0"/>
        <w:numPr>
          <w:ilvl w:val="1"/>
          <w:numId w:val="43"/>
        </w:numPr>
        <w:shd w:val="clear" w:color="auto" w:fill="BFBFBF"/>
        <w:tabs>
          <w:tab w:val="clear" w:pos="567"/>
        </w:tabs>
        <w:spacing w:after="180" w:line="276" w:lineRule="auto"/>
        <w:ind w:left="567" w:hanging="567"/>
        <w:rPr>
          <w:szCs w:val="24"/>
        </w:rPr>
      </w:pPr>
      <w:r w:rsidRPr="007119B8">
        <w:rPr>
          <w:rFonts w:cs="Arial"/>
          <w:szCs w:val="24"/>
        </w:rPr>
        <w:t>Background and recent developments</w:t>
      </w:r>
    </w:p>
    <w:p w14:paraId="492F5747" w14:textId="0F5EACB1" w:rsidR="00243255" w:rsidRDefault="00350285" w:rsidP="00243255">
      <w:pPr>
        <w:pStyle w:val="Default"/>
        <w:spacing w:after="180" w:line="276" w:lineRule="auto"/>
        <w:rPr>
          <w:rFonts w:ascii="Arial" w:hAnsi="Arial" w:cs="Arial"/>
          <w:color w:val="auto"/>
        </w:rPr>
      </w:pPr>
      <w:r w:rsidRPr="007A5FDE">
        <w:rPr>
          <w:rFonts w:ascii="Arial" w:hAnsi="Arial" w:cs="Arial"/>
          <w:color w:val="auto"/>
        </w:rPr>
        <w:t>T</w:t>
      </w:r>
      <w:r w:rsidR="00243255" w:rsidRPr="007A5FDE">
        <w:rPr>
          <w:rFonts w:ascii="Arial" w:hAnsi="Arial" w:cs="Arial"/>
          <w:color w:val="auto"/>
        </w:rPr>
        <w:t xml:space="preserve">he UK’s oil and gas </w:t>
      </w:r>
      <w:r w:rsidRPr="007A5FDE">
        <w:rPr>
          <w:rFonts w:ascii="Arial" w:hAnsi="Arial" w:cs="Arial"/>
          <w:color w:val="auto"/>
        </w:rPr>
        <w:t xml:space="preserve">sector </w:t>
      </w:r>
      <w:proofErr w:type="gramStart"/>
      <w:r w:rsidR="00243255" w:rsidRPr="007A5FDE">
        <w:rPr>
          <w:rFonts w:ascii="Arial" w:hAnsi="Arial" w:cs="Arial"/>
          <w:color w:val="auto"/>
        </w:rPr>
        <w:t>is</w:t>
      </w:r>
      <w:proofErr w:type="gramEnd"/>
      <w:r w:rsidR="00243255" w:rsidRPr="007A5FDE">
        <w:rPr>
          <w:rFonts w:ascii="Arial" w:hAnsi="Arial" w:cs="Arial"/>
          <w:color w:val="auto"/>
        </w:rPr>
        <w:t xml:space="preserve"> dominated by production from offshore areas, which account for virtually all of UK output.</w:t>
      </w:r>
      <w:r w:rsidR="00243255" w:rsidRPr="007A5FDE">
        <w:rPr>
          <w:rFonts w:ascii="Arial" w:hAnsi="Arial" w:cs="Arial"/>
          <w:color w:val="auto"/>
          <w:vertAlign w:val="superscript"/>
        </w:rPr>
        <w:footnoteReference w:id="2"/>
      </w:r>
      <w:r w:rsidR="00243255" w:rsidRPr="007A5FDE">
        <w:rPr>
          <w:rFonts w:ascii="Arial" w:hAnsi="Arial" w:cs="Arial"/>
          <w:color w:val="auto"/>
        </w:rPr>
        <w:t xml:space="preserve"> Production of natural gas began in 1967 with the West Sole field in the Southern North Sea. Offshore oil production began with the Argyll field in the Central North Sea (CNS) in 1975.</w:t>
      </w:r>
      <w:r w:rsidR="00752DFB" w:rsidRPr="007A5FDE">
        <w:rPr>
          <w:rFonts w:ascii="Arial" w:hAnsi="Arial" w:cs="Arial"/>
          <w:color w:val="auto"/>
        </w:rPr>
        <w:t xml:space="preserve"> At the start of the industry in the 1960s and 1970s production was dominated by a small number of very large fields, such as </w:t>
      </w:r>
      <w:proofErr w:type="spellStart"/>
      <w:r w:rsidR="0011625F" w:rsidRPr="007A5FDE">
        <w:rPr>
          <w:rFonts w:ascii="Arial" w:hAnsi="Arial" w:cs="Arial"/>
          <w:color w:val="auto"/>
        </w:rPr>
        <w:t>Inde</w:t>
      </w:r>
      <w:proofErr w:type="spellEnd"/>
      <w:r w:rsidR="0011625F" w:rsidRPr="007A5FDE">
        <w:rPr>
          <w:rFonts w:ascii="Arial" w:hAnsi="Arial" w:cs="Arial"/>
          <w:color w:val="auto"/>
        </w:rPr>
        <w:t xml:space="preserve">, Leman, </w:t>
      </w:r>
      <w:r w:rsidR="00752DFB" w:rsidRPr="007A5FDE">
        <w:rPr>
          <w:rFonts w:ascii="Arial" w:hAnsi="Arial" w:cs="Arial"/>
          <w:color w:val="auto"/>
        </w:rPr>
        <w:t>Forties, Brent</w:t>
      </w:r>
      <w:r w:rsidR="006C3FDE" w:rsidRPr="007A5FDE">
        <w:rPr>
          <w:rFonts w:ascii="Arial" w:hAnsi="Arial" w:cs="Arial"/>
          <w:color w:val="auto"/>
        </w:rPr>
        <w:t>,</w:t>
      </w:r>
      <w:r w:rsidR="00752DFB" w:rsidRPr="007A5FDE">
        <w:rPr>
          <w:rFonts w:ascii="Arial" w:hAnsi="Arial" w:cs="Arial"/>
          <w:color w:val="auto"/>
        </w:rPr>
        <w:t xml:space="preserve"> </w:t>
      </w:r>
      <w:proofErr w:type="spellStart"/>
      <w:r w:rsidR="00752DFB" w:rsidRPr="007A5FDE">
        <w:rPr>
          <w:rFonts w:ascii="Arial" w:hAnsi="Arial" w:cs="Arial"/>
          <w:color w:val="auto"/>
        </w:rPr>
        <w:t>Ninian</w:t>
      </w:r>
      <w:proofErr w:type="spellEnd"/>
      <w:r w:rsidR="00752DFB" w:rsidRPr="007A5FDE">
        <w:rPr>
          <w:rFonts w:ascii="Arial" w:hAnsi="Arial" w:cs="Arial"/>
          <w:color w:val="auto"/>
        </w:rPr>
        <w:t xml:space="preserve"> and Piper</w:t>
      </w:r>
      <w:r w:rsidR="00D2106A">
        <w:rPr>
          <w:rFonts w:ascii="Arial" w:hAnsi="Arial" w:cs="Arial"/>
          <w:color w:val="auto"/>
        </w:rPr>
        <w:t xml:space="preserve">. That era also saw </w:t>
      </w:r>
      <w:r w:rsidR="00752DFB" w:rsidRPr="007A5FDE">
        <w:rPr>
          <w:rFonts w:ascii="Arial" w:hAnsi="Arial" w:cs="Arial"/>
          <w:color w:val="auto"/>
        </w:rPr>
        <w:t xml:space="preserve">the development of </w:t>
      </w:r>
      <w:proofErr w:type="gramStart"/>
      <w:r w:rsidR="001234CF">
        <w:rPr>
          <w:rFonts w:ascii="Arial" w:hAnsi="Arial" w:cs="Arial"/>
          <w:color w:val="auto"/>
        </w:rPr>
        <w:t>a number of</w:t>
      </w:r>
      <w:proofErr w:type="gramEnd"/>
      <w:r w:rsidR="001234CF">
        <w:rPr>
          <w:rFonts w:ascii="Arial" w:hAnsi="Arial" w:cs="Arial"/>
          <w:color w:val="auto"/>
        </w:rPr>
        <w:t xml:space="preserve"> </w:t>
      </w:r>
      <w:r w:rsidR="00752DFB" w:rsidRPr="007A5FDE">
        <w:rPr>
          <w:rFonts w:ascii="Arial" w:hAnsi="Arial" w:cs="Arial"/>
          <w:color w:val="auto"/>
        </w:rPr>
        <w:t xml:space="preserve">key offshore pipelines. UKCS production now comes from </w:t>
      </w:r>
      <w:r w:rsidR="003148DB" w:rsidRPr="007A5FDE">
        <w:rPr>
          <w:rFonts w:ascii="Arial" w:hAnsi="Arial" w:cs="Arial"/>
          <w:color w:val="auto"/>
        </w:rPr>
        <w:t xml:space="preserve">over 300 predominantly small fields and others that are much more technically complex to produce from, both of which tend to increase unit development and production costs. By </w:t>
      </w:r>
      <w:r w:rsidR="001234CF">
        <w:rPr>
          <w:rFonts w:ascii="Arial" w:hAnsi="Arial" w:cs="Arial"/>
          <w:color w:val="auto"/>
        </w:rPr>
        <w:t xml:space="preserve">the end of </w:t>
      </w:r>
      <w:r w:rsidR="003148DB" w:rsidRPr="007A5FDE">
        <w:rPr>
          <w:rFonts w:ascii="Arial" w:hAnsi="Arial" w:cs="Arial"/>
          <w:color w:val="auto"/>
        </w:rPr>
        <w:t>201</w:t>
      </w:r>
      <w:r w:rsidR="004342DC">
        <w:rPr>
          <w:rFonts w:ascii="Arial" w:hAnsi="Arial" w:cs="Arial"/>
          <w:color w:val="auto"/>
        </w:rPr>
        <w:t>8</w:t>
      </w:r>
      <w:r w:rsidR="003148DB" w:rsidRPr="007A5FDE">
        <w:rPr>
          <w:rFonts w:ascii="Arial" w:hAnsi="Arial" w:cs="Arial"/>
          <w:color w:val="auto"/>
        </w:rPr>
        <w:t xml:space="preserve">, </w:t>
      </w:r>
      <w:r w:rsidR="00AD74E5">
        <w:rPr>
          <w:rFonts w:ascii="Arial" w:hAnsi="Arial" w:cs="Arial"/>
          <w:color w:val="auto"/>
        </w:rPr>
        <w:t xml:space="preserve">almost </w:t>
      </w:r>
      <w:r w:rsidR="003148DB" w:rsidRPr="007A5FDE">
        <w:rPr>
          <w:rFonts w:ascii="Arial" w:hAnsi="Arial" w:cs="Arial"/>
          <w:color w:val="auto"/>
        </w:rPr>
        <w:t>4</w:t>
      </w:r>
      <w:r w:rsidR="00AD74E5">
        <w:rPr>
          <w:rFonts w:ascii="Arial" w:hAnsi="Arial" w:cs="Arial"/>
          <w:color w:val="auto"/>
        </w:rPr>
        <w:t>5</w:t>
      </w:r>
      <w:r w:rsidR="003148DB" w:rsidRPr="007A5FDE">
        <w:rPr>
          <w:rFonts w:ascii="Arial" w:hAnsi="Arial" w:cs="Arial"/>
          <w:color w:val="auto"/>
        </w:rPr>
        <w:t xml:space="preserve"> billion barrels of oil equivalent </w:t>
      </w:r>
      <w:r w:rsidR="0011625F" w:rsidRPr="007A5FDE">
        <w:rPr>
          <w:rFonts w:ascii="Arial" w:hAnsi="Arial" w:cs="Arial"/>
          <w:color w:val="auto"/>
        </w:rPr>
        <w:t>(</w:t>
      </w:r>
      <w:proofErr w:type="spellStart"/>
      <w:r w:rsidR="0011625F" w:rsidRPr="007A5FDE">
        <w:rPr>
          <w:rFonts w:ascii="Arial" w:hAnsi="Arial" w:cs="Arial"/>
          <w:color w:val="auto"/>
        </w:rPr>
        <w:t>boe</w:t>
      </w:r>
      <w:proofErr w:type="spellEnd"/>
      <w:r w:rsidR="0011625F" w:rsidRPr="007A5FDE">
        <w:rPr>
          <w:rFonts w:ascii="Arial" w:hAnsi="Arial" w:cs="Arial"/>
          <w:color w:val="auto"/>
        </w:rPr>
        <w:t xml:space="preserve">) </w:t>
      </w:r>
      <w:r w:rsidR="001234CF">
        <w:rPr>
          <w:rFonts w:ascii="Arial" w:hAnsi="Arial" w:cs="Arial"/>
          <w:color w:val="auto"/>
        </w:rPr>
        <w:t xml:space="preserve">had </w:t>
      </w:r>
      <w:r w:rsidR="003148DB" w:rsidRPr="007A5FDE">
        <w:rPr>
          <w:rFonts w:ascii="Arial" w:hAnsi="Arial" w:cs="Arial"/>
          <w:color w:val="auto"/>
        </w:rPr>
        <w:t>been recovered from the UK Continental Shelf (UKCS).</w:t>
      </w:r>
      <w:r w:rsidR="006D4C5E" w:rsidRPr="007A5FDE">
        <w:rPr>
          <w:rFonts w:ascii="Arial" w:hAnsi="Arial" w:cs="Arial"/>
          <w:color w:val="auto"/>
        </w:rPr>
        <w:t xml:space="preserve"> </w:t>
      </w:r>
      <w:r w:rsidR="003148DB" w:rsidRPr="007A5FDE">
        <w:rPr>
          <w:rFonts w:ascii="Arial" w:hAnsi="Arial" w:cs="Arial"/>
          <w:color w:val="auto"/>
        </w:rPr>
        <w:t>The O</w:t>
      </w:r>
      <w:r w:rsidR="000F275A">
        <w:rPr>
          <w:rFonts w:ascii="Arial" w:hAnsi="Arial" w:cs="Arial"/>
          <w:color w:val="auto"/>
        </w:rPr>
        <w:t xml:space="preserve">il and </w:t>
      </w:r>
      <w:r w:rsidR="003148DB" w:rsidRPr="007A5FDE">
        <w:rPr>
          <w:rFonts w:ascii="Arial" w:hAnsi="Arial" w:cs="Arial"/>
          <w:color w:val="auto"/>
        </w:rPr>
        <w:t>G</w:t>
      </w:r>
      <w:r w:rsidR="00E80125">
        <w:rPr>
          <w:rFonts w:ascii="Arial" w:hAnsi="Arial" w:cs="Arial"/>
          <w:color w:val="auto"/>
        </w:rPr>
        <w:t xml:space="preserve">as </w:t>
      </w:r>
      <w:r w:rsidR="003148DB" w:rsidRPr="007A5FDE">
        <w:rPr>
          <w:rFonts w:ascii="Arial" w:hAnsi="Arial" w:cs="Arial"/>
          <w:color w:val="auto"/>
        </w:rPr>
        <w:t>A</w:t>
      </w:r>
      <w:r w:rsidR="00E80125">
        <w:rPr>
          <w:rFonts w:ascii="Arial" w:hAnsi="Arial" w:cs="Arial"/>
          <w:color w:val="auto"/>
        </w:rPr>
        <w:t>uthority (OGA)</w:t>
      </w:r>
      <w:r w:rsidR="003148DB" w:rsidRPr="007A5FDE">
        <w:rPr>
          <w:rFonts w:ascii="Arial" w:hAnsi="Arial" w:cs="Arial"/>
          <w:color w:val="auto"/>
        </w:rPr>
        <w:t xml:space="preserve"> estimates that a further 10 to 20 billion </w:t>
      </w:r>
      <w:proofErr w:type="spellStart"/>
      <w:r w:rsidR="000F6511" w:rsidRPr="007A5FDE">
        <w:rPr>
          <w:rFonts w:ascii="Arial" w:hAnsi="Arial" w:cs="Arial"/>
          <w:color w:val="auto"/>
        </w:rPr>
        <w:t>boe</w:t>
      </w:r>
      <w:proofErr w:type="spellEnd"/>
      <w:r w:rsidR="0011625F" w:rsidRPr="007A5FDE">
        <w:rPr>
          <w:rFonts w:ascii="Arial" w:hAnsi="Arial" w:cs="Arial"/>
          <w:color w:val="auto"/>
        </w:rPr>
        <w:t xml:space="preserve"> could </w:t>
      </w:r>
      <w:r w:rsidR="003148DB" w:rsidRPr="007A5FDE">
        <w:rPr>
          <w:rFonts w:ascii="Arial" w:hAnsi="Arial" w:cs="Arial"/>
          <w:color w:val="auto"/>
        </w:rPr>
        <w:t>still be recovered from the basin.</w:t>
      </w:r>
      <w:r w:rsidR="003148DB" w:rsidRPr="007A5FDE">
        <w:rPr>
          <w:rStyle w:val="FootnoteReference"/>
          <w:rFonts w:ascii="Arial" w:hAnsi="Arial" w:cs="Arial"/>
          <w:color w:val="auto"/>
        </w:rPr>
        <w:footnoteReference w:id="3"/>
      </w:r>
      <w:r w:rsidR="00AF5BEB">
        <w:rPr>
          <w:rFonts w:ascii="Arial" w:hAnsi="Arial" w:cs="Arial"/>
          <w:color w:val="auto"/>
        </w:rPr>
        <w:t xml:space="preserve"> Since</w:t>
      </w:r>
      <w:r w:rsidR="008B0829">
        <w:rPr>
          <w:rFonts w:ascii="Arial" w:hAnsi="Arial" w:cs="Arial"/>
          <w:color w:val="auto"/>
        </w:rPr>
        <w:t xml:space="preserve"> 201</w:t>
      </w:r>
      <w:r w:rsidR="00920481">
        <w:rPr>
          <w:rFonts w:ascii="Arial" w:hAnsi="Arial" w:cs="Arial"/>
          <w:color w:val="auto"/>
        </w:rPr>
        <w:t>4</w:t>
      </w:r>
      <w:r w:rsidR="008B0829">
        <w:rPr>
          <w:rFonts w:ascii="Arial" w:hAnsi="Arial" w:cs="Arial"/>
          <w:color w:val="auto"/>
        </w:rPr>
        <w:t xml:space="preserve">, UKCS </w:t>
      </w:r>
      <w:r w:rsidR="00920481">
        <w:rPr>
          <w:rFonts w:ascii="Arial" w:hAnsi="Arial" w:cs="Arial"/>
          <w:color w:val="auto"/>
        </w:rPr>
        <w:t>production</w:t>
      </w:r>
      <w:r w:rsidR="008B0829">
        <w:rPr>
          <w:rFonts w:ascii="Arial" w:hAnsi="Arial" w:cs="Arial"/>
          <w:color w:val="auto"/>
        </w:rPr>
        <w:t xml:space="preserve"> has increased by 20%, driven by </w:t>
      </w:r>
      <w:r w:rsidR="000D1252">
        <w:rPr>
          <w:rFonts w:ascii="Arial" w:hAnsi="Arial" w:cs="Arial"/>
          <w:color w:val="auto"/>
        </w:rPr>
        <w:t>some major incremental projects</w:t>
      </w:r>
      <w:r w:rsidR="008E6F87">
        <w:rPr>
          <w:rFonts w:ascii="Arial" w:hAnsi="Arial" w:cs="Arial"/>
          <w:color w:val="auto"/>
        </w:rPr>
        <w:t xml:space="preserve"> in existing fields and </w:t>
      </w:r>
      <w:r w:rsidR="008B0829">
        <w:rPr>
          <w:rFonts w:ascii="Arial" w:hAnsi="Arial" w:cs="Arial"/>
          <w:color w:val="auto"/>
        </w:rPr>
        <w:t>more than 40 new field starts during this period.</w:t>
      </w:r>
      <w:r w:rsidR="00951D27">
        <w:rPr>
          <w:rFonts w:ascii="Arial" w:hAnsi="Arial" w:cs="Arial"/>
          <w:color w:val="auto"/>
        </w:rPr>
        <w:t xml:space="preserve"> Having </w:t>
      </w:r>
      <w:r w:rsidR="00825CC6">
        <w:rPr>
          <w:rFonts w:ascii="Arial" w:hAnsi="Arial" w:cs="Arial"/>
          <w:color w:val="auto"/>
        </w:rPr>
        <w:t xml:space="preserve">a </w:t>
      </w:r>
      <w:r w:rsidR="00951D27">
        <w:rPr>
          <w:rFonts w:ascii="Arial" w:hAnsi="Arial" w:cs="Arial"/>
          <w:color w:val="auto"/>
        </w:rPr>
        <w:t>steady</w:t>
      </w:r>
      <w:r w:rsidR="00825CC6">
        <w:rPr>
          <w:rFonts w:ascii="Arial" w:hAnsi="Arial" w:cs="Arial"/>
          <w:color w:val="auto"/>
        </w:rPr>
        <w:t xml:space="preserve"> stream of new field start-ups</w:t>
      </w:r>
      <w:r w:rsidR="001F4396">
        <w:rPr>
          <w:rFonts w:ascii="Arial" w:hAnsi="Arial" w:cs="Arial"/>
          <w:color w:val="auto"/>
        </w:rPr>
        <w:t xml:space="preserve"> is crucial</w:t>
      </w:r>
      <w:r w:rsidR="00353595">
        <w:rPr>
          <w:rFonts w:ascii="Arial" w:hAnsi="Arial" w:cs="Arial"/>
          <w:color w:val="auto"/>
        </w:rPr>
        <w:t xml:space="preserve"> to ensuring that this remaining potential is achieved</w:t>
      </w:r>
      <w:r w:rsidR="000510C9">
        <w:rPr>
          <w:rFonts w:ascii="Arial" w:hAnsi="Arial" w:cs="Arial"/>
          <w:color w:val="auto"/>
        </w:rPr>
        <w:t>, although</w:t>
      </w:r>
      <w:r w:rsidR="00654871">
        <w:rPr>
          <w:rFonts w:ascii="Arial" w:hAnsi="Arial" w:cs="Arial"/>
          <w:color w:val="auto"/>
        </w:rPr>
        <w:t xml:space="preserve"> we recognise concerns expressed by many about climate change and the need to balance meeting domestic energy supplies and supporting jobs in the energy sector</w:t>
      </w:r>
      <w:r w:rsidR="00023D3A">
        <w:rPr>
          <w:rFonts w:ascii="Arial" w:hAnsi="Arial" w:cs="Arial"/>
          <w:color w:val="auto"/>
        </w:rPr>
        <w:t xml:space="preserve"> with decarbonisation and ensuring an economic return for future extraction</w:t>
      </w:r>
      <w:r w:rsidR="00433A26">
        <w:rPr>
          <w:rFonts w:ascii="Arial" w:hAnsi="Arial" w:cs="Arial"/>
          <w:color w:val="auto"/>
        </w:rPr>
        <w:t>. It is crucial that the UKCS maintains its competitive investment package</w:t>
      </w:r>
      <w:r w:rsidR="00FB5364">
        <w:rPr>
          <w:rFonts w:ascii="Arial" w:hAnsi="Arial" w:cs="Arial"/>
          <w:color w:val="auto"/>
        </w:rPr>
        <w:t xml:space="preserve"> to attract the </w:t>
      </w:r>
      <w:r w:rsidR="008E6F87">
        <w:rPr>
          <w:rFonts w:ascii="Arial" w:hAnsi="Arial" w:cs="Arial"/>
          <w:color w:val="auto"/>
        </w:rPr>
        <w:t xml:space="preserve">investment </w:t>
      </w:r>
      <w:r w:rsidR="00FB5364">
        <w:rPr>
          <w:rFonts w:ascii="Arial" w:hAnsi="Arial" w:cs="Arial"/>
          <w:color w:val="auto"/>
        </w:rPr>
        <w:t>required.</w:t>
      </w:r>
    </w:p>
    <w:p w14:paraId="02A01642" w14:textId="6EA7E1C7" w:rsidR="00FC546B" w:rsidRPr="007A5FDE" w:rsidRDefault="00A56564" w:rsidP="00243255">
      <w:pPr>
        <w:pStyle w:val="Default"/>
        <w:spacing w:after="180" w:line="276" w:lineRule="auto"/>
        <w:rPr>
          <w:rFonts w:ascii="Arial" w:hAnsi="Arial" w:cs="Arial"/>
          <w:color w:val="auto"/>
        </w:rPr>
      </w:pPr>
      <w:r>
        <w:rPr>
          <w:rFonts w:ascii="Arial" w:hAnsi="Arial" w:cs="Arial"/>
          <w:color w:val="auto"/>
        </w:rPr>
        <w:t>In September 2019, the industry published its ‘Roadmap 2035: A blueprint</w:t>
      </w:r>
      <w:r w:rsidR="00990AEC">
        <w:rPr>
          <w:rFonts w:ascii="Arial" w:hAnsi="Arial" w:cs="Arial"/>
          <w:color w:val="auto"/>
        </w:rPr>
        <w:t xml:space="preserve"> to net zero’, which </w:t>
      </w:r>
      <w:r w:rsidR="00B5251E">
        <w:rPr>
          <w:rFonts w:ascii="Arial" w:hAnsi="Arial" w:cs="Arial"/>
          <w:color w:val="auto"/>
        </w:rPr>
        <w:t xml:space="preserve">outlines how </w:t>
      </w:r>
      <w:r w:rsidR="00312DB4">
        <w:rPr>
          <w:rFonts w:ascii="Arial" w:hAnsi="Arial" w:cs="Arial"/>
          <w:color w:val="auto"/>
        </w:rPr>
        <w:t>it</w:t>
      </w:r>
      <w:r w:rsidR="00B5251E">
        <w:rPr>
          <w:rFonts w:ascii="Arial" w:hAnsi="Arial" w:cs="Arial"/>
          <w:color w:val="auto"/>
        </w:rPr>
        <w:t xml:space="preserve"> can continue to help meet the UK’s energy needs whilst making</w:t>
      </w:r>
      <w:r w:rsidR="008E0A45">
        <w:rPr>
          <w:rFonts w:ascii="Arial" w:hAnsi="Arial" w:cs="Arial"/>
          <w:color w:val="auto"/>
        </w:rPr>
        <w:t xml:space="preserve"> a positive contribution towards the UK’s 2050 net zero emissions ambition</w:t>
      </w:r>
      <w:r w:rsidR="00876380">
        <w:rPr>
          <w:rFonts w:ascii="Arial" w:hAnsi="Arial" w:cs="Arial"/>
          <w:color w:val="auto"/>
        </w:rPr>
        <w:t>.</w:t>
      </w:r>
      <w:r w:rsidR="00D37DCA">
        <w:rPr>
          <w:rStyle w:val="FootnoteReference"/>
          <w:rFonts w:ascii="Arial" w:hAnsi="Arial" w:cs="Arial"/>
          <w:color w:val="auto"/>
        </w:rPr>
        <w:footnoteReference w:id="4"/>
      </w:r>
    </w:p>
    <w:p w14:paraId="38340B38" w14:textId="77777777" w:rsidR="00BF62AF" w:rsidRPr="00905209" w:rsidRDefault="00BF62AF" w:rsidP="00E0694A">
      <w:pPr>
        <w:pStyle w:val="Heading2"/>
        <w:keepLines w:val="0"/>
        <w:numPr>
          <w:ilvl w:val="1"/>
          <w:numId w:val="43"/>
        </w:numPr>
        <w:shd w:val="clear" w:color="auto" w:fill="BFBFBF"/>
        <w:tabs>
          <w:tab w:val="clear" w:pos="567"/>
        </w:tabs>
        <w:spacing w:after="180" w:line="276" w:lineRule="auto"/>
        <w:ind w:left="567" w:hanging="567"/>
        <w:rPr>
          <w:szCs w:val="24"/>
        </w:rPr>
      </w:pPr>
      <w:r w:rsidRPr="00905209">
        <w:rPr>
          <w:rFonts w:cs="Arial"/>
          <w:szCs w:val="24"/>
        </w:rPr>
        <w:t>Key Economic par</w:t>
      </w:r>
      <w:r w:rsidR="00D50F28" w:rsidRPr="0059555C">
        <w:rPr>
          <w:rFonts w:cs="Arial"/>
          <w:szCs w:val="24"/>
        </w:rPr>
        <w:t>a</w:t>
      </w:r>
      <w:r w:rsidRPr="0059555C">
        <w:rPr>
          <w:rFonts w:cs="Arial"/>
          <w:szCs w:val="24"/>
        </w:rPr>
        <w:t>meters</w:t>
      </w:r>
    </w:p>
    <w:p w14:paraId="3F9F47AC" w14:textId="0B559DA3" w:rsidR="00C57169" w:rsidRPr="007A5FDE" w:rsidRDefault="00C57169" w:rsidP="00BC7065">
      <w:pPr>
        <w:pStyle w:val="Default"/>
        <w:keepNext/>
        <w:spacing w:after="120" w:line="276" w:lineRule="auto"/>
        <w:outlineLvl w:val="0"/>
        <w:rPr>
          <w:rFonts w:ascii="Arial" w:hAnsi="Arial" w:cs="Arial"/>
          <w:b/>
          <w:bCs/>
        </w:rPr>
      </w:pPr>
      <w:r w:rsidRPr="007A5FDE">
        <w:rPr>
          <w:rFonts w:ascii="Arial" w:hAnsi="Arial" w:cs="Arial"/>
          <w:b/>
          <w:bCs/>
        </w:rPr>
        <w:t>Oil and Gas prices</w:t>
      </w:r>
    </w:p>
    <w:p w14:paraId="5C8D73A4" w14:textId="6EDF77E6" w:rsidR="00C57169" w:rsidRPr="007A5FDE" w:rsidRDefault="00C57169" w:rsidP="00E0694A">
      <w:pPr>
        <w:pStyle w:val="Default"/>
        <w:spacing w:after="180" w:line="276" w:lineRule="auto"/>
        <w:rPr>
          <w:rFonts w:ascii="Arial" w:hAnsi="Arial" w:cs="Arial"/>
          <w:bCs/>
        </w:rPr>
      </w:pPr>
      <w:r w:rsidRPr="007A5FDE">
        <w:rPr>
          <w:rFonts w:ascii="Arial" w:hAnsi="Arial" w:cs="Arial"/>
          <w:bCs/>
        </w:rPr>
        <w:t>Boom and bust cycles are the norm in the energy markets. Throughout the years, the nominal price of oil has fluctuated significantly, reaching as low as $3 per barrel in the 1970s and as high as $143 per barrel in July 2008. The oil price is affected by many factors, all of which are global in nature</w:t>
      </w:r>
      <w:r w:rsidR="00496636" w:rsidRPr="007A5FDE">
        <w:rPr>
          <w:rFonts w:ascii="Arial" w:hAnsi="Arial" w:cs="Arial"/>
          <w:bCs/>
        </w:rPr>
        <w:t>, and reach from supply and demand fundamentals to the strength of the US Dollar (all oil is traded in US Dollar</w:t>
      </w:r>
      <w:r w:rsidR="00641C0A">
        <w:rPr>
          <w:rFonts w:ascii="Arial" w:hAnsi="Arial" w:cs="Arial"/>
          <w:bCs/>
        </w:rPr>
        <w:t>s</w:t>
      </w:r>
      <w:r w:rsidR="00276379" w:rsidRPr="007A5FDE">
        <w:rPr>
          <w:rFonts w:ascii="Arial" w:hAnsi="Arial" w:cs="Arial"/>
          <w:bCs/>
        </w:rPr>
        <w:t xml:space="preserve">) and to geopolitical stability. Global demand for oil and gas has been steadily rising since the </w:t>
      </w:r>
      <w:r w:rsidR="00276379" w:rsidRPr="007A5FDE">
        <w:rPr>
          <w:rFonts w:ascii="Arial" w:hAnsi="Arial" w:cs="Arial"/>
          <w:bCs/>
        </w:rPr>
        <w:lastRenderedPageBreak/>
        <w:t>1970s and has nearly doubled since then</w:t>
      </w:r>
      <w:r w:rsidR="0036575A" w:rsidRPr="007A5FDE">
        <w:rPr>
          <w:rFonts w:ascii="Arial" w:hAnsi="Arial" w:cs="Arial"/>
          <w:bCs/>
        </w:rPr>
        <w:t>.</w:t>
      </w:r>
      <w:r w:rsidR="0036575A" w:rsidRPr="007A5FDE">
        <w:rPr>
          <w:rStyle w:val="FootnoteReference"/>
          <w:rFonts w:ascii="Arial" w:hAnsi="Arial" w:cs="Arial"/>
          <w:bCs/>
        </w:rPr>
        <w:footnoteReference w:id="5"/>
      </w:r>
      <w:r w:rsidR="00276379" w:rsidRPr="007A5FDE">
        <w:rPr>
          <w:rFonts w:ascii="Arial" w:hAnsi="Arial" w:cs="Arial"/>
          <w:bCs/>
        </w:rPr>
        <w:t xml:space="preserve"> </w:t>
      </w:r>
      <w:r w:rsidR="008956BE" w:rsidRPr="007A5FDE">
        <w:rPr>
          <w:rFonts w:ascii="Arial" w:hAnsi="Arial" w:cs="Arial"/>
          <w:bCs/>
        </w:rPr>
        <w:t xml:space="preserve">Strong economic growth particularly in fast-growing developing economies like China and India </w:t>
      </w:r>
      <w:r w:rsidR="00641C0A">
        <w:rPr>
          <w:rFonts w:ascii="Arial" w:hAnsi="Arial" w:cs="Arial"/>
          <w:bCs/>
        </w:rPr>
        <w:t xml:space="preserve">has been </w:t>
      </w:r>
      <w:r w:rsidR="008956BE" w:rsidRPr="007A5FDE">
        <w:rPr>
          <w:rFonts w:ascii="Arial" w:hAnsi="Arial" w:cs="Arial"/>
          <w:bCs/>
        </w:rPr>
        <w:t>a major contributor to increasing levels of demand.</w:t>
      </w:r>
    </w:p>
    <w:p w14:paraId="399A3278" w14:textId="77777777" w:rsidR="008E59CD" w:rsidRPr="007A5FDE" w:rsidRDefault="009D0355" w:rsidP="006B1D4B">
      <w:pPr>
        <w:pStyle w:val="Default"/>
        <w:spacing w:after="180" w:line="276" w:lineRule="auto"/>
        <w:rPr>
          <w:rFonts w:ascii="Arial" w:hAnsi="Arial" w:cs="Arial"/>
          <w:bCs/>
        </w:rPr>
      </w:pPr>
      <w:r w:rsidRPr="007A5FDE">
        <w:rPr>
          <w:rFonts w:ascii="Arial" w:hAnsi="Arial" w:cs="Arial"/>
          <w:bCs/>
        </w:rPr>
        <w:t>T</w:t>
      </w:r>
      <w:r w:rsidR="008E59CD" w:rsidRPr="007A5FDE">
        <w:rPr>
          <w:rFonts w:ascii="Arial" w:hAnsi="Arial" w:cs="Arial"/>
          <w:bCs/>
        </w:rPr>
        <w:t>he United States was</w:t>
      </w:r>
      <w:r w:rsidRPr="007A5FDE">
        <w:rPr>
          <w:rFonts w:ascii="Arial" w:hAnsi="Arial" w:cs="Arial"/>
          <w:bCs/>
        </w:rPr>
        <w:t>, until 2010,</w:t>
      </w:r>
      <w:r w:rsidR="008E59CD" w:rsidRPr="007A5FDE">
        <w:rPr>
          <w:rFonts w:ascii="Arial" w:hAnsi="Arial" w:cs="Arial"/>
          <w:bCs/>
        </w:rPr>
        <w:t xml:space="preserve"> the world’s largest net importer of crude oil, which was a significant contributor to the steady increase in prices until </w:t>
      </w:r>
      <w:r w:rsidRPr="007A5FDE">
        <w:rPr>
          <w:rFonts w:ascii="Arial" w:hAnsi="Arial" w:cs="Arial"/>
          <w:bCs/>
        </w:rPr>
        <w:t>then</w:t>
      </w:r>
      <w:r w:rsidR="008E59CD" w:rsidRPr="007A5FDE">
        <w:rPr>
          <w:rFonts w:ascii="Arial" w:hAnsi="Arial" w:cs="Arial"/>
          <w:bCs/>
        </w:rPr>
        <w:t xml:space="preserve">. Since 2011, the growth of US tight oil (often referred to as “US shale”) has reduced the </w:t>
      </w:r>
      <w:r w:rsidR="00A627EB" w:rsidRPr="007A5FDE">
        <w:rPr>
          <w:rFonts w:ascii="Arial" w:hAnsi="Arial" w:cs="Arial"/>
          <w:bCs/>
        </w:rPr>
        <w:t xml:space="preserve">reliance of the </w:t>
      </w:r>
      <w:r w:rsidR="008E59CD" w:rsidRPr="007A5FDE">
        <w:rPr>
          <w:rFonts w:ascii="Arial" w:hAnsi="Arial" w:cs="Arial"/>
          <w:bCs/>
        </w:rPr>
        <w:t>United States on imports by over one third.</w:t>
      </w:r>
      <w:r w:rsidR="00D63FE1" w:rsidRPr="007A5FDE">
        <w:rPr>
          <w:rFonts w:ascii="Arial" w:hAnsi="Arial" w:cs="Arial"/>
          <w:bCs/>
        </w:rPr>
        <w:t xml:space="preserve"> Together with a slow-down </w:t>
      </w:r>
      <w:r w:rsidR="008956BE" w:rsidRPr="007A5FDE">
        <w:rPr>
          <w:rFonts w:ascii="Arial" w:hAnsi="Arial" w:cs="Arial"/>
          <w:bCs/>
        </w:rPr>
        <w:t xml:space="preserve">in </w:t>
      </w:r>
      <w:r w:rsidR="00D63FE1" w:rsidRPr="007A5FDE">
        <w:rPr>
          <w:rFonts w:ascii="Arial" w:hAnsi="Arial" w:cs="Arial"/>
          <w:bCs/>
        </w:rPr>
        <w:t xml:space="preserve">China’s rapid economic growth and more efficient energy use overall, this caused prices to fall rapidly towards the end of 2015 and throughout 2016. During 2016, </w:t>
      </w:r>
      <w:r w:rsidR="005B698C" w:rsidRPr="007A5FDE">
        <w:rPr>
          <w:rFonts w:ascii="Arial" w:hAnsi="Arial" w:cs="Arial"/>
          <w:bCs/>
        </w:rPr>
        <w:t>d</w:t>
      </w:r>
      <w:r w:rsidR="00D63FE1" w:rsidRPr="007A5FDE">
        <w:rPr>
          <w:rFonts w:ascii="Arial" w:hAnsi="Arial" w:cs="Arial"/>
          <w:bCs/>
        </w:rPr>
        <w:t>ated Brent oil price was at its lowest nominal level since 2004 at an average $4</w:t>
      </w:r>
      <w:r w:rsidR="00A95569" w:rsidRPr="007A5FDE">
        <w:rPr>
          <w:rFonts w:ascii="Arial" w:hAnsi="Arial" w:cs="Arial"/>
          <w:bCs/>
        </w:rPr>
        <w:t>4</w:t>
      </w:r>
      <w:r w:rsidR="00D63FE1" w:rsidRPr="007A5FDE">
        <w:rPr>
          <w:rFonts w:ascii="Arial" w:hAnsi="Arial" w:cs="Arial"/>
          <w:bCs/>
        </w:rPr>
        <w:t xml:space="preserve"> per barrel, with a trough of $31 per barrel in January 2016.</w:t>
      </w:r>
      <w:r w:rsidR="00D63FE1" w:rsidRPr="007A5FDE">
        <w:rPr>
          <w:rStyle w:val="FootnoteReference"/>
          <w:rFonts w:ascii="Arial" w:hAnsi="Arial" w:cs="Arial"/>
          <w:bCs/>
        </w:rPr>
        <w:footnoteReference w:id="6"/>
      </w:r>
    </w:p>
    <w:p w14:paraId="6B8F01E7" w14:textId="47F2BA3C" w:rsidR="006E06DE" w:rsidRPr="00595CB3" w:rsidRDefault="00C60788" w:rsidP="00BC7065">
      <w:pPr>
        <w:pStyle w:val="Caption"/>
        <w:keepNext/>
        <w:spacing w:before="0" w:line="276" w:lineRule="auto"/>
        <w:outlineLvl w:val="0"/>
        <w:rPr>
          <w:rFonts w:ascii="Arial" w:hAnsi="Arial" w:cs="Arial"/>
          <w:bCs/>
          <w:sz w:val="22"/>
          <w:szCs w:val="22"/>
        </w:rPr>
      </w:pPr>
      <w:bookmarkStart w:id="2" w:name="_Toc512547344"/>
      <w:r w:rsidRPr="00595CB3">
        <w:rPr>
          <w:rFonts w:ascii="Arial" w:hAnsi="Arial" w:cs="Arial"/>
          <w:sz w:val="22"/>
          <w:szCs w:val="22"/>
        </w:rPr>
        <w:lastRenderedPageBreak/>
        <w:t>Figure</w:t>
      </w:r>
      <w:r w:rsidR="00364D75">
        <w:rPr>
          <w:rFonts w:ascii="Arial" w:hAnsi="Arial" w:cs="Arial"/>
          <w:sz w:val="22"/>
          <w:szCs w:val="22"/>
        </w:rPr>
        <w:t>s</w:t>
      </w:r>
      <w:r w:rsidRPr="00595CB3">
        <w:rPr>
          <w:rFonts w:ascii="Arial" w:hAnsi="Arial" w:cs="Arial"/>
          <w:sz w:val="22"/>
          <w:szCs w:val="22"/>
        </w:rPr>
        <w:t xml:space="preserve"> </w:t>
      </w:r>
      <w:r w:rsidR="00113F68">
        <w:rPr>
          <w:rFonts w:ascii="Arial" w:hAnsi="Arial" w:cs="Arial"/>
          <w:sz w:val="22"/>
          <w:szCs w:val="22"/>
        </w:rPr>
        <w:t>1</w:t>
      </w:r>
      <w:r w:rsidR="00364D75">
        <w:rPr>
          <w:rFonts w:ascii="Arial" w:hAnsi="Arial" w:cs="Arial"/>
          <w:sz w:val="22"/>
          <w:szCs w:val="22"/>
        </w:rPr>
        <w:t xml:space="preserve"> and </w:t>
      </w:r>
      <w:r w:rsidR="000B3317">
        <w:rPr>
          <w:rFonts w:ascii="Arial" w:hAnsi="Arial" w:cs="Arial"/>
          <w:sz w:val="22"/>
          <w:szCs w:val="22"/>
        </w:rPr>
        <w:t>2</w:t>
      </w:r>
      <w:r w:rsidRPr="00595CB3">
        <w:rPr>
          <w:rFonts w:ascii="Arial" w:hAnsi="Arial" w:cs="Arial"/>
          <w:sz w:val="22"/>
          <w:szCs w:val="22"/>
        </w:rPr>
        <w:t xml:space="preserve">. </w:t>
      </w:r>
      <w:r w:rsidR="009A1EF3" w:rsidRPr="00595CB3">
        <w:rPr>
          <w:rFonts w:ascii="Arial" w:hAnsi="Arial" w:cs="Arial"/>
          <w:bCs/>
          <w:sz w:val="22"/>
          <w:szCs w:val="22"/>
        </w:rPr>
        <w:t>Brent Spot Price (nominal)</w:t>
      </w:r>
      <w:r w:rsidR="006E06DE" w:rsidRPr="00595CB3">
        <w:rPr>
          <w:rStyle w:val="FootnoteReference"/>
          <w:rFonts w:ascii="Arial" w:hAnsi="Arial" w:cs="Arial"/>
          <w:bCs/>
          <w:sz w:val="22"/>
          <w:szCs w:val="22"/>
        </w:rPr>
        <w:footnoteReference w:id="7"/>
      </w:r>
      <w:bookmarkEnd w:id="2"/>
    </w:p>
    <w:p w14:paraId="6848F2BA" w14:textId="23EC47BE" w:rsidR="00C30866" w:rsidRDefault="00364D75" w:rsidP="00C17CD0">
      <w:pPr>
        <w:pStyle w:val="Default"/>
        <w:keepNext/>
        <w:spacing w:after="120" w:line="276" w:lineRule="auto"/>
        <w:rPr>
          <w:rFonts w:ascii="Arial" w:hAnsi="Arial" w:cs="Arial"/>
          <w:b/>
          <w:bCs/>
          <w:sz w:val="22"/>
          <w:szCs w:val="22"/>
        </w:rPr>
      </w:pPr>
      <w:r w:rsidRPr="00364D75">
        <w:rPr>
          <w:noProof/>
        </w:rPr>
        <w:drawing>
          <wp:inline distT="0" distB="0" distL="0" distR="0" wp14:anchorId="65A8A65F" wp14:editId="305465C4">
            <wp:extent cx="5732145" cy="2572385"/>
            <wp:effectExtent l="0" t="0" r="1905" b="0"/>
            <wp:docPr id="6" name="Picture 6" descr="Figure 1A showing the annual and monthly crude oil prices in $ per barrel from 1998-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2572385"/>
                    </a:xfrm>
                    <a:prstGeom prst="rect">
                      <a:avLst/>
                    </a:prstGeom>
                    <a:noFill/>
                    <a:ln>
                      <a:noFill/>
                    </a:ln>
                  </pic:spPr>
                </pic:pic>
              </a:graphicData>
            </a:graphic>
          </wp:inline>
        </w:drawing>
      </w:r>
    </w:p>
    <w:p w14:paraId="3A88FC98" w14:textId="266CF7C2" w:rsidR="00364D75" w:rsidRPr="00595CB3" w:rsidRDefault="00364D75" w:rsidP="00C17CD0">
      <w:pPr>
        <w:pStyle w:val="Default"/>
        <w:keepNext/>
        <w:spacing w:after="120" w:line="276" w:lineRule="auto"/>
        <w:rPr>
          <w:rFonts w:ascii="Arial" w:hAnsi="Arial" w:cs="Arial"/>
          <w:b/>
          <w:bCs/>
          <w:sz w:val="22"/>
          <w:szCs w:val="22"/>
        </w:rPr>
      </w:pPr>
      <w:r w:rsidRPr="00364D75">
        <w:rPr>
          <w:noProof/>
        </w:rPr>
        <w:drawing>
          <wp:inline distT="0" distB="0" distL="0" distR="0" wp14:anchorId="696CD8A4" wp14:editId="3D0CE937">
            <wp:extent cx="5732145" cy="2572385"/>
            <wp:effectExtent l="0" t="0" r="1905" b="0"/>
            <wp:docPr id="8" name="Picture 8" descr="Table 1B showing the annual and monthly average crude oil prices in £ per barrel for 1998-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2572385"/>
                    </a:xfrm>
                    <a:prstGeom prst="rect">
                      <a:avLst/>
                    </a:prstGeom>
                    <a:noFill/>
                    <a:ln>
                      <a:noFill/>
                    </a:ln>
                  </pic:spPr>
                </pic:pic>
              </a:graphicData>
            </a:graphic>
          </wp:inline>
        </w:drawing>
      </w:r>
    </w:p>
    <w:p w14:paraId="5194B47E" w14:textId="77777777" w:rsidR="00BF62AF" w:rsidRPr="00595CB3" w:rsidRDefault="006E06DE" w:rsidP="005468F7">
      <w:pPr>
        <w:pStyle w:val="Default"/>
        <w:keepNext/>
        <w:spacing w:after="180" w:line="276" w:lineRule="auto"/>
        <w:rPr>
          <w:rFonts w:ascii="Arial" w:hAnsi="Arial" w:cs="Arial"/>
          <w:bCs/>
          <w:sz w:val="18"/>
          <w:szCs w:val="16"/>
        </w:rPr>
      </w:pPr>
      <w:r w:rsidRPr="00595CB3">
        <w:rPr>
          <w:rFonts w:ascii="Arial" w:hAnsi="Arial" w:cs="Arial"/>
          <w:bCs/>
          <w:sz w:val="18"/>
          <w:szCs w:val="16"/>
        </w:rPr>
        <w:t>Source</w:t>
      </w:r>
      <w:r w:rsidR="005B698C" w:rsidRPr="00595CB3">
        <w:rPr>
          <w:rFonts w:ascii="Arial" w:hAnsi="Arial" w:cs="Arial"/>
          <w:bCs/>
          <w:sz w:val="18"/>
          <w:szCs w:val="16"/>
        </w:rPr>
        <w:t>s</w:t>
      </w:r>
      <w:r w:rsidRPr="00595CB3">
        <w:rPr>
          <w:rFonts w:ascii="Arial" w:hAnsi="Arial" w:cs="Arial"/>
          <w:bCs/>
          <w:sz w:val="18"/>
          <w:szCs w:val="16"/>
        </w:rPr>
        <w:t xml:space="preserve">: </w:t>
      </w:r>
      <w:r w:rsidR="00F02D71">
        <w:rPr>
          <w:rFonts w:ascii="Arial" w:hAnsi="Arial" w:cs="Arial"/>
          <w:bCs/>
          <w:sz w:val="18"/>
          <w:szCs w:val="16"/>
        </w:rPr>
        <w:t>World Bank</w:t>
      </w:r>
      <w:r w:rsidR="00E06D0A" w:rsidRPr="00595CB3">
        <w:rPr>
          <w:rFonts w:ascii="Arial" w:hAnsi="Arial" w:cs="Arial"/>
          <w:bCs/>
          <w:sz w:val="18"/>
          <w:szCs w:val="16"/>
        </w:rPr>
        <w:t xml:space="preserve"> and Bank of England</w:t>
      </w:r>
      <w:r w:rsidR="008E706A">
        <w:rPr>
          <w:rFonts w:ascii="Arial" w:hAnsi="Arial" w:cs="Arial"/>
          <w:bCs/>
          <w:sz w:val="18"/>
          <w:szCs w:val="16"/>
        </w:rPr>
        <w:t>.</w:t>
      </w:r>
    </w:p>
    <w:p w14:paraId="7F48E3C3" w14:textId="77777777" w:rsidR="00723E64" w:rsidRPr="00AC72EE" w:rsidRDefault="00723E64" w:rsidP="00723E64">
      <w:pPr>
        <w:pStyle w:val="Default"/>
        <w:spacing w:after="180" w:line="276" w:lineRule="auto"/>
        <w:rPr>
          <w:rStyle w:val="normaltextrun"/>
          <w:rFonts w:ascii="Arial" w:hAnsi="Arial" w:cs="Arial"/>
          <w:bdr w:val="none" w:sz="0" w:space="0" w:color="auto" w:frame="1"/>
        </w:rPr>
      </w:pPr>
      <w:r w:rsidRPr="00AC72EE">
        <w:rPr>
          <w:rStyle w:val="normaltextrun"/>
          <w:rFonts w:ascii="Arial" w:hAnsi="Arial" w:cs="Arial"/>
          <w:bdr w:val="none" w:sz="0" w:space="0" w:color="auto" w:frame="1"/>
        </w:rPr>
        <w:t xml:space="preserve">The UK benefits from diverse and flexible sources of gas supply. The UK consistently has one of the largest and most liquid gas markets in Europe, with extensive import infrastructure and a diverse range of gas supply sources: pipelines from Norway, Belgium and the Netherlands, domestic production, and Liquefied Natural Gas (LNG) terminals to bring in gas from around the world. </w:t>
      </w:r>
    </w:p>
    <w:p w14:paraId="2A56AE05" w14:textId="398D7053" w:rsidR="00723E64" w:rsidRPr="00AC72EE" w:rsidRDefault="00723E64" w:rsidP="00723E64">
      <w:pPr>
        <w:pStyle w:val="Default"/>
        <w:spacing w:after="180" w:line="276" w:lineRule="auto"/>
        <w:rPr>
          <w:rStyle w:val="normaltextrun"/>
          <w:rFonts w:ascii="Arial" w:hAnsi="Arial" w:cs="Arial"/>
          <w:bdr w:val="none" w:sz="0" w:space="0" w:color="auto" w:frame="1"/>
        </w:rPr>
      </w:pPr>
      <w:r w:rsidRPr="00AC72EE">
        <w:rPr>
          <w:rStyle w:val="normaltextrun"/>
          <w:rFonts w:ascii="Arial" w:hAnsi="Arial" w:cs="Arial"/>
          <w:bdr w:val="none" w:sz="0" w:space="0" w:color="auto" w:frame="1"/>
        </w:rPr>
        <w:t xml:space="preserve">Gas markets are largely regional in nature, due to infrastructure and transportation limitations. Gas is traded on the UK’s National Balancing Point (NBP) virtual trading hub, which is the second-most liquid trading hub in Europe, behind only the </w:t>
      </w:r>
      <w:r w:rsidRPr="00AC72EE">
        <w:rPr>
          <w:rStyle w:val="normaltextrun"/>
          <w:rFonts w:ascii="Arial" w:hAnsi="Arial" w:cs="Arial"/>
          <w:bdr w:val="none" w:sz="0" w:space="0" w:color="auto" w:frame="1"/>
        </w:rPr>
        <w:lastRenderedPageBreak/>
        <w:t>Netherlands’ TTF</w:t>
      </w:r>
      <w:r>
        <w:rPr>
          <w:rStyle w:val="normaltextrun"/>
          <w:rFonts w:ascii="Calibri" w:hAnsi="Calibri" w:cs="Calibri"/>
          <w:bdr w:val="none" w:sz="0" w:space="0" w:color="auto" w:frame="1"/>
        </w:rPr>
        <w:t xml:space="preserve"> </w:t>
      </w:r>
      <w:r w:rsidRPr="00AC72EE">
        <w:rPr>
          <w:rStyle w:val="normaltextrun"/>
          <w:rFonts w:ascii="Arial" w:hAnsi="Arial" w:cs="Arial"/>
          <w:bdr w:val="none" w:sz="0" w:space="0" w:color="auto" w:frame="1"/>
        </w:rPr>
        <w:t>hub</w:t>
      </w:r>
      <w:r w:rsidR="00245473">
        <w:rPr>
          <w:rStyle w:val="normaltextrun"/>
          <w:rFonts w:ascii="Arial" w:hAnsi="Arial" w:cs="Arial"/>
          <w:bdr w:val="none" w:sz="0" w:space="0" w:color="auto" w:frame="1"/>
        </w:rPr>
        <w:t>.</w:t>
      </w:r>
      <w:r>
        <w:rPr>
          <w:rStyle w:val="FootnoteReference"/>
          <w:rFonts w:ascii="Calibri" w:hAnsi="Calibri" w:cs="Calibri"/>
          <w:bdr w:val="none" w:sz="0" w:space="0" w:color="auto" w:frame="1"/>
        </w:rPr>
        <w:footnoteReference w:id="8"/>
      </w:r>
      <w:r>
        <w:rPr>
          <w:rStyle w:val="normaltextrun"/>
          <w:rFonts w:ascii="Calibri" w:hAnsi="Calibri" w:cs="Calibri"/>
          <w:bdr w:val="none" w:sz="0" w:space="0" w:color="auto" w:frame="1"/>
        </w:rPr>
        <w:t xml:space="preserve"> </w:t>
      </w:r>
      <w:r w:rsidRPr="00AC72EE">
        <w:rPr>
          <w:rStyle w:val="normaltextrun"/>
          <w:rFonts w:ascii="Arial" w:hAnsi="Arial" w:cs="Arial"/>
          <w:bdr w:val="none" w:sz="0" w:space="0" w:color="auto" w:frame="1"/>
        </w:rPr>
        <w:t>There is no price differentiation based on origin or source type of</w:t>
      </w:r>
      <w:r>
        <w:rPr>
          <w:rStyle w:val="normaltextrun"/>
          <w:rFonts w:ascii="Calibri" w:hAnsi="Calibri" w:cs="Calibri"/>
          <w:bdr w:val="none" w:sz="0" w:space="0" w:color="auto" w:frame="1"/>
        </w:rPr>
        <w:t xml:space="preserve"> </w:t>
      </w:r>
      <w:r w:rsidRPr="00AC72EE">
        <w:rPr>
          <w:rStyle w:val="normaltextrun"/>
          <w:rFonts w:ascii="Arial" w:hAnsi="Arial" w:cs="Arial"/>
          <w:bdr w:val="none" w:sz="0" w:space="0" w:color="auto" w:frame="1"/>
        </w:rPr>
        <w:t xml:space="preserve">gas. Although there has been a trend away from long-term contracts, these still have a role in attracting both piped gas and LNG to the UK market. </w:t>
      </w:r>
    </w:p>
    <w:p w14:paraId="5A5ECB29" w14:textId="77777777" w:rsidR="00723E64" w:rsidRPr="00AC72EE" w:rsidRDefault="00723E64" w:rsidP="00723E64">
      <w:pPr>
        <w:pStyle w:val="Default"/>
        <w:spacing w:after="180" w:line="276" w:lineRule="auto"/>
        <w:rPr>
          <w:rStyle w:val="normaltextrun"/>
          <w:rFonts w:ascii="Arial" w:hAnsi="Arial" w:cs="Arial"/>
          <w:shd w:val="clear" w:color="auto" w:fill="FFFFFF"/>
        </w:rPr>
      </w:pPr>
      <w:r w:rsidRPr="00AC72EE">
        <w:rPr>
          <w:rStyle w:val="normaltextrun"/>
          <w:rFonts w:ascii="Arial" w:hAnsi="Arial" w:cs="Arial"/>
          <w:bdr w:val="none" w:sz="0" w:space="0" w:color="auto" w:frame="1"/>
        </w:rPr>
        <w:t xml:space="preserve">Global gas price signals determine LNG trade flows and the UK is well placed to take advantage of a growing global market in LNG, with around a quarter of total EU LNG capacity and a utilisation rate of around 15% in 2017. Imports of LNG in 2018 increased by 6.4% on the previous year, accounting for 15% of the UK’s total imports in 2018. </w:t>
      </w:r>
      <w:r w:rsidRPr="00AC72EE">
        <w:rPr>
          <w:rStyle w:val="normaltextrun"/>
          <w:rFonts w:ascii="Arial" w:hAnsi="Arial" w:cs="Arial"/>
          <w:shd w:val="clear" w:color="auto" w:fill="FFFFFF"/>
        </w:rPr>
        <w:t>Global liquefaction capacity is expected to continue its growth, increasing by 13% between 2018 and 2020. </w:t>
      </w:r>
      <w:proofErr w:type="gramStart"/>
      <w:r w:rsidRPr="00AC72EE">
        <w:rPr>
          <w:rStyle w:val="advancedproofingissue"/>
          <w:rFonts w:ascii="Arial" w:hAnsi="Arial" w:cs="Arial"/>
          <w:shd w:val="clear" w:color="auto" w:fill="FFFFFF"/>
        </w:rPr>
        <w:t>The majority of</w:t>
      </w:r>
      <w:proofErr w:type="gramEnd"/>
      <w:r w:rsidRPr="00AC72EE">
        <w:rPr>
          <w:rStyle w:val="normaltextrun"/>
          <w:rFonts w:ascii="Arial" w:hAnsi="Arial" w:cs="Arial"/>
          <w:shd w:val="clear" w:color="auto" w:fill="FFFFFF"/>
        </w:rPr>
        <w:t xml:space="preserve"> the liquefaction capacity that is currently under construction is located in the US and Australia. US LNG has many of the characteristics – destination flexibility, hub-priced pricing and spot availability – that are transforming the wider gas market. The development of a global and flexible LNG market is a positive sign for the improvement of natural gas security of supply. </w:t>
      </w:r>
    </w:p>
    <w:p w14:paraId="1940E2E2" w14:textId="796337C7" w:rsidR="00F5707B" w:rsidRPr="00595CB3" w:rsidRDefault="00364ABD" w:rsidP="00BC7065">
      <w:pPr>
        <w:pStyle w:val="Caption"/>
        <w:keepNext/>
        <w:spacing w:before="0" w:line="276" w:lineRule="auto"/>
        <w:outlineLvl w:val="0"/>
        <w:rPr>
          <w:rFonts w:ascii="Arial" w:eastAsia="Calibri" w:hAnsi="Arial" w:cs="Arial"/>
          <w:bCs/>
          <w:color w:val="000000"/>
          <w:sz w:val="22"/>
          <w:szCs w:val="22"/>
        </w:rPr>
      </w:pPr>
      <w:bookmarkStart w:id="3" w:name="_Toc512547345"/>
      <w:r w:rsidRPr="00595CB3">
        <w:rPr>
          <w:rFonts w:ascii="Arial" w:hAnsi="Arial" w:cs="Arial"/>
          <w:sz w:val="22"/>
          <w:szCs w:val="22"/>
        </w:rPr>
        <w:t xml:space="preserve">Figure </w:t>
      </w:r>
      <w:r w:rsidR="000B3317">
        <w:rPr>
          <w:rFonts w:ascii="Arial" w:hAnsi="Arial" w:cs="Arial"/>
          <w:sz w:val="22"/>
          <w:szCs w:val="22"/>
        </w:rPr>
        <w:t>3</w:t>
      </w:r>
      <w:r w:rsidR="00F5707B" w:rsidRPr="00595CB3">
        <w:rPr>
          <w:rFonts w:ascii="Arial" w:eastAsia="Calibri" w:hAnsi="Arial" w:cs="Arial"/>
          <w:bCs/>
          <w:color w:val="000000"/>
          <w:sz w:val="22"/>
          <w:szCs w:val="22"/>
        </w:rPr>
        <w:t xml:space="preserve">. </w:t>
      </w:r>
      <w:r w:rsidR="009B2C35">
        <w:rPr>
          <w:rFonts w:ascii="Arial" w:eastAsia="Calibri" w:hAnsi="Arial" w:cs="Arial"/>
          <w:bCs/>
          <w:color w:val="000000"/>
          <w:sz w:val="22"/>
          <w:szCs w:val="22"/>
        </w:rPr>
        <w:t xml:space="preserve">Gas </w:t>
      </w:r>
      <w:r w:rsidR="00B733D1">
        <w:rPr>
          <w:rFonts w:ascii="Arial" w:eastAsia="Calibri" w:hAnsi="Arial" w:cs="Arial"/>
          <w:bCs/>
          <w:color w:val="000000"/>
          <w:sz w:val="22"/>
          <w:szCs w:val="22"/>
        </w:rPr>
        <w:t>Spot Price (nominal)</w:t>
      </w:r>
      <w:bookmarkEnd w:id="3"/>
    </w:p>
    <w:p w14:paraId="694CC68D" w14:textId="1F52B4C1" w:rsidR="009B2C35" w:rsidRPr="00595CB3" w:rsidRDefault="006A402E" w:rsidP="00412459">
      <w:pPr>
        <w:pStyle w:val="Default"/>
        <w:keepNext/>
        <w:spacing w:after="240" w:line="276" w:lineRule="auto"/>
        <w:rPr>
          <w:rFonts w:ascii="Arial" w:hAnsi="Arial" w:cs="Arial"/>
          <w:color w:val="auto"/>
          <w:sz w:val="22"/>
          <w:szCs w:val="22"/>
        </w:rPr>
      </w:pPr>
      <w:r w:rsidRPr="006A402E">
        <w:rPr>
          <w:noProof/>
        </w:rPr>
        <w:drawing>
          <wp:inline distT="0" distB="0" distL="0" distR="0" wp14:anchorId="03AFEF74" wp14:editId="3E461113">
            <wp:extent cx="5732145" cy="2572385"/>
            <wp:effectExtent l="0" t="0" r="1905" b="0"/>
            <wp:docPr id="10" name="Picture 10" descr="Figure 2 showing the annual and monthly average natural gas price per therm from 1998-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2572385"/>
                    </a:xfrm>
                    <a:prstGeom prst="rect">
                      <a:avLst/>
                    </a:prstGeom>
                    <a:noFill/>
                    <a:ln>
                      <a:noFill/>
                    </a:ln>
                  </pic:spPr>
                </pic:pic>
              </a:graphicData>
            </a:graphic>
          </wp:inline>
        </w:drawing>
      </w:r>
    </w:p>
    <w:p w14:paraId="4169EFE1" w14:textId="77777777" w:rsidR="005634A7" w:rsidRPr="00595CB3" w:rsidRDefault="005634A7" w:rsidP="00F21E64">
      <w:pPr>
        <w:pStyle w:val="Default"/>
        <w:spacing w:after="240" w:line="276" w:lineRule="auto"/>
        <w:rPr>
          <w:rFonts w:ascii="Arial" w:hAnsi="Arial" w:cs="Arial"/>
          <w:color w:val="auto"/>
          <w:sz w:val="18"/>
          <w:szCs w:val="16"/>
        </w:rPr>
      </w:pPr>
      <w:r w:rsidRPr="00595CB3">
        <w:rPr>
          <w:rFonts w:ascii="Arial" w:hAnsi="Arial" w:cs="Arial"/>
          <w:color w:val="auto"/>
          <w:sz w:val="18"/>
          <w:szCs w:val="16"/>
        </w:rPr>
        <w:t xml:space="preserve">Source: </w:t>
      </w:r>
      <w:r w:rsidR="00B733D1">
        <w:rPr>
          <w:rFonts w:ascii="Arial" w:hAnsi="Arial" w:cs="Arial"/>
          <w:color w:val="auto"/>
          <w:sz w:val="18"/>
          <w:szCs w:val="16"/>
        </w:rPr>
        <w:t>OGA from various sources</w:t>
      </w:r>
      <w:r w:rsidR="008E706A">
        <w:rPr>
          <w:rFonts w:ascii="Arial" w:hAnsi="Arial" w:cs="Arial"/>
          <w:color w:val="auto"/>
          <w:sz w:val="18"/>
          <w:szCs w:val="16"/>
        </w:rPr>
        <w:t>.</w:t>
      </w:r>
    </w:p>
    <w:p w14:paraId="182470B8" w14:textId="15E06D37" w:rsidR="005634A7" w:rsidRPr="00E0694A" w:rsidRDefault="005634A7" w:rsidP="00E0694A">
      <w:pPr>
        <w:pStyle w:val="Heading2"/>
        <w:keepLines w:val="0"/>
        <w:numPr>
          <w:ilvl w:val="1"/>
          <w:numId w:val="43"/>
        </w:numPr>
        <w:shd w:val="clear" w:color="auto" w:fill="BFBFBF"/>
        <w:tabs>
          <w:tab w:val="clear" w:pos="567"/>
        </w:tabs>
        <w:spacing w:after="180" w:line="276" w:lineRule="auto"/>
        <w:ind w:left="567" w:hanging="567"/>
        <w:rPr>
          <w:rFonts w:cs="Arial"/>
          <w:b w:val="0"/>
        </w:rPr>
      </w:pPr>
      <w:r w:rsidRPr="00E0694A">
        <w:rPr>
          <w:rFonts w:cs="Arial"/>
          <w:szCs w:val="24"/>
        </w:rPr>
        <w:t>Production</w:t>
      </w:r>
      <w:r w:rsidR="006C7190">
        <w:rPr>
          <w:rFonts w:cs="Arial"/>
          <w:szCs w:val="24"/>
        </w:rPr>
        <w:t xml:space="preserve"> and Trade</w:t>
      </w:r>
    </w:p>
    <w:p w14:paraId="237936AD" w14:textId="422F38A2" w:rsidR="00693081" w:rsidRPr="00D34DB8" w:rsidRDefault="005634A7" w:rsidP="00693081">
      <w:pPr>
        <w:pStyle w:val="Default"/>
        <w:spacing w:after="240" w:line="276" w:lineRule="auto"/>
        <w:rPr>
          <w:rFonts w:ascii="Arial" w:hAnsi="Arial" w:cs="Arial"/>
          <w:color w:val="auto"/>
        </w:rPr>
      </w:pPr>
      <w:r w:rsidRPr="00D34DB8">
        <w:rPr>
          <w:rFonts w:ascii="Arial" w:hAnsi="Arial" w:cs="Arial"/>
          <w:color w:val="auto"/>
        </w:rPr>
        <w:t>Production on the UKCS is currently split roughly 60:40 between oil production and natural gas production</w:t>
      </w:r>
      <w:r w:rsidR="00693081">
        <w:rPr>
          <w:rFonts w:ascii="Arial" w:hAnsi="Arial" w:cs="Arial"/>
          <w:color w:val="auto"/>
        </w:rPr>
        <w:t xml:space="preserve"> </w:t>
      </w:r>
      <w:r w:rsidR="00693081" w:rsidRPr="00D34DB8">
        <w:rPr>
          <w:rFonts w:ascii="Arial" w:hAnsi="Arial" w:cs="Arial"/>
          <w:color w:val="auto"/>
        </w:rPr>
        <w:t xml:space="preserve">(Figure </w:t>
      </w:r>
      <w:r w:rsidR="000B3317">
        <w:rPr>
          <w:rFonts w:ascii="Arial" w:hAnsi="Arial" w:cs="Arial"/>
          <w:color w:val="auto"/>
        </w:rPr>
        <w:t>4</w:t>
      </w:r>
      <w:r w:rsidR="00693081" w:rsidRPr="00D34DB8">
        <w:rPr>
          <w:rFonts w:ascii="Arial" w:hAnsi="Arial" w:cs="Arial"/>
          <w:color w:val="auto"/>
        </w:rPr>
        <w:t>).</w:t>
      </w:r>
    </w:p>
    <w:p w14:paraId="7C333F98" w14:textId="289C8535" w:rsidR="00693081" w:rsidRPr="00595CB3" w:rsidRDefault="00693081" w:rsidP="00693081">
      <w:pPr>
        <w:pStyle w:val="Caption"/>
        <w:keepNext/>
        <w:outlineLvl w:val="0"/>
        <w:rPr>
          <w:rFonts w:ascii="Arial" w:hAnsi="Arial" w:cs="Arial"/>
          <w:sz w:val="22"/>
          <w:szCs w:val="22"/>
        </w:rPr>
      </w:pPr>
      <w:bookmarkStart w:id="4" w:name="_Toc512547346"/>
      <w:r w:rsidRPr="00595CB3">
        <w:rPr>
          <w:rFonts w:ascii="Arial" w:hAnsi="Arial" w:cs="Arial"/>
          <w:sz w:val="22"/>
          <w:szCs w:val="22"/>
        </w:rPr>
        <w:lastRenderedPageBreak/>
        <w:t xml:space="preserve">Figure </w:t>
      </w:r>
      <w:r w:rsidR="00116907">
        <w:rPr>
          <w:rFonts w:ascii="Arial" w:hAnsi="Arial" w:cs="Arial"/>
          <w:sz w:val="22"/>
          <w:szCs w:val="22"/>
        </w:rPr>
        <w:t>4</w:t>
      </w:r>
      <w:r w:rsidRPr="00595CB3">
        <w:rPr>
          <w:rFonts w:ascii="Arial" w:hAnsi="Arial" w:cs="Arial"/>
          <w:sz w:val="22"/>
          <w:szCs w:val="22"/>
        </w:rPr>
        <w:t>. UK oil and net gas production</w:t>
      </w:r>
      <w:r w:rsidRPr="00595CB3">
        <w:rPr>
          <w:rStyle w:val="FootnoteReference"/>
          <w:rFonts w:ascii="Arial" w:hAnsi="Arial" w:cs="Arial"/>
          <w:sz w:val="22"/>
          <w:szCs w:val="22"/>
        </w:rPr>
        <w:footnoteReference w:id="9"/>
      </w:r>
      <w:bookmarkEnd w:id="4"/>
    </w:p>
    <w:p w14:paraId="68CA414D" w14:textId="092AD768" w:rsidR="0098282D" w:rsidRPr="00595CB3" w:rsidRDefault="00745BA1" w:rsidP="00E0694A">
      <w:pPr>
        <w:pStyle w:val="Default"/>
        <w:spacing w:after="180" w:line="276" w:lineRule="auto"/>
        <w:rPr>
          <w:rFonts w:ascii="Arial" w:hAnsi="Arial" w:cs="Arial"/>
          <w:color w:val="auto"/>
          <w:sz w:val="18"/>
          <w:szCs w:val="16"/>
        </w:rPr>
      </w:pPr>
      <w:r w:rsidRPr="00745BA1">
        <w:rPr>
          <w:noProof/>
        </w:rPr>
        <w:drawing>
          <wp:inline distT="0" distB="0" distL="0" distR="0" wp14:anchorId="3D9B5BCD" wp14:editId="1C144BD6">
            <wp:extent cx="5732145" cy="2632710"/>
            <wp:effectExtent l="0" t="0" r="1905" b="0"/>
            <wp:docPr id="11" name="Picture 11" descr="Figure 3 showing UK oil and net gas production in million barrels of oil equivalent per day for 197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2632710"/>
                    </a:xfrm>
                    <a:prstGeom prst="rect">
                      <a:avLst/>
                    </a:prstGeom>
                    <a:noFill/>
                    <a:ln>
                      <a:noFill/>
                    </a:ln>
                  </pic:spPr>
                </pic:pic>
              </a:graphicData>
            </a:graphic>
          </wp:inline>
        </w:drawing>
      </w:r>
      <w:r w:rsidR="0098282D" w:rsidRPr="00595CB3">
        <w:rPr>
          <w:rFonts w:ascii="Arial" w:hAnsi="Arial" w:cs="Arial"/>
          <w:color w:val="auto"/>
          <w:sz w:val="18"/>
          <w:szCs w:val="16"/>
        </w:rPr>
        <w:t>Source: OGA</w:t>
      </w:r>
      <w:r w:rsidR="004A6276">
        <w:rPr>
          <w:rFonts w:ascii="Arial" w:hAnsi="Arial" w:cs="Arial"/>
          <w:color w:val="auto"/>
          <w:sz w:val="18"/>
          <w:szCs w:val="16"/>
        </w:rPr>
        <w:t>.</w:t>
      </w:r>
    </w:p>
    <w:p w14:paraId="323818DD" w14:textId="219B182F" w:rsidR="004F7306" w:rsidRDefault="004F7306" w:rsidP="006B1D4B">
      <w:pPr>
        <w:pStyle w:val="Default"/>
        <w:spacing w:after="180" w:line="276" w:lineRule="auto"/>
        <w:rPr>
          <w:rFonts w:ascii="Arial" w:hAnsi="Arial" w:cs="Arial"/>
          <w:color w:val="auto"/>
        </w:rPr>
      </w:pPr>
      <w:r w:rsidRPr="00D34DB8">
        <w:rPr>
          <w:rFonts w:ascii="Arial" w:hAnsi="Arial" w:cs="Arial"/>
          <w:color w:val="auto"/>
        </w:rPr>
        <w:t xml:space="preserve">Combined oil and gas production volumes from the UKCS peaked in 1999 at 4.6 million </w:t>
      </w:r>
      <w:proofErr w:type="spellStart"/>
      <w:r w:rsidRPr="00D34DB8">
        <w:rPr>
          <w:rFonts w:ascii="Arial" w:hAnsi="Arial" w:cs="Arial"/>
          <w:color w:val="auto"/>
        </w:rPr>
        <w:t>boe</w:t>
      </w:r>
      <w:proofErr w:type="spellEnd"/>
      <w:r w:rsidRPr="00D34DB8">
        <w:rPr>
          <w:rFonts w:ascii="Arial" w:hAnsi="Arial" w:cs="Arial"/>
          <w:color w:val="auto"/>
        </w:rPr>
        <w:t>/day and declined to 1.</w:t>
      </w:r>
      <w:r w:rsidR="00D346FA">
        <w:rPr>
          <w:rFonts w:ascii="Arial" w:hAnsi="Arial" w:cs="Arial"/>
          <w:color w:val="auto"/>
        </w:rPr>
        <w:t>4</w:t>
      </w:r>
      <w:r w:rsidRPr="00D34DB8">
        <w:rPr>
          <w:rFonts w:ascii="Arial" w:hAnsi="Arial" w:cs="Arial"/>
          <w:color w:val="auto"/>
        </w:rPr>
        <w:t xml:space="preserve"> million </w:t>
      </w:r>
      <w:proofErr w:type="spellStart"/>
      <w:r w:rsidRPr="00D34DB8">
        <w:rPr>
          <w:rFonts w:ascii="Arial" w:hAnsi="Arial" w:cs="Arial"/>
          <w:color w:val="auto"/>
        </w:rPr>
        <w:t>boe</w:t>
      </w:r>
      <w:proofErr w:type="spellEnd"/>
      <w:r w:rsidRPr="00D34DB8">
        <w:rPr>
          <w:rFonts w:ascii="Arial" w:hAnsi="Arial" w:cs="Arial"/>
          <w:color w:val="auto"/>
        </w:rPr>
        <w:t xml:space="preserve">/day </w:t>
      </w:r>
      <w:r w:rsidR="00D346FA">
        <w:rPr>
          <w:rFonts w:ascii="Arial" w:hAnsi="Arial" w:cs="Arial"/>
          <w:color w:val="auto"/>
        </w:rPr>
        <w:t xml:space="preserve">by 2014 </w:t>
      </w:r>
      <w:r w:rsidRPr="00D34DB8">
        <w:rPr>
          <w:rFonts w:ascii="Arial" w:hAnsi="Arial" w:cs="Arial"/>
          <w:color w:val="auto"/>
        </w:rPr>
        <w:t>– a consequence of natural reservoir decline in existing fields combined with fewer/smaller developments. Between 2014 and 201</w:t>
      </w:r>
      <w:r w:rsidR="00D346FA">
        <w:rPr>
          <w:rFonts w:ascii="Arial" w:hAnsi="Arial" w:cs="Arial"/>
          <w:color w:val="auto"/>
        </w:rPr>
        <w:t>8</w:t>
      </w:r>
      <w:r w:rsidRPr="00D34DB8">
        <w:rPr>
          <w:rFonts w:ascii="Arial" w:hAnsi="Arial" w:cs="Arial"/>
          <w:color w:val="auto"/>
        </w:rPr>
        <w:t xml:space="preserve">, however, this trend was reversed and production on the UKCS increased by </w:t>
      </w:r>
      <w:r w:rsidR="00D346FA">
        <w:rPr>
          <w:rFonts w:ascii="Arial" w:hAnsi="Arial" w:cs="Arial"/>
          <w:color w:val="auto"/>
        </w:rPr>
        <w:t>20</w:t>
      </w:r>
      <w:r w:rsidRPr="00D34DB8">
        <w:rPr>
          <w:rFonts w:ascii="Arial" w:hAnsi="Arial" w:cs="Arial"/>
          <w:color w:val="auto"/>
        </w:rPr>
        <w:t>%</w:t>
      </w:r>
      <w:r w:rsidR="00D346FA">
        <w:rPr>
          <w:rFonts w:ascii="Arial" w:hAnsi="Arial" w:cs="Arial"/>
          <w:color w:val="auto"/>
        </w:rPr>
        <w:t xml:space="preserve"> to 1.7 million </w:t>
      </w:r>
      <w:proofErr w:type="spellStart"/>
      <w:r w:rsidR="00D346FA">
        <w:rPr>
          <w:rFonts w:ascii="Arial" w:hAnsi="Arial" w:cs="Arial"/>
          <w:color w:val="auto"/>
        </w:rPr>
        <w:t>boe</w:t>
      </w:r>
      <w:proofErr w:type="spellEnd"/>
      <w:r w:rsidR="00D346FA">
        <w:rPr>
          <w:rFonts w:ascii="Arial" w:hAnsi="Arial" w:cs="Arial"/>
          <w:color w:val="auto"/>
        </w:rPr>
        <w:t>/day</w:t>
      </w:r>
      <w:r w:rsidRPr="00D34DB8">
        <w:rPr>
          <w:rFonts w:ascii="Arial" w:hAnsi="Arial" w:cs="Arial"/>
          <w:color w:val="auto"/>
        </w:rPr>
        <w:t>.</w:t>
      </w:r>
    </w:p>
    <w:p w14:paraId="41EAA054" w14:textId="7471996C" w:rsidR="005D07F4" w:rsidRDefault="005D07F4" w:rsidP="006B1D4B">
      <w:pPr>
        <w:pStyle w:val="Default"/>
        <w:spacing w:after="180" w:line="276" w:lineRule="auto"/>
        <w:rPr>
          <w:rFonts w:ascii="Arial" w:hAnsi="Arial" w:cs="Arial"/>
          <w:color w:val="auto"/>
        </w:rPr>
      </w:pPr>
      <w:r>
        <w:rPr>
          <w:rFonts w:ascii="Arial" w:hAnsi="Arial" w:cs="Arial"/>
          <w:color w:val="auto"/>
        </w:rPr>
        <w:t>The tables below show BEIS data on the volume and value of UK oil and gas trade and production</w:t>
      </w:r>
      <w:r w:rsidR="00B14E2C">
        <w:rPr>
          <w:rFonts w:ascii="Arial" w:hAnsi="Arial" w:cs="Arial"/>
          <w:color w:val="auto"/>
        </w:rPr>
        <w:t xml:space="preserve"> in recent years</w:t>
      </w:r>
      <w:r>
        <w:rPr>
          <w:rFonts w:ascii="Arial" w:hAnsi="Arial" w:cs="Arial"/>
          <w:color w:val="auto"/>
        </w:rPr>
        <w:t>.</w:t>
      </w:r>
    </w:p>
    <w:p w14:paraId="78D0B1E2" w14:textId="479B637F" w:rsidR="004217C4" w:rsidRPr="00595CB3" w:rsidRDefault="004217C4" w:rsidP="004217C4">
      <w:pPr>
        <w:pStyle w:val="Caption"/>
        <w:keepNext/>
        <w:outlineLvl w:val="0"/>
        <w:rPr>
          <w:rFonts w:ascii="Arial" w:hAnsi="Arial" w:cs="Arial"/>
          <w:sz w:val="22"/>
          <w:szCs w:val="22"/>
        </w:rPr>
      </w:pPr>
      <w:bookmarkStart w:id="5" w:name="_Toc512547334"/>
      <w:r w:rsidRPr="00595CB3">
        <w:rPr>
          <w:rFonts w:ascii="Arial" w:hAnsi="Arial" w:cs="Arial"/>
          <w:sz w:val="22"/>
          <w:szCs w:val="22"/>
        </w:rPr>
        <w:lastRenderedPageBreak/>
        <w:t>Table</w:t>
      </w:r>
      <w:r>
        <w:rPr>
          <w:rFonts w:ascii="Arial" w:hAnsi="Arial" w:cs="Arial"/>
          <w:sz w:val="22"/>
          <w:szCs w:val="22"/>
        </w:rPr>
        <w:t xml:space="preserve"> </w:t>
      </w:r>
      <w:r w:rsidR="00E33BED">
        <w:rPr>
          <w:rFonts w:ascii="Arial" w:hAnsi="Arial" w:cs="Arial"/>
          <w:sz w:val="22"/>
          <w:szCs w:val="22"/>
        </w:rPr>
        <w:t>1</w:t>
      </w:r>
      <w:r w:rsidRPr="00595CB3">
        <w:rPr>
          <w:rFonts w:ascii="Arial" w:hAnsi="Arial" w:cs="Arial"/>
          <w:sz w:val="22"/>
          <w:szCs w:val="22"/>
        </w:rPr>
        <w:t xml:space="preserve">. </w:t>
      </w:r>
      <w:bookmarkEnd w:id="5"/>
    </w:p>
    <w:p w14:paraId="22CBC6AF" w14:textId="21C0AFFD" w:rsidR="00337F8B" w:rsidRPr="00D34DB8" w:rsidRDefault="00337F8B" w:rsidP="00337F8B">
      <w:pPr>
        <w:pStyle w:val="Default"/>
        <w:spacing w:after="180" w:line="276" w:lineRule="auto"/>
        <w:rPr>
          <w:rFonts w:ascii="Arial" w:hAnsi="Arial" w:cs="Arial"/>
          <w:color w:val="auto"/>
        </w:rPr>
      </w:pPr>
      <w:r w:rsidRPr="00337F8B">
        <w:rPr>
          <w:noProof/>
        </w:rPr>
        <w:drawing>
          <wp:inline distT="0" distB="0" distL="0" distR="0" wp14:anchorId="5526D7AD" wp14:editId="4595C880">
            <wp:extent cx="4581525" cy="6657975"/>
            <wp:effectExtent l="0" t="0" r="9525" b="9525"/>
            <wp:docPr id="13" name="Picture 13" descr="Table 1 showing the volume (in million tonnes of oil equivalent) and value (in million pounds) of gross UK exports and imports, net exports and UK production of oil an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6657975"/>
                    </a:xfrm>
                    <a:prstGeom prst="rect">
                      <a:avLst/>
                    </a:prstGeom>
                    <a:noFill/>
                    <a:ln>
                      <a:noFill/>
                    </a:ln>
                  </pic:spPr>
                </pic:pic>
              </a:graphicData>
            </a:graphic>
          </wp:inline>
        </w:drawing>
      </w:r>
    </w:p>
    <w:p w14:paraId="28DDBA9B" w14:textId="33210572" w:rsidR="00B14E2C" w:rsidRPr="00B66EA6" w:rsidRDefault="00B14E2C" w:rsidP="00A118DE">
      <w:pPr>
        <w:pStyle w:val="Default"/>
        <w:keepNext/>
        <w:spacing w:after="180" w:line="276" w:lineRule="auto"/>
        <w:rPr>
          <w:rFonts w:ascii="Times New Roman" w:eastAsia="Times New Roman" w:hAnsi="Times New Roman" w:cs="Times New Roman"/>
          <w:b/>
        </w:rPr>
      </w:pPr>
      <w:r w:rsidRPr="00B66EA6">
        <w:rPr>
          <w:rFonts w:ascii="Arial" w:hAnsi="Arial" w:cs="Arial"/>
          <w:color w:val="auto"/>
        </w:rPr>
        <w:lastRenderedPageBreak/>
        <w:t xml:space="preserve">Domestic production of oil and gas continues to supply around </w:t>
      </w:r>
      <w:r w:rsidR="00D46939">
        <w:rPr>
          <w:rFonts w:ascii="Arial" w:hAnsi="Arial" w:cs="Arial"/>
          <w:color w:val="auto"/>
        </w:rPr>
        <w:t>6</w:t>
      </w:r>
      <w:r w:rsidRPr="00B66EA6">
        <w:rPr>
          <w:rFonts w:ascii="Arial" w:hAnsi="Arial" w:cs="Arial"/>
          <w:color w:val="auto"/>
        </w:rPr>
        <w:t>0% of UK hydrocarbon consumption.</w:t>
      </w:r>
      <w:r w:rsidRPr="000727C9">
        <w:rPr>
          <w:rFonts w:ascii="Arial" w:hAnsi="Arial" w:cs="Arial"/>
          <w:color w:val="auto"/>
        </w:rPr>
        <w:t xml:space="preserve"> </w:t>
      </w:r>
      <w:r w:rsidRPr="00B66EA6">
        <w:rPr>
          <w:rFonts w:ascii="Arial" w:hAnsi="Arial" w:cs="Arial"/>
          <w:color w:val="auto"/>
        </w:rPr>
        <w:t>Net exports (imports) since 1998 are illustrated in Figure</w:t>
      </w:r>
      <w:r>
        <w:rPr>
          <w:rFonts w:ascii="Arial" w:hAnsi="Arial" w:cs="Arial"/>
          <w:color w:val="auto"/>
        </w:rPr>
        <w:t> </w:t>
      </w:r>
      <w:r w:rsidR="00642D42">
        <w:rPr>
          <w:rFonts w:ascii="Arial" w:hAnsi="Arial" w:cs="Arial"/>
          <w:color w:val="auto"/>
        </w:rPr>
        <w:t>5</w:t>
      </w:r>
      <w:r w:rsidRPr="00B66EA6">
        <w:rPr>
          <w:rFonts w:ascii="Arial" w:hAnsi="Arial" w:cs="Arial"/>
          <w:color w:val="auto"/>
        </w:rPr>
        <w:t>.</w:t>
      </w:r>
    </w:p>
    <w:p w14:paraId="5D4C9DAE" w14:textId="14DAB5D7" w:rsidR="00B14E2C" w:rsidRPr="00595CB3" w:rsidRDefault="00B14E2C" w:rsidP="00B14E2C">
      <w:pPr>
        <w:pStyle w:val="Caption"/>
        <w:keepNext/>
        <w:spacing w:before="0" w:line="276" w:lineRule="auto"/>
        <w:outlineLvl w:val="0"/>
        <w:rPr>
          <w:rFonts w:ascii="Arial" w:hAnsi="Arial" w:cs="Arial"/>
          <w:bCs/>
          <w:sz w:val="22"/>
          <w:szCs w:val="22"/>
        </w:rPr>
      </w:pPr>
      <w:r w:rsidRPr="00595CB3">
        <w:rPr>
          <w:rFonts w:ascii="Arial" w:hAnsi="Arial" w:cs="Arial"/>
          <w:sz w:val="22"/>
          <w:szCs w:val="22"/>
        </w:rPr>
        <w:t>Figure</w:t>
      </w:r>
      <w:r>
        <w:rPr>
          <w:rFonts w:ascii="Arial" w:hAnsi="Arial" w:cs="Arial"/>
          <w:sz w:val="22"/>
          <w:szCs w:val="22"/>
        </w:rPr>
        <w:t xml:space="preserve"> </w:t>
      </w:r>
      <w:r w:rsidR="00642D42">
        <w:rPr>
          <w:rFonts w:ascii="Arial" w:hAnsi="Arial" w:cs="Arial"/>
          <w:sz w:val="22"/>
          <w:szCs w:val="22"/>
        </w:rPr>
        <w:t>5</w:t>
      </w:r>
      <w:r w:rsidRPr="00595CB3">
        <w:rPr>
          <w:rFonts w:ascii="Arial" w:hAnsi="Arial" w:cs="Arial"/>
          <w:bCs/>
          <w:sz w:val="22"/>
          <w:szCs w:val="22"/>
        </w:rPr>
        <w:t>. Volume and value of net UK oil and gas exports (imports)</w:t>
      </w:r>
      <w:r w:rsidRPr="00595CB3">
        <w:rPr>
          <w:rFonts w:ascii="Arial" w:hAnsi="Arial" w:cs="Arial"/>
          <w:sz w:val="22"/>
          <w:szCs w:val="22"/>
          <w:vertAlign w:val="superscript"/>
        </w:rPr>
        <w:footnoteReference w:id="10"/>
      </w:r>
    </w:p>
    <w:p w14:paraId="5F4A0017" w14:textId="77777777" w:rsidR="00B14E2C" w:rsidRPr="00595CB3" w:rsidRDefault="00B14E2C" w:rsidP="00B14E2C">
      <w:pPr>
        <w:pStyle w:val="Default"/>
        <w:keepNext/>
        <w:spacing w:after="120" w:line="276" w:lineRule="auto"/>
        <w:rPr>
          <w:rFonts w:ascii="Arial" w:hAnsi="Arial" w:cs="Arial"/>
          <w:sz w:val="22"/>
          <w:szCs w:val="22"/>
        </w:rPr>
      </w:pPr>
      <w:r w:rsidRPr="00303DE9">
        <w:rPr>
          <w:noProof/>
        </w:rPr>
        <w:drawing>
          <wp:inline distT="0" distB="0" distL="0" distR="0" wp14:anchorId="4F1CC36E" wp14:editId="5D13DAF8">
            <wp:extent cx="5732145" cy="3136265"/>
            <wp:effectExtent l="0" t="0" r="1905" b="6985"/>
            <wp:docPr id="29" name="Picture 29" descr="Figure 4 showing the volume (in million tonnes of oil equivalent) and value (in billion pounds 2018 prices) of net UK oil and gas exports (imports) for the years 1998-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3136265"/>
                    </a:xfrm>
                    <a:prstGeom prst="rect">
                      <a:avLst/>
                    </a:prstGeom>
                    <a:noFill/>
                    <a:ln>
                      <a:noFill/>
                    </a:ln>
                  </pic:spPr>
                </pic:pic>
              </a:graphicData>
            </a:graphic>
          </wp:inline>
        </w:drawing>
      </w:r>
    </w:p>
    <w:p w14:paraId="34F25111" w14:textId="77777777" w:rsidR="00B14E2C" w:rsidRPr="000E1489" w:rsidRDefault="00B14E2C" w:rsidP="00B14E2C">
      <w:pPr>
        <w:pStyle w:val="Default"/>
        <w:spacing w:after="180" w:line="276" w:lineRule="auto"/>
        <w:rPr>
          <w:rFonts w:ascii="Arial" w:hAnsi="Arial" w:cs="Arial"/>
          <w:sz w:val="16"/>
          <w:szCs w:val="16"/>
        </w:rPr>
      </w:pPr>
      <w:r w:rsidRPr="000E1489">
        <w:rPr>
          <w:rFonts w:ascii="Arial" w:hAnsi="Arial" w:cs="Arial"/>
          <w:sz w:val="16"/>
          <w:szCs w:val="16"/>
        </w:rPr>
        <w:t>Source: Digest of UK Energy Statistics 201</w:t>
      </w:r>
      <w:r>
        <w:rPr>
          <w:rFonts w:ascii="Arial" w:hAnsi="Arial" w:cs="Arial"/>
          <w:sz w:val="16"/>
          <w:szCs w:val="16"/>
        </w:rPr>
        <w:t>9</w:t>
      </w:r>
      <w:r w:rsidRPr="000E1489">
        <w:rPr>
          <w:rFonts w:ascii="Arial" w:hAnsi="Arial" w:cs="Arial"/>
          <w:sz w:val="16"/>
          <w:szCs w:val="16"/>
        </w:rPr>
        <w:t>.</w:t>
      </w:r>
    </w:p>
    <w:p w14:paraId="4BDCFF46" w14:textId="77777777" w:rsidR="00674CB2" w:rsidRDefault="00674CB2" w:rsidP="00674CB2">
      <w:pPr>
        <w:keepNext/>
        <w:spacing w:before="120" w:after="180" w:line="276" w:lineRule="auto"/>
        <w:rPr>
          <w:iCs/>
          <w:szCs w:val="24"/>
        </w:rPr>
      </w:pPr>
      <w:bookmarkStart w:id="6" w:name="_Toc512547341"/>
      <w:r w:rsidRPr="003B611B">
        <w:rPr>
          <w:iCs/>
          <w:szCs w:val="24"/>
        </w:rPr>
        <w:t xml:space="preserve">The </w:t>
      </w:r>
      <w:r>
        <w:rPr>
          <w:iCs/>
          <w:szCs w:val="24"/>
        </w:rPr>
        <w:t>two charts below show, respectively, the destinations of UK oil production and the sources of UK oil supply. Most UK oil production is exported and most UK refinery supply comes from imports.</w:t>
      </w:r>
    </w:p>
    <w:p w14:paraId="7839FE3D" w14:textId="0AC8FE1C" w:rsidR="00674CB2" w:rsidRPr="00595CB3" w:rsidRDefault="00674CB2" w:rsidP="00D46939">
      <w:pPr>
        <w:pStyle w:val="Caption"/>
        <w:keepNext/>
        <w:spacing w:before="0" w:line="276" w:lineRule="auto"/>
        <w:outlineLvl w:val="0"/>
        <w:rPr>
          <w:rFonts w:ascii="Arial" w:hAnsi="Arial" w:cs="Arial"/>
          <w:bCs/>
          <w:sz w:val="22"/>
          <w:szCs w:val="22"/>
        </w:rPr>
      </w:pPr>
      <w:r w:rsidRPr="00595CB3">
        <w:rPr>
          <w:rFonts w:ascii="Arial" w:hAnsi="Arial" w:cs="Arial"/>
          <w:sz w:val="22"/>
          <w:szCs w:val="22"/>
        </w:rPr>
        <w:t>Figure</w:t>
      </w:r>
      <w:r>
        <w:rPr>
          <w:rFonts w:ascii="Arial" w:hAnsi="Arial" w:cs="Arial"/>
          <w:sz w:val="22"/>
          <w:szCs w:val="22"/>
        </w:rPr>
        <w:t>s</w:t>
      </w:r>
      <w:r w:rsidRPr="00595CB3">
        <w:rPr>
          <w:rFonts w:ascii="Arial" w:hAnsi="Arial" w:cs="Arial"/>
          <w:sz w:val="22"/>
          <w:szCs w:val="22"/>
        </w:rPr>
        <w:t xml:space="preserve"> </w:t>
      </w:r>
      <w:r w:rsidR="00642D42">
        <w:rPr>
          <w:rFonts w:ascii="Arial" w:hAnsi="Arial" w:cs="Arial"/>
          <w:sz w:val="22"/>
          <w:szCs w:val="22"/>
        </w:rPr>
        <w:t xml:space="preserve">6 </w:t>
      </w:r>
      <w:r>
        <w:rPr>
          <w:rFonts w:ascii="Arial" w:hAnsi="Arial" w:cs="Arial"/>
          <w:sz w:val="22"/>
          <w:szCs w:val="22"/>
        </w:rPr>
        <w:t xml:space="preserve">and </w:t>
      </w:r>
      <w:r w:rsidR="00642D42">
        <w:rPr>
          <w:rFonts w:ascii="Arial" w:hAnsi="Arial" w:cs="Arial"/>
          <w:sz w:val="22"/>
          <w:szCs w:val="22"/>
        </w:rPr>
        <w:t>7</w:t>
      </w:r>
      <w:r w:rsidRPr="00595CB3">
        <w:rPr>
          <w:rFonts w:ascii="Arial" w:hAnsi="Arial" w:cs="Arial"/>
          <w:sz w:val="22"/>
          <w:szCs w:val="22"/>
        </w:rPr>
        <w:t xml:space="preserve">. </w:t>
      </w:r>
      <w:r w:rsidRPr="00595CB3">
        <w:rPr>
          <w:rFonts w:ascii="Arial" w:hAnsi="Arial" w:cs="Arial"/>
          <w:bCs/>
          <w:sz w:val="22"/>
          <w:szCs w:val="22"/>
        </w:rPr>
        <w:t>Destination</w:t>
      </w:r>
      <w:r>
        <w:rPr>
          <w:rFonts w:ascii="Arial" w:hAnsi="Arial" w:cs="Arial"/>
          <w:bCs/>
          <w:sz w:val="22"/>
          <w:szCs w:val="22"/>
        </w:rPr>
        <w:t>s</w:t>
      </w:r>
      <w:r w:rsidRPr="00595CB3">
        <w:rPr>
          <w:rFonts w:ascii="Arial" w:hAnsi="Arial" w:cs="Arial"/>
          <w:bCs/>
          <w:sz w:val="22"/>
          <w:szCs w:val="22"/>
        </w:rPr>
        <w:t xml:space="preserve"> of UK oil production and sources of UK oil supply, 201</w:t>
      </w:r>
      <w:r>
        <w:rPr>
          <w:rFonts w:ascii="Arial" w:hAnsi="Arial" w:cs="Arial"/>
          <w:bCs/>
          <w:sz w:val="22"/>
          <w:szCs w:val="22"/>
        </w:rPr>
        <w:t>8</w:t>
      </w:r>
      <w:r w:rsidRPr="00595CB3">
        <w:rPr>
          <w:rStyle w:val="FootnoteReference"/>
          <w:rFonts w:ascii="Arial" w:hAnsi="Arial" w:cs="Arial"/>
          <w:bCs/>
          <w:sz w:val="22"/>
          <w:szCs w:val="22"/>
        </w:rPr>
        <w:footnoteReference w:id="11"/>
      </w:r>
      <w:bookmarkEnd w:id="6"/>
    </w:p>
    <w:p w14:paraId="702DEA54" w14:textId="02B4B367" w:rsidR="00674CB2" w:rsidRDefault="00674CB2" w:rsidP="00674CB2">
      <w:pPr>
        <w:pStyle w:val="Default"/>
        <w:spacing w:before="120" w:after="180" w:line="276" w:lineRule="auto"/>
        <w:rPr>
          <w:rFonts w:ascii="Arial" w:eastAsiaTheme="minorHAnsi" w:hAnsi="Arial" w:cs="Arial"/>
          <w:iCs/>
          <w:color w:val="auto"/>
          <w:sz w:val="18"/>
          <w:szCs w:val="18"/>
        </w:rPr>
      </w:pPr>
    </w:p>
    <w:p w14:paraId="2C838191" w14:textId="0F283527" w:rsidR="00674CB2" w:rsidRDefault="00C456B3" w:rsidP="00D46939">
      <w:pPr>
        <w:pStyle w:val="Default"/>
        <w:keepNext/>
        <w:spacing w:before="120" w:after="180" w:line="276" w:lineRule="auto"/>
        <w:rPr>
          <w:rFonts w:ascii="Arial" w:eastAsiaTheme="minorHAnsi" w:hAnsi="Arial" w:cs="Arial"/>
          <w:iCs/>
          <w:color w:val="auto"/>
          <w:sz w:val="18"/>
          <w:szCs w:val="18"/>
        </w:rPr>
      </w:pPr>
      <w:r>
        <w:rPr>
          <w:noProof/>
        </w:rPr>
        <w:lastRenderedPageBreak/>
        <w:drawing>
          <wp:inline distT="0" distB="0" distL="0" distR="0" wp14:anchorId="148BC9CD" wp14:editId="51C96C87">
            <wp:extent cx="5731510" cy="3172460"/>
            <wp:effectExtent l="0" t="0" r="254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72460"/>
                    </a:xfrm>
                    <a:prstGeom prst="rect">
                      <a:avLst/>
                    </a:prstGeom>
                    <a:noFill/>
                    <a:ln>
                      <a:noFill/>
                    </a:ln>
                  </pic:spPr>
                </pic:pic>
              </a:graphicData>
            </a:graphic>
          </wp:inline>
        </w:drawing>
      </w:r>
    </w:p>
    <w:p w14:paraId="2D345895" w14:textId="49CBC6BF" w:rsidR="00AB3EF9" w:rsidRDefault="00AB3EF9" w:rsidP="00D46939">
      <w:pPr>
        <w:pStyle w:val="Default"/>
        <w:keepNext/>
        <w:spacing w:before="120" w:after="180" w:line="276" w:lineRule="auto"/>
        <w:rPr>
          <w:rFonts w:ascii="Arial" w:eastAsiaTheme="minorHAnsi" w:hAnsi="Arial" w:cs="Arial"/>
          <w:iCs/>
          <w:color w:val="auto"/>
          <w:sz w:val="18"/>
          <w:szCs w:val="18"/>
        </w:rPr>
      </w:pPr>
    </w:p>
    <w:p w14:paraId="3EA6CAE2" w14:textId="2AF6F2D5" w:rsidR="005C06F5" w:rsidRDefault="005C06F5" w:rsidP="00D46939">
      <w:pPr>
        <w:pStyle w:val="Default"/>
        <w:keepNext/>
        <w:spacing w:before="120" w:after="180" w:line="276" w:lineRule="auto"/>
        <w:rPr>
          <w:rFonts w:ascii="Arial" w:eastAsiaTheme="minorHAnsi" w:hAnsi="Arial" w:cs="Arial"/>
          <w:iCs/>
          <w:color w:val="auto"/>
          <w:sz w:val="18"/>
          <w:szCs w:val="18"/>
        </w:rPr>
      </w:pPr>
      <w:r>
        <w:rPr>
          <w:noProof/>
        </w:rPr>
        <w:drawing>
          <wp:inline distT="0" distB="0" distL="0" distR="0" wp14:anchorId="5ECE9AD6" wp14:editId="3716EC31">
            <wp:extent cx="5731510" cy="3172460"/>
            <wp:effectExtent l="0" t="0" r="2540"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172460"/>
                    </a:xfrm>
                    <a:prstGeom prst="rect">
                      <a:avLst/>
                    </a:prstGeom>
                    <a:noFill/>
                    <a:ln>
                      <a:noFill/>
                    </a:ln>
                  </pic:spPr>
                </pic:pic>
              </a:graphicData>
            </a:graphic>
          </wp:inline>
        </w:drawing>
      </w:r>
    </w:p>
    <w:p w14:paraId="3AA1A392" w14:textId="0818DA88" w:rsidR="000C30A9" w:rsidRPr="007362D5" w:rsidRDefault="00674CB2" w:rsidP="000C30A9">
      <w:pPr>
        <w:rPr>
          <w:sz w:val="18"/>
          <w:szCs w:val="18"/>
        </w:rPr>
      </w:pPr>
      <w:r w:rsidRPr="00C41EA5">
        <w:rPr>
          <w:iCs/>
          <w:sz w:val="18"/>
          <w:szCs w:val="18"/>
        </w:rPr>
        <w:t>Source</w:t>
      </w:r>
      <w:r>
        <w:rPr>
          <w:iCs/>
          <w:sz w:val="18"/>
          <w:szCs w:val="18"/>
        </w:rPr>
        <w:t>s</w:t>
      </w:r>
      <w:r w:rsidRPr="00C41EA5">
        <w:rPr>
          <w:iCs/>
          <w:sz w:val="18"/>
          <w:szCs w:val="18"/>
        </w:rPr>
        <w:t>:</w:t>
      </w:r>
      <w:r w:rsidR="000C30A9" w:rsidRPr="000C30A9">
        <w:t xml:space="preserve"> </w:t>
      </w:r>
      <w:r w:rsidR="000C30A9" w:rsidRPr="007362D5">
        <w:rPr>
          <w:sz w:val="18"/>
          <w:szCs w:val="18"/>
        </w:rPr>
        <w:t>BEIS (DUKES 2019, July 2019, and Energy Trends, November 2019).</w:t>
      </w:r>
    </w:p>
    <w:p w14:paraId="4C0E64A0" w14:textId="2AFDCEDB" w:rsidR="00674CB2" w:rsidRPr="00C41EA5" w:rsidRDefault="00674CB2" w:rsidP="00674CB2">
      <w:pPr>
        <w:pStyle w:val="Default"/>
        <w:spacing w:before="120" w:after="180" w:line="276" w:lineRule="auto"/>
        <w:rPr>
          <w:rFonts w:ascii="Arial" w:eastAsiaTheme="minorHAnsi" w:hAnsi="Arial" w:cs="Arial"/>
          <w:iCs/>
          <w:color w:val="auto"/>
          <w:sz w:val="18"/>
          <w:szCs w:val="18"/>
        </w:rPr>
      </w:pPr>
    </w:p>
    <w:p w14:paraId="5F373CDE" w14:textId="77777777" w:rsidR="00674CB2" w:rsidRPr="003B611B" w:rsidRDefault="00674CB2" w:rsidP="00674CB2">
      <w:pPr>
        <w:keepNext/>
        <w:spacing w:before="120" w:after="180" w:line="276" w:lineRule="auto"/>
        <w:rPr>
          <w:iCs/>
          <w:szCs w:val="24"/>
        </w:rPr>
      </w:pPr>
      <w:bookmarkStart w:id="7" w:name="_Toc512547343"/>
      <w:r>
        <w:rPr>
          <w:iCs/>
          <w:szCs w:val="24"/>
        </w:rPr>
        <w:t xml:space="preserve">The two charts below show the sources of UK natural gas supply. The same data are included in both charts, the difference being the first shows annual data while the second shows monthly data, revealing the strong seasonal changes in levels of </w:t>
      </w:r>
      <w:r>
        <w:rPr>
          <w:iCs/>
          <w:szCs w:val="24"/>
        </w:rPr>
        <w:lastRenderedPageBreak/>
        <w:t>demand and sources of supply. Even on an annual basis the sources of supply can change quickly and significantly.</w:t>
      </w:r>
    </w:p>
    <w:p w14:paraId="6526FC52" w14:textId="4A81F877" w:rsidR="00674CB2" w:rsidRPr="00595CB3" w:rsidRDefault="00674CB2" w:rsidP="00674CB2">
      <w:pPr>
        <w:pStyle w:val="Caption"/>
        <w:keepNext/>
        <w:spacing w:before="0" w:line="276" w:lineRule="auto"/>
        <w:outlineLvl w:val="0"/>
        <w:rPr>
          <w:rFonts w:ascii="Arial" w:hAnsi="Arial" w:cs="Arial"/>
          <w:bCs/>
          <w:sz w:val="22"/>
          <w:szCs w:val="22"/>
        </w:rPr>
      </w:pPr>
      <w:r w:rsidRPr="00595CB3">
        <w:rPr>
          <w:rFonts w:ascii="Arial" w:hAnsi="Arial" w:cs="Arial"/>
          <w:sz w:val="22"/>
          <w:szCs w:val="22"/>
        </w:rPr>
        <w:t xml:space="preserve">Figure </w:t>
      </w:r>
      <w:r w:rsidR="00966D5C">
        <w:rPr>
          <w:rFonts w:ascii="Arial" w:hAnsi="Arial" w:cs="Arial"/>
          <w:sz w:val="22"/>
          <w:szCs w:val="22"/>
        </w:rPr>
        <w:t>8</w:t>
      </w:r>
      <w:r w:rsidRPr="00595CB3">
        <w:rPr>
          <w:rFonts w:ascii="Arial" w:hAnsi="Arial" w:cs="Arial"/>
          <w:sz w:val="22"/>
          <w:szCs w:val="22"/>
        </w:rPr>
        <w:t xml:space="preserve">. </w:t>
      </w:r>
      <w:r w:rsidRPr="00595CB3">
        <w:rPr>
          <w:rFonts w:ascii="Arial" w:hAnsi="Arial" w:cs="Arial"/>
          <w:bCs/>
          <w:sz w:val="22"/>
          <w:szCs w:val="22"/>
        </w:rPr>
        <w:t xml:space="preserve">Sources of </w:t>
      </w:r>
      <w:r>
        <w:rPr>
          <w:rFonts w:ascii="Arial" w:hAnsi="Arial" w:cs="Arial"/>
          <w:bCs/>
          <w:sz w:val="22"/>
          <w:szCs w:val="22"/>
        </w:rPr>
        <w:t xml:space="preserve">annual </w:t>
      </w:r>
      <w:r w:rsidRPr="00595CB3">
        <w:rPr>
          <w:rFonts w:ascii="Arial" w:hAnsi="Arial" w:cs="Arial"/>
          <w:bCs/>
          <w:sz w:val="22"/>
          <w:szCs w:val="22"/>
        </w:rPr>
        <w:t>UK gas supply</w:t>
      </w:r>
      <w:r w:rsidRPr="00595CB3">
        <w:rPr>
          <w:rStyle w:val="FootnoteReference"/>
          <w:rFonts w:ascii="Arial" w:hAnsi="Arial" w:cs="Arial"/>
          <w:sz w:val="22"/>
          <w:szCs w:val="22"/>
        </w:rPr>
        <w:footnoteReference w:id="12"/>
      </w:r>
      <w:bookmarkEnd w:id="7"/>
    </w:p>
    <w:p w14:paraId="23AAB04E" w14:textId="3C8439EC" w:rsidR="00674CB2" w:rsidRDefault="00674CB2" w:rsidP="00674CB2">
      <w:pPr>
        <w:pStyle w:val="Default"/>
        <w:spacing w:after="180" w:line="276" w:lineRule="auto"/>
        <w:rPr>
          <w:rFonts w:ascii="Arial" w:eastAsiaTheme="minorHAnsi" w:hAnsi="Arial" w:cs="Arial"/>
          <w:iCs/>
          <w:color w:val="auto"/>
          <w:sz w:val="18"/>
          <w:szCs w:val="18"/>
        </w:rPr>
      </w:pPr>
    </w:p>
    <w:p w14:paraId="663A63FF" w14:textId="0DEC00B1" w:rsidR="00674CB2" w:rsidRDefault="00674CB2" w:rsidP="00674CB2">
      <w:pPr>
        <w:pStyle w:val="Default"/>
        <w:spacing w:after="180" w:line="276" w:lineRule="auto"/>
        <w:rPr>
          <w:rFonts w:ascii="Arial" w:eastAsiaTheme="minorHAnsi" w:hAnsi="Arial" w:cs="Arial"/>
          <w:iCs/>
          <w:color w:val="auto"/>
          <w:sz w:val="18"/>
          <w:szCs w:val="18"/>
        </w:rPr>
      </w:pPr>
      <w:r w:rsidRPr="00595CB3">
        <w:rPr>
          <w:rFonts w:ascii="Arial" w:eastAsiaTheme="minorHAnsi" w:hAnsi="Arial" w:cs="Arial"/>
          <w:iCs/>
          <w:color w:val="auto"/>
          <w:sz w:val="18"/>
          <w:szCs w:val="18"/>
        </w:rPr>
        <w:t>Source: Energy Trends Tables 4.2 and 4.3,</w:t>
      </w:r>
      <w:r>
        <w:rPr>
          <w:rFonts w:ascii="Arial" w:eastAsiaTheme="minorHAnsi" w:hAnsi="Arial" w:cs="Arial"/>
          <w:iCs/>
          <w:color w:val="auto"/>
          <w:sz w:val="18"/>
          <w:szCs w:val="18"/>
        </w:rPr>
        <w:t xml:space="preserve"> </w:t>
      </w:r>
      <w:r w:rsidR="002E7BB9">
        <w:rPr>
          <w:rFonts w:ascii="Arial" w:eastAsiaTheme="minorHAnsi" w:hAnsi="Arial" w:cs="Arial"/>
          <w:iCs/>
          <w:color w:val="auto"/>
          <w:sz w:val="18"/>
          <w:szCs w:val="18"/>
        </w:rPr>
        <w:t xml:space="preserve">November </w:t>
      </w:r>
      <w:r>
        <w:rPr>
          <w:rFonts w:ascii="Arial" w:eastAsiaTheme="minorHAnsi" w:hAnsi="Arial" w:cs="Arial"/>
          <w:iCs/>
          <w:color w:val="auto"/>
          <w:sz w:val="18"/>
          <w:szCs w:val="18"/>
        </w:rPr>
        <w:t>2019</w:t>
      </w:r>
      <w:r w:rsidRPr="00595CB3">
        <w:rPr>
          <w:rFonts w:ascii="Arial" w:eastAsiaTheme="minorHAnsi" w:hAnsi="Arial" w:cs="Arial"/>
          <w:iCs/>
          <w:color w:val="auto"/>
          <w:sz w:val="18"/>
          <w:szCs w:val="18"/>
        </w:rPr>
        <w:t>.</w:t>
      </w:r>
    </w:p>
    <w:p w14:paraId="29B2E21C" w14:textId="651908E2" w:rsidR="00C00409" w:rsidRDefault="00C00409" w:rsidP="00674CB2">
      <w:pPr>
        <w:pStyle w:val="Default"/>
        <w:spacing w:after="180" w:line="276" w:lineRule="auto"/>
        <w:rPr>
          <w:rFonts w:ascii="Arial" w:eastAsiaTheme="minorHAnsi" w:hAnsi="Arial" w:cs="Arial"/>
          <w:iCs/>
          <w:color w:val="auto"/>
          <w:sz w:val="18"/>
          <w:szCs w:val="18"/>
        </w:rPr>
      </w:pPr>
      <w:r>
        <w:rPr>
          <w:noProof/>
        </w:rPr>
        <w:drawing>
          <wp:inline distT="0" distB="0" distL="0" distR="0" wp14:anchorId="0C76AC6B" wp14:editId="525D4F0B">
            <wp:extent cx="5732145" cy="3413760"/>
            <wp:effectExtent l="0" t="0" r="1905" b="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9" cstate="print">
                      <a:extLst>
                        <a:ext uri="{28A0092B-C50C-407E-A947-70E740481C1C}">
                          <a14:useLocalDpi xmlns:a14="http://schemas.microsoft.com/office/drawing/2010/main" val="0"/>
                        </a:ext>
                      </a:extLst>
                    </a:blip>
                    <a:srcRect t="8652"/>
                    <a:stretch/>
                  </pic:blipFill>
                  <pic:spPr bwMode="auto">
                    <a:xfrm>
                      <a:off x="0" y="0"/>
                      <a:ext cx="5732145" cy="3413760"/>
                    </a:xfrm>
                    <a:prstGeom prst="rect">
                      <a:avLst/>
                    </a:prstGeom>
                    <a:noFill/>
                    <a:ln>
                      <a:noFill/>
                    </a:ln>
                    <a:extLst>
                      <a:ext uri="{53640926-AAD7-44D8-BBD7-CCE9431645EC}">
                        <a14:shadowObscured xmlns:a14="http://schemas.microsoft.com/office/drawing/2010/main"/>
                      </a:ext>
                    </a:extLst>
                  </pic:spPr>
                </pic:pic>
              </a:graphicData>
            </a:graphic>
          </wp:inline>
        </w:drawing>
      </w:r>
    </w:p>
    <w:p w14:paraId="691B084C" w14:textId="4FB91D62" w:rsidR="00674CB2" w:rsidRPr="00595CB3" w:rsidRDefault="00674CB2" w:rsidP="00674CB2">
      <w:pPr>
        <w:pStyle w:val="Caption"/>
        <w:keepNext/>
        <w:spacing w:before="0" w:line="276" w:lineRule="auto"/>
        <w:outlineLvl w:val="0"/>
        <w:rPr>
          <w:rFonts w:ascii="Arial" w:hAnsi="Arial" w:cs="Arial"/>
          <w:bCs/>
          <w:sz w:val="22"/>
          <w:szCs w:val="22"/>
        </w:rPr>
      </w:pPr>
      <w:bookmarkStart w:id="8" w:name="_Toc512547342"/>
      <w:r w:rsidRPr="00595CB3">
        <w:rPr>
          <w:rFonts w:ascii="Arial" w:hAnsi="Arial" w:cs="Arial"/>
          <w:sz w:val="22"/>
          <w:szCs w:val="22"/>
        </w:rPr>
        <w:t xml:space="preserve">Figure </w:t>
      </w:r>
      <w:r w:rsidR="00966D5C">
        <w:rPr>
          <w:rFonts w:ascii="Arial" w:hAnsi="Arial" w:cs="Arial"/>
          <w:sz w:val="22"/>
          <w:szCs w:val="22"/>
        </w:rPr>
        <w:t>9</w:t>
      </w:r>
      <w:r w:rsidRPr="00595CB3">
        <w:rPr>
          <w:rFonts w:ascii="Arial" w:hAnsi="Arial" w:cs="Arial"/>
          <w:sz w:val="22"/>
          <w:szCs w:val="22"/>
        </w:rPr>
        <w:t xml:space="preserve">. </w:t>
      </w:r>
      <w:r>
        <w:rPr>
          <w:rFonts w:ascii="Arial" w:hAnsi="Arial" w:cs="Arial"/>
          <w:sz w:val="22"/>
          <w:szCs w:val="22"/>
        </w:rPr>
        <w:t xml:space="preserve">Sources of </w:t>
      </w:r>
      <w:r w:rsidRPr="00595CB3">
        <w:rPr>
          <w:rFonts w:ascii="Arial" w:hAnsi="Arial" w:cs="Arial"/>
          <w:bCs/>
          <w:sz w:val="22"/>
          <w:szCs w:val="22"/>
        </w:rPr>
        <w:t xml:space="preserve">monthly </w:t>
      </w:r>
      <w:r>
        <w:rPr>
          <w:rFonts w:ascii="Arial" w:hAnsi="Arial" w:cs="Arial"/>
          <w:bCs/>
          <w:sz w:val="22"/>
          <w:szCs w:val="22"/>
        </w:rPr>
        <w:t xml:space="preserve">UK </w:t>
      </w:r>
      <w:r w:rsidRPr="00595CB3">
        <w:rPr>
          <w:rFonts w:ascii="Arial" w:hAnsi="Arial" w:cs="Arial"/>
          <w:bCs/>
          <w:sz w:val="22"/>
          <w:szCs w:val="22"/>
        </w:rPr>
        <w:t>gas supply</w:t>
      </w:r>
      <w:r w:rsidRPr="00595CB3">
        <w:rPr>
          <w:rStyle w:val="FootnoteReference"/>
          <w:rFonts w:ascii="Arial" w:hAnsi="Arial" w:cs="Arial"/>
          <w:sz w:val="22"/>
          <w:szCs w:val="22"/>
        </w:rPr>
        <w:footnoteReference w:id="13"/>
      </w:r>
      <w:bookmarkEnd w:id="8"/>
    </w:p>
    <w:p w14:paraId="4D1A4392" w14:textId="49A81B35" w:rsidR="00674CB2" w:rsidRDefault="00674CB2" w:rsidP="00674CB2">
      <w:pPr>
        <w:pStyle w:val="Default"/>
        <w:spacing w:after="180" w:line="276" w:lineRule="auto"/>
        <w:rPr>
          <w:rFonts w:ascii="Arial" w:eastAsiaTheme="minorHAnsi" w:hAnsi="Arial" w:cs="Arial"/>
          <w:iCs/>
          <w:color w:val="auto"/>
          <w:sz w:val="18"/>
          <w:szCs w:val="18"/>
        </w:rPr>
      </w:pPr>
    </w:p>
    <w:p w14:paraId="039F0A77" w14:textId="68468B1D" w:rsidR="00674CB2" w:rsidRDefault="00674CB2" w:rsidP="00674CB2">
      <w:pPr>
        <w:pStyle w:val="Default"/>
        <w:spacing w:after="180" w:line="276" w:lineRule="auto"/>
        <w:rPr>
          <w:rFonts w:ascii="Arial" w:eastAsiaTheme="minorHAnsi" w:hAnsi="Arial" w:cs="Arial"/>
          <w:iCs/>
          <w:color w:val="auto"/>
          <w:sz w:val="18"/>
          <w:szCs w:val="18"/>
        </w:rPr>
      </w:pPr>
      <w:r w:rsidRPr="00595CB3">
        <w:rPr>
          <w:rFonts w:ascii="Arial" w:eastAsiaTheme="minorHAnsi" w:hAnsi="Arial" w:cs="Arial"/>
          <w:iCs/>
          <w:color w:val="auto"/>
          <w:sz w:val="18"/>
          <w:szCs w:val="18"/>
        </w:rPr>
        <w:t>Source: Energy Trends Tables 4.2 and 4.3,</w:t>
      </w:r>
      <w:r>
        <w:rPr>
          <w:rFonts w:ascii="Arial" w:eastAsiaTheme="minorHAnsi" w:hAnsi="Arial" w:cs="Arial"/>
          <w:iCs/>
          <w:color w:val="auto"/>
          <w:sz w:val="18"/>
          <w:szCs w:val="18"/>
        </w:rPr>
        <w:t xml:space="preserve"> </w:t>
      </w:r>
      <w:r w:rsidR="002E7BB9">
        <w:rPr>
          <w:rFonts w:ascii="Arial" w:eastAsiaTheme="minorHAnsi" w:hAnsi="Arial" w:cs="Arial"/>
          <w:iCs/>
          <w:color w:val="auto"/>
          <w:sz w:val="18"/>
          <w:szCs w:val="18"/>
        </w:rPr>
        <w:t xml:space="preserve">November </w:t>
      </w:r>
      <w:r>
        <w:rPr>
          <w:rFonts w:ascii="Arial" w:eastAsiaTheme="minorHAnsi" w:hAnsi="Arial" w:cs="Arial"/>
          <w:iCs/>
          <w:color w:val="auto"/>
          <w:sz w:val="18"/>
          <w:szCs w:val="18"/>
        </w:rPr>
        <w:t>2019</w:t>
      </w:r>
      <w:r w:rsidRPr="00595CB3">
        <w:rPr>
          <w:rFonts w:ascii="Arial" w:eastAsiaTheme="minorHAnsi" w:hAnsi="Arial" w:cs="Arial"/>
          <w:iCs/>
          <w:color w:val="auto"/>
          <w:sz w:val="18"/>
          <w:szCs w:val="18"/>
        </w:rPr>
        <w:t>.</w:t>
      </w:r>
    </w:p>
    <w:p w14:paraId="184831BE" w14:textId="438A8624" w:rsidR="00C00409" w:rsidRPr="00595CB3" w:rsidRDefault="0035243E" w:rsidP="00674CB2">
      <w:pPr>
        <w:pStyle w:val="Default"/>
        <w:spacing w:after="180" w:line="276" w:lineRule="auto"/>
        <w:rPr>
          <w:rFonts w:ascii="Arial" w:eastAsiaTheme="minorHAnsi" w:hAnsi="Arial" w:cs="Arial"/>
          <w:iCs/>
          <w:color w:val="auto"/>
          <w:sz w:val="18"/>
          <w:szCs w:val="18"/>
        </w:rPr>
      </w:pPr>
      <w:r>
        <w:rPr>
          <w:noProof/>
        </w:rPr>
        <w:lastRenderedPageBreak/>
        <w:drawing>
          <wp:inline distT="0" distB="0" distL="0" distR="0" wp14:anchorId="3448FC5A" wp14:editId="6F05EA66">
            <wp:extent cx="5697220" cy="3458210"/>
            <wp:effectExtent l="0" t="0" r="0" b="8890"/>
            <wp:docPr id="14" name="Picture 1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0" cstate="print">
                      <a:extLst>
                        <a:ext uri="{28A0092B-C50C-407E-A947-70E740481C1C}">
                          <a14:useLocalDpi xmlns:a14="http://schemas.microsoft.com/office/drawing/2010/main" val="0"/>
                        </a:ext>
                      </a:extLst>
                    </a:blip>
                    <a:srcRect t="6922"/>
                    <a:stretch/>
                  </pic:blipFill>
                  <pic:spPr bwMode="auto">
                    <a:xfrm>
                      <a:off x="0" y="0"/>
                      <a:ext cx="5697220" cy="3458210"/>
                    </a:xfrm>
                    <a:prstGeom prst="rect">
                      <a:avLst/>
                    </a:prstGeom>
                    <a:noFill/>
                    <a:ln>
                      <a:noFill/>
                    </a:ln>
                    <a:extLst>
                      <a:ext uri="{53640926-AAD7-44D8-BBD7-CCE9431645EC}">
                        <a14:shadowObscured xmlns:a14="http://schemas.microsoft.com/office/drawing/2010/main"/>
                      </a:ext>
                    </a:extLst>
                  </pic:spPr>
                </pic:pic>
              </a:graphicData>
            </a:graphic>
          </wp:inline>
        </w:drawing>
      </w:r>
    </w:p>
    <w:p w14:paraId="057891DE" w14:textId="7C48B29A" w:rsidR="00641701" w:rsidRPr="00D34DB8" w:rsidRDefault="00641701" w:rsidP="00A118DE">
      <w:pPr>
        <w:pStyle w:val="Default"/>
        <w:keepNext/>
        <w:spacing w:after="180" w:line="276" w:lineRule="auto"/>
        <w:rPr>
          <w:rFonts w:ascii="Arial" w:hAnsi="Arial" w:cs="Arial"/>
          <w:color w:val="auto"/>
        </w:rPr>
      </w:pPr>
      <w:r w:rsidRPr="00D34DB8">
        <w:rPr>
          <w:rFonts w:ascii="Arial" w:hAnsi="Arial" w:cs="Arial"/>
          <w:color w:val="auto"/>
        </w:rPr>
        <w:t xml:space="preserve">Figure </w:t>
      </w:r>
      <w:r w:rsidR="001F41B8">
        <w:rPr>
          <w:rFonts w:ascii="Arial" w:hAnsi="Arial" w:cs="Arial"/>
          <w:color w:val="auto"/>
        </w:rPr>
        <w:t>8</w:t>
      </w:r>
      <w:r w:rsidR="001F41B8" w:rsidRPr="00D34DB8">
        <w:rPr>
          <w:rFonts w:ascii="Arial" w:hAnsi="Arial" w:cs="Arial"/>
          <w:color w:val="auto"/>
        </w:rPr>
        <w:t xml:space="preserve"> </w:t>
      </w:r>
      <w:r w:rsidRPr="00D34DB8">
        <w:rPr>
          <w:rFonts w:ascii="Arial" w:hAnsi="Arial" w:cs="Arial"/>
          <w:color w:val="auto"/>
        </w:rPr>
        <w:t>illustrates the long-term decline and more recent growth in UK oil production since 2000.</w:t>
      </w:r>
    </w:p>
    <w:p w14:paraId="7D809ED4" w14:textId="42B529A0" w:rsidR="00641701" w:rsidRPr="00595CB3" w:rsidRDefault="00641701" w:rsidP="00641701">
      <w:pPr>
        <w:pStyle w:val="Caption"/>
        <w:keepNext/>
        <w:spacing w:line="276" w:lineRule="auto"/>
        <w:outlineLvl w:val="0"/>
        <w:rPr>
          <w:rFonts w:ascii="Arial" w:hAnsi="Arial" w:cs="Arial"/>
          <w:sz w:val="22"/>
          <w:szCs w:val="22"/>
        </w:rPr>
      </w:pPr>
      <w:bookmarkStart w:id="9" w:name="_Toc512547347"/>
      <w:r w:rsidRPr="00595CB3">
        <w:rPr>
          <w:rFonts w:ascii="Arial" w:hAnsi="Arial" w:cs="Arial"/>
          <w:sz w:val="22"/>
          <w:szCs w:val="22"/>
        </w:rPr>
        <w:t>Figure</w:t>
      </w:r>
      <w:r w:rsidR="00893086">
        <w:rPr>
          <w:rFonts w:ascii="Arial" w:hAnsi="Arial" w:cs="Arial"/>
          <w:sz w:val="22"/>
          <w:szCs w:val="22"/>
        </w:rPr>
        <w:t xml:space="preserve"> </w:t>
      </w:r>
      <w:r w:rsidR="00966D5C">
        <w:rPr>
          <w:rFonts w:ascii="Arial" w:hAnsi="Arial" w:cs="Arial"/>
          <w:sz w:val="22"/>
          <w:szCs w:val="22"/>
        </w:rPr>
        <w:t>10</w:t>
      </w:r>
      <w:r w:rsidRPr="00595CB3">
        <w:rPr>
          <w:rFonts w:ascii="Arial" w:hAnsi="Arial" w:cs="Arial"/>
          <w:bCs/>
          <w:sz w:val="22"/>
          <w:szCs w:val="22"/>
        </w:rPr>
        <w:t xml:space="preserve">. UK </w:t>
      </w:r>
      <w:r>
        <w:rPr>
          <w:rFonts w:ascii="Arial" w:hAnsi="Arial" w:cs="Arial"/>
          <w:bCs/>
          <w:sz w:val="22"/>
          <w:szCs w:val="22"/>
        </w:rPr>
        <w:t xml:space="preserve">crude </w:t>
      </w:r>
      <w:r w:rsidRPr="00595CB3">
        <w:rPr>
          <w:rFonts w:ascii="Arial" w:hAnsi="Arial" w:cs="Arial"/>
          <w:bCs/>
          <w:sz w:val="22"/>
          <w:szCs w:val="22"/>
        </w:rPr>
        <w:t>oil production by start-up year of field</w:t>
      </w:r>
      <w:r w:rsidRPr="00595CB3">
        <w:rPr>
          <w:rStyle w:val="FootnoteReference"/>
          <w:rFonts w:ascii="Arial" w:hAnsi="Arial" w:cs="Arial"/>
          <w:bCs/>
          <w:sz w:val="22"/>
          <w:szCs w:val="22"/>
        </w:rPr>
        <w:footnoteReference w:id="14"/>
      </w:r>
      <w:bookmarkEnd w:id="9"/>
    </w:p>
    <w:p w14:paraId="4A5A1929" w14:textId="310E50CC" w:rsidR="00641701" w:rsidRPr="00595CB3" w:rsidRDefault="0058083B" w:rsidP="00641701">
      <w:pPr>
        <w:pStyle w:val="Default"/>
        <w:keepNext/>
        <w:spacing w:after="240" w:line="276" w:lineRule="auto"/>
        <w:rPr>
          <w:rFonts w:ascii="Arial" w:hAnsi="Arial" w:cs="Arial"/>
          <w:color w:val="auto"/>
          <w:sz w:val="22"/>
          <w:szCs w:val="22"/>
        </w:rPr>
      </w:pPr>
      <w:r w:rsidRPr="0058083B">
        <w:rPr>
          <w:sz w:val="22"/>
          <w:szCs w:val="22"/>
        </w:rPr>
        <w:t xml:space="preserve"> </w:t>
      </w:r>
      <w:r w:rsidRPr="0058083B">
        <w:rPr>
          <w:noProof/>
        </w:rPr>
        <w:drawing>
          <wp:inline distT="0" distB="0" distL="0" distR="0" wp14:anchorId="6C173383" wp14:editId="21DAAC2B">
            <wp:extent cx="5732145" cy="3192780"/>
            <wp:effectExtent l="0" t="0" r="190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t="5364"/>
                    <a:stretch/>
                  </pic:blipFill>
                  <pic:spPr bwMode="auto">
                    <a:xfrm>
                      <a:off x="0" y="0"/>
                      <a:ext cx="5732145" cy="3192780"/>
                    </a:xfrm>
                    <a:prstGeom prst="rect">
                      <a:avLst/>
                    </a:prstGeom>
                    <a:noFill/>
                    <a:ln>
                      <a:noFill/>
                    </a:ln>
                    <a:extLst>
                      <a:ext uri="{53640926-AAD7-44D8-BBD7-CCE9431645EC}">
                        <a14:shadowObscured xmlns:a14="http://schemas.microsoft.com/office/drawing/2010/main"/>
                      </a:ext>
                    </a:extLst>
                  </pic:spPr>
                </pic:pic>
              </a:graphicData>
            </a:graphic>
          </wp:inline>
        </w:drawing>
      </w:r>
    </w:p>
    <w:p w14:paraId="7D841454" w14:textId="77777777" w:rsidR="00641701" w:rsidRPr="00595CB3" w:rsidRDefault="00641701" w:rsidP="00641701">
      <w:pPr>
        <w:pStyle w:val="Default"/>
        <w:spacing w:after="180" w:line="276" w:lineRule="auto"/>
        <w:rPr>
          <w:rFonts w:ascii="Arial" w:hAnsi="Arial" w:cs="Arial"/>
          <w:color w:val="auto"/>
          <w:sz w:val="18"/>
          <w:szCs w:val="16"/>
        </w:rPr>
      </w:pPr>
      <w:r w:rsidRPr="00595CB3">
        <w:rPr>
          <w:rFonts w:ascii="Arial" w:hAnsi="Arial" w:cs="Arial"/>
          <w:color w:val="auto"/>
          <w:sz w:val="18"/>
          <w:szCs w:val="16"/>
        </w:rPr>
        <w:t>Source: OGA</w:t>
      </w:r>
      <w:r w:rsidRPr="007F5248">
        <w:t xml:space="preserve"> </w:t>
      </w:r>
      <w:r w:rsidRPr="007F5248">
        <w:rPr>
          <w:rFonts w:ascii="Arial" w:hAnsi="Arial" w:cs="Arial"/>
          <w:color w:val="auto"/>
          <w:sz w:val="18"/>
          <w:szCs w:val="16"/>
        </w:rPr>
        <w:t>Petroleum Production Reporting System</w:t>
      </w:r>
      <w:r>
        <w:rPr>
          <w:rFonts w:ascii="Arial" w:hAnsi="Arial" w:cs="Arial"/>
          <w:color w:val="auto"/>
          <w:sz w:val="18"/>
          <w:szCs w:val="16"/>
        </w:rPr>
        <w:t>.</w:t>
      </w:r>
    </w:p>
    <w:p w14:paraId="10288E4C" w14:textId="3EFDBA55" w:rsidR="00BA7321" w:rsidRPr="00D34DB8" w:rsidRDefault="00BA7321" w:rsidP="00A505EE">
      <w:pPr>
        <w:pStyle w:val="Default"/>
        <w:spacing w:after="180" w:line="276" w:lineRule="auto"/>
        <w:rPr>
          <w:rFonts w:ascii="Arial" w:hAnsi="Arial" w:cs="Arial"/>
          <w:color w:val="auto"/>
        </w:rPr>
      </w:pPr>
      <w:r w:rsidRPr="00D34DB8">
        <w:rPr>
          <w:rFonts w:ascii="Arial" w:hAnsi="Arial" w:cs="Arial"/>
          <w:color w:val="auto"/>
        </w:rPr>
        <w:lastRenderedPageBreak/>
        <w:t>The UK is still a significant oil and gas p</w:t>
      </w:r>
      <w:r w:rsidR="00C85A3D" w:rsidRPr="00D34DB8">
        <w:rPr>
          <w:rFonts w:ascii="Arial" w:hAnsi="Arial" w:cs="Arial"/>
          <w:color w:val="auto"/>
        </w:rPr>
        <w:t>roducer, being responsible for 1.1% of global output of oil and gas in 201</w:t>
      </w:r>
      <w:r w:rsidR="004E336D">
        <w:rPr>
          <w:rFonts w:ascii="Arial" w:hAnsi="Arial" w:cs="Arial"/>
          <w:color w:val="auto"/>
        </w:rPr>
        <w:t>8</w:t>
      </w:r>
      <w:r w:rsidR="00AC0BA0">
        <w:rPr>
          <w:rFonts w:ascii="Arial" w:hAnsi="Arial" w:cs="Arial"/>
          <w:color w:val="auto"/>
        </w:rPr>
        <w:t xml:space="preserve">, </w:t>
      </w:r>
      <w:r w:rsidR="00B77C48">
        <w:rPr>
          <w:rFonts w:ascii="Arial" w:hAnsi="Arial" w:cs="Arial"/>
          <w:color w:val="auto"/>
        </w:rPr>
        <w:t>w</w:t>
      </w:r>
      <w:r w:rsidR="00EC3200">
        <w:rPr>
          <w:rFonts w:ascii="Arial" w:hAnsi="Arial" w:cs="Arial"/>
          <w:color w:val="auto"/>
        </w:rPr>
        <w:t>hen the UK was the</w:t>
      </w:r>
      <w:r w:rsidR="00AC0BA0" w:rsidRPr="000B3A25">
        <w:rPr>
          <w:rFonts w:ascii="Arial" w:hAnsi="Arial" w:cs="Arial"/>
          <w:color w:val="auto"/>
        </w:rPr>
        <w:t xml:space="preserve"> 21st </w:t>
      </w:r>
      <w:r w:rsidR="00EC3200">
        <w:rPr>
          <w:rFonts w:ascii="Arial" w:hAnsi="Arial" w:cs="Arial"/>
          <w:color w:val="auto"/>
        </w:rPr>
        <w:t>largest producer</w:t>
      </w:r>
      <w:r w:rsidR="00FD45B3">
        <w:rPr>
          <w:rFonts w:ascii="Arial" w:hAnsi="Arial" w:cs="Arial"/>
          <w:color w:val="auto"/>
        </w:rPr>
        <w:t xml:space="preserve"> of</w:t>
      </w:r>
      <w:r w:rsidR="00AC0BA0" w:rsidRPr="000B3A25">
        <w:rPr>
          <w:rFonts w:ascii="Arial" w:hAnsi="Arial" w:cs="Arial"/>
          <w:color w:val="auto"/>
        </w:rPr>
        <w:t xml:space="preserve"> oil and gas (19th </w:t>
      </w:r>
      <w:r w:rsidR="00FD45B3">
        <w:rPr>
          <w:rFonts w:ascii="Arial" w:hAnsi="Arial" w:cs="Arial"/>
          <w:color w:val="auto"/>
        </w:rPr>
        <w:t>largest of</w:t>
      </w:r>
      <w:r w:rsidR="00AC0BA0" w:rsidRPr="000B3A25">
        <w:rPr>
          <w:rFonts w:ascii="Arial" w:hAnsi="Arial" w:cs="Arial"/>
          <w:color w:val="auto"/>
        </w:rPr>
        <w:t xml:space="preserve"> oil, 18</w:t>
      </w:r>
      <w:r w:rsidR="00AC0BA0" w:rsidRPr="000B3A25">
        <w:rPr>
          <w:rFonts w:ascii="Arial" w:hAnsi="Arial" w:cs="Arial"/>
          <w:color w:val="auto"/>
          <w:vertAlign w:val="superscript"/>
        </w:rPr>
        <w:t>th</w:t>
      </w:r>
      <w:r w:rsidR="00B574BF">
        <w:rPr>
          <w:rFonts w:ascii="Arial" w:hAnsi="Arial" w:cs="Arial"/>
          <w:color w:val="auto"/>
        </w:rPr>
        <w:t xml:space="preserve"> largest of</w:t>
      </w:r>
      <w:r w:rsidR="00950183">
        <w:rPr>
          <w:rFonts w:ascii="Arial" w:hAnsi="Arial" w:cs="Arial"/>
          <w:color w:val="auto"/>
        </w:rPr>
        <w:t xml:space="preserve"> </w:t>
      </w:r>
      <w:r w:rsidR="00AC0BA0" w:rsidRPr="000B3A25">
        <w:rPr>
          <w:rFonts w:ascii="Arial" w:hAnsi="Arial" w:cs="Arial"/>
          <w:color w:val="auto"/>
        </w:rPr>
        <w:t>gas)</w:t>
      </w:r>
      <w:r w:rsidR="00AC0BA0">
        <w:t>.</w:t>
      </w:r>
      <w:r w:rsidR="00C85A3D" w:rsidRPr="00D34DB8">
        <w:rPr>
          <w:rStyle w:val="FootnoteReference"/>
          <w:rFonts w:ascii="Arial" w:hAnsi="Arial" w:cs="Arial"/>
          <w:color w:val="auto"/>
        </w:rPr>
        <w:footnoteReference w:id="15"/>
      </w:r>
    </w:p>
    <w:p w14:paraId="7EE7C595" w14:textId="77777777" w:rsidR="00EE1CFA" w:rsidRPr="00E0694A" w:rsidRDefault="00EE1CFA" w:rsidP="00E0694A">
      <w:pPr>
        <w:pStyle w:val="Heading2"/>
        <w:keepLines w:val="0"/>
        <w:numPr>
          <w:ilvl w:val="1"/>
          <w:numId w:val="43"/>
        </w:numPr>
        <w:shd w:val="clear" w:color="auto" w:fill="BFBFBF"/>
        <w:tabs>
          <w:tab w:val="clear" w:pos="567"/>
        </w:tabs>
        <w:spacing w:after="180" w:line="276" w:lineRule="auto"/>
        <w:ind w:left="567" w:hanging="567"/>
        <w:rPr>
          <w:rFonts w:cs="Arial"/>
          <w:b w:val="0"/>
        </w:rPr>
      </w:pPr>
      <w:r w:rsidRPr="00E0694A">
        <w:rPr>
          <w:rFonts w:cs="Arial"/>
          <w:szCs w:val="24"/>
        </w:rPr>
        <w:t>Cost Environment</w:t>
      </w:r>
    </w:p>
    <w:p w14:paraId="1C93EC61" w14:textId="03014903" w:rsidR="009C6940" w:rsidRPr="00D34DB8" w:rsidRDefault="00243255" w:rsidP="00E0694A">
      <w:pPr>
        <w:pStyle w:val="Default"/>
        <w:widowControl w:val="0"/>
        <w:spacing w:after="180" w:line="276" w:lineRule="auto"/>
        <w:rPr>
          <w:rFonts w:ascii="Arial" w:hAnsi="Arial" w:cs="Arial"/>
          <w:color w:val="auto"/>
        </w:rPr>
      </w:pPr>
      <w:r w:rsidRPr="00D34DB8">
        <w:rPr>
          <w:rFonts w:ascii="Arial" w:hAnsi="Arial" w:cs="Arial"/>
          <w:color w:val="auto"/>
        </w:rPr>
        <w:t>Total upstream expenditure peaked in 2014 at £2</w:t>
      </w:r>
      <w:r w:rsidR="00BA427A">
        <w:rPr>
          <w:rFonts w:ascii="Arial" w:hAnsi="Arial" w:cs="Arial"/>
          <w:color w:val="auto"/>
        </w:rPr>
        <w:t>9</w:t>
      </w:r>
      <w:r w:rsidRPr="00D34DB8">
        <w:rPr>
          <w:rFonts w:ascii="Arial" w:hAnsi="Arial" w:cs="Arial"/>
          <w:color w:val="auto"/>
        </w:rPr>
        <w:t>.</w:t>
      </w:r>
      <w:r w:rsidR="00BA427A">
        <w:rPr>
          <w:rFonts w:ascii="Arial" w:hAnsi="Arial" w:cs="Arial"/>
          <w:color w:val="auto"/>
        </w:rPr>
        <w:t>3</w:t>
      </w:r>
      <w:r w:rsidRPr="00D34DB8">
        <w:rPr>
          <w:rFonts w:ascii="Arial" w:hAnsi="Arial" w:cs="Arial"/>
          <w:color w:val="auto"/>
        </w:rPr>
        <w:t xml:space="preserve"> billion</w:t>
      </w:r>
      <w:r w:rsidR="00BA427A">
        <w:rPr>
          <w:rFonts w:ascii="Arial" w:hAnsi="Arial" w:cs="Arial"/>
          <w:color w:val="auto"/>
        </w:rPr>
        <w:t xml:space="preserve"> in 2018 prices</w:t>
      </w:r>
      <w:r w:rsidRPr="00D34DB8">
        <w:rPr>
          <w:rFonts w:ascii="Arial" w:hAnsi="Arial" w:cs="Arial"/>
          <w:color w:val="auto"/>
        </w:rPr>
        <w:t xml:space="preserve"> and </w:t>
      </w:r>
      <w:r w:rsidR="00D50F28" w:rsidRPr="00D34DB8">
        <w:rPr>
          <w:rFonts w:ascii="Arial" w:hAnsi="Arial" w:cs="Arial"/>
          <w:color w:val="auto"/>
        </w:rPr>
        <w:t>fell</w:t>
      </w:r>
      <w:r w:rsidRPr="00D34DB8">
        <w:rPr>
          <w:rFonts w:ascii="Arial" w:hAnsi="Arial" w:cs="Arial"/>
          <w:color w:val="auto"/>
        </w:rPr>
        <w:t xml:space="preserve"> to £</w:t>
      </w:r>
      <w:r w:rsidR="0016540D" w:rsidRPr="00D34DB8">
        <w:rPr>
          <w:rFonts w:ascii="Arial" w:hAnsi="Arial" w:cs="Arial"/>
          <w:color w:val="auto"/>
        </w:rPr>
        <w:t>1</w:t>
      </w:r>
      <w:r w:rsidR="00BE3360">
        <w:rPr>
          <w:rFonts w:ascii="Arial" w:hAnsi="Arial" w:cs="Arial"/>
          <w:color w:val="auto"/>
        </w:rPr>
        <w:t>4</w:t>
      </w:r>
      <w:r w:rsidR="003C39C0" w:rsidRPr="00D34DB8">
        <w:rPr>
          <w:rFonts w:ascii="Arial" w:hAnsi="Arial" w:cs="Arial"/>
          <w:color w:val="auto"/>
        </w:rPr>
        <w:t>.</w:t>
      </w:r>
      <w:r w:rsidR="00BA427A">
        <w:rPr>
          <w:rFonts w:ascii="Arial" w:hAnsi="Arial" w:cs="Arial"/>
          <w:color w:val="auto"/>
        </w:rPr>
        <w:t>3</w:t>
      </w:r>
      <w:r w:rsidR="0016540D" w:rsidRPr="00D34DB8">
        <w:rPr>
          <w:rFonts w:ascii="Arial" w:hAnsi="Arial" w:cs="Arial"/>
          <w:color w:val="auto"/>
        </w:rPr>
        <w:t xml:space="preserve"> </w:t>
      </w:r>
      <w:r w:rsidRPr="00D34DB8">
        <w:rPr>
          <w:rFonts w:ascii="Arial" w:hAnsi="Arial" w:cs="Arial"/>
          <w:color w:val="auto"/>
        </w:rPr>
        <w:t>billion in 201</w:t>
      </w:r>
      <w:r w:rsidR="00BA427A">
        <w:rPr>
          <w:rFonts w:ascii="Arial" w:hAnsi="Arial" w:cs="Arial"/>
          <w:color w:val="auto"/>
        </w:rPr>
        <w:t>8</w:t>
      </w:r>
      <w:r w:rsidRPr="00D34DB8">
        <w:rPr>
          <w:rFonts w:ascii="Arial" w:hAnsi="Arial" w:cs="Arial"/>
          <w:color w:val="auto"/>
        </w:rPr>
        <w:t xml:space="preserve">. </w:t>
      </w:r>
      <w:r w:rsidR="00A220DA" w:rsidRPr="00D34DB8">
        <w:rPr>
          <w:rFonts w:ascii="Arial" w:hAnsi="Arial" w:cs="Arial"/>
          <w:color w:val="auto"/>
        </w:rPr>
        <w:t>The impact of the fall in oil and gas prices put industry under immense pressure to reduce expenditure, both through readjusting budgets and rationalising expenditure.</w:t>
      </w:r>
    </w:p>
    <w:p w14:paraId="74210D0B" w14:textId="4E6F1A03" w:rsidR="00FE5EFB" w:rsidRPr="00595CB3" w:rsidRDefault="00FE5EFB" w:rsidP="00FE5EFB">
      <w:pPr>
        <w:pStyle w:val="Caption"/>
        <w:keepNext/>
        <w:spacing w:before="0" w:line="276" w:lineRule="auto"/>
        <w:outlineLvl w:val="0"/>
        <w:rPr>
          <w:rFonts w:ascii="Arial" w:hAnsi="Arial" w:cs="Arial"/>
          <w:sz w:val="22"/>
          <w:szCs w:val="22"/>
        </w:rPr>
      </w:pPr>
      <w:bookmarkStart w:id="10" w:name="_Toc512547348"/>
      <w:r w:rsidRPr="00595CB3">
        <w:rPr>
          <w:rFonts w:ascii="Arial" w:hAnsi="Arial" w:cs="Arial"/>
          <w:sz w:val="22"/>
          <w:szCs w:val="22"/>
        </w:rPr>
        <w:t>Figure</w:t>
      </w:r>
      <w:r>
        <w:rPr>
          <w:rFonts w:ascii="Arial" w:hAnsi="Arial" w:cs="Arial"/>
          <w:sz w:val="22"/>
          <w:szCs w:val="22"/>
        </w:rPr>
        <w:t xml:space="preserve"> </w:t>
      </w:r>
      <w:r w:rsidR="00966D5C">
        <w:rPr>
          <w:rFonts w:ascii="Arial" w:hAnsi="Arial" w:cs="Arial"/>
          <w:sz w:val="22"/>
          <w:szCs w:val="22"/>
        </w:rPr>
        <w:t>11</w:t>
      </w:r>
      <w:r w:rsidRPr="00595CB3">
        <w:rPr>
          <w:rFonts w:ascii="Arial" w:hAnsi="Arial" w:cs="Arial"/>
          <w:bCs/>
          <w:sz w:val="22"/>
          <w:szCs w:val="22"/>
        </w:rPr>
        <w:t>. Upstream oil and gas expenditure, 2000–201</w:t>
      </w:r>
      <w:r w:rsidR="00C14547">
        <w:rPr>
          <w:rFonts w:ascii="Arial" w:hAnsi="Arial" w:cs="Arial"/>
          <w:bCs/>
          <w:sz w:val="22"/>
          <w:szCs w:val="22"/>
        </w:rPr>
        <w:t>8</w:t>
      </w:r>
      <w:r w:rsidRPr="00595CB3">
        <w:rPr>
          <w:rFonts w:ascii="Arial" w:hAnsi="Arial" w:cs="Arial"/>
          <w:sz w:val="22"/>
          <w:szCs w:val="22"/>
          <w:vertAlign w:val="superscript"/>
        </w:rPr>
        <w:footnoteReference w:id="16"/>
      </w:r>
      <w:bookmarkEnd w:id="10"/>
    </w:p>
    <w:p w14:paraId="32FE4952" w14:textId="30F04769" w:rsidR="00FE5EFB" w:rsidRPr="00595CB3" w:rsidRDefault="00C14547" w:rsidP="00FE5EFB">
      <w:pPr>
        <w:pStyle w:val="Default"/>
        <w:keepNext/>
        <w:spacing w:after="180" w:line="276" w:lineRule="auto"/>
        <w:rPr>
          <w:rFonts w:ascii="Arial" w:hAnsi="Arial" w:cs="Arial"/>
          <w:color w:val="auto"/>
          <w:sz w:val="22"/>
          <w:szCs w:val="22"/>
        </w:rPr>
      </w:pPr>
      <w:r w:rsidRPr="00C14547">
        <w:rPr>
          <w:noProof/>
        </w:rPr>
        <w:drawing>
          <wp:inline distT="0" distB="0" distL="0" distR="0" wp14:anchorId="27F537F4" wp14:editId="11F1757E">
            <wp:extent cx="5732145" cy="3138805"/>
            <wp:effectExtent l="0" t="0" r="1905" b="4445"/>
            <wp:docPr id="17" name="Picture 17" descr="Figure 9 shows upstream oil and gas expenditure (in billion pounds 2018 prices) for 200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t="8599"/>
                    <a:stretch/>
                  </pic:blipFill>
                  <pic:spPr bwMode="auto">
                    <a:xfrm>
                      <a:off x="0" y="0"/>
                      <a:ext cx="5732145" cy="3138805"/>
                    </a:xfrm>
                    <a:prstGeom prst="rect">
                      <a:avLst/>
                    </a:prstGeom>
                    <a:noFill/>
                    <a:ln>
                      <a:noFill/>
                    </a:ln>
                    <a:extLst>
                      <a:ext uri="{53640926-AAD7-44D8-BBD7-CCE9431645EC}">
                        <a14:shadowObscured xmlns:a14="http://schemas.microsoft.com/office/drawing/2010/main"/>
                      </a:ext>
                    </a:extLst>
                  </pic:spPr>
                </pic:pic>
              </a:graphicData>
            </a:graphic>
          </wp:inline>
        </w:drawing>
      </w:r>
    </w:p>
    <w:p w14:paraId="604F9F09" w14:textId="4B3195A4" w:rsidR="00FE5EFB" w:rsidRPr="000E1489" w:rsidRDefault="00FE5EFB" w:rsidP="00FE5EFB">
      <w:pPr>
        <w:pStyle w:val="Default"/>
        <w:spacing w:after="180" w:line="276" w:lineRule="auto"/>
        <w:rPr>
          <w:rFonts w:ascii="Arial" w:hAnsi="Arial" w:cs="Arial"/>
          <w:color w:val="auto"/>
          <w:sz w:val="16"/>
          <w:szCs w:val="16"/>
        </w:rPr>
      </w:pPr>
      <w:r w:rsidRPr="000E1489">
        <w:rPr>
          <w:rFonts w:ascii="Arial" w:hAnsi="Arial" w:cs="Arial"/>
          <w:color w:val="auto"/>
          <w:sz w:val="16"/>
          <w:szCs w:val="16"/>
        </w:rPr>
        <w:t>Source: OGA.</w:t>
      </w:r>
    </w:p>
    <w:p w14:paraId="62F4FD57" w14:textId="31A76939" w:rsidR="0032791A" w:rsidRPr="00E0694A" w:rsidRDefault="0032791A" w:rsidP="0032791A">
      <w:pPr>
        <w:pStyle w:val="Heading2"/>
        <w:keepLines w:val="0"/>
        <w:numPr>
          <w:ilvl w:val="1"/>
          <w:numId w:val="43"/>
        </w:numPr>
        <w:shd w:val="clear" w:color="auto" w:fill="BFBFBF"/>
        <w:tabs>
          <w:tab w:val="clear" w:pos="567"/>
        </w:tabs>
        <w:spacing w:after="180" w:line="276" w:lineRule="auto"/>
        <w:ind w:left="567" w:hanging="567"/>
        <w:rPr>
          <w:rFonts w:cs="Arial"/>
          <w:b w:val="0"/>
        </w:rPr>
      </w:pPr>
      <w:r>
        <w:rPr>
          <w:rFonts w:cs="Arial"/>
          <w:szCs w:val="24"/>
        </w:rPr>
        <w:t>Government Revenues</w:t>
      </w:r>
    </w:p>
    <w:p w14:paraId="2233550B" w14:textId="28D4A23C" w:rsidR="00C963C5" w:rsidRDefault="00C963C5" w:rsidP="00C963C5">
      <w:pPr>
        <w:spacing w:after="180" w:line="276" w:lineRule="auto"/>
        <w:rPr>
          <w:szCs w:val="24"/>
        </w:rPr>
      </w:pPr>
      <w:r w:rsidRPr="008B6862">
        <w:rPr>
          <w:szCs w:val="24"/>
        </w:rPr>
        <w:t xml:space="preserve">Table </w:t>
      </w:r>
      <w:r w:rsidR="00E33BED">
        <w:rPr>
          <w:szCs w:val="24"/>
        </w:rPr>
        <w:t>2</w:t>
      </w:r>
      <w:r>
        <w:rPr>
          <w:szCs w:val="24"/>
        </w:rPr>
        <w:t xml:space="preserve"> includes estimates of the amounts of ring fence corporation tax (RFCT) plus supplementary charge (SC) paid annually in respect of UK upstream oil and gas production activities, i.e. the exploration and productions stage (described for simplicity as “offshore” CT), and of petroleum revenue tax (PRT). UK Government accounts are compiled on a financial year basis and the figures reported are consistent with annual totals reported in them on a cash basis.</w:t>
      </w:r>
    </w:p>
    <w:p w14:paraId="265248EF" w14:textId="6AE8EC41" w:rsidR="00C963C5" w:rsidRDefault="00C963C5" w:rsidP="00C963C5">
      <w:pPr>
        <w:spacing w:before="180" w:after="180" w:line="276" w:lineRule="auto"/>
        <w:rPr>
          <w:szCs w:val="24"/>
        </w:rPr>
      </w:pPr>
      <w:r>
        <w:rPr>
          <w:szCs w:val="24"/>
        </w:rPr>
        <w:lastRenderedPageBreak/>
        <w:t>In addition to the cash receipts series published by HMRC that is tabulated below, tax receipts are also reported by the ONS on an accruals basis.</w:t>
      </w:r>
      <w:r>
        <w:rPr>
          <w:rStyle w:val="FootnoteReference"/>
          <w:szCs w:val="24"/>
        </w:rPr>
        <w:footnoteReference w:id="17"/>
      </w:r>
      <w:r>
        <w:rPr>
          <w:szCs w:val="24"/>
        </w:rPr>
        <w:t xml:space="preserve"> The accruals basis shows when the tax liability arises, i.e. it matches the taxes arising to taxable income as it is earned. There is usually a timing difference between when the tax liability arises and when it is paid. Tax is usually paid after the liability arises so the tax cash payments in one time period may not match the tax liability for the same period. For example, a tax liability of £120 million may arise in one tax year (£120 million recorded on an accruals basis); this may be paid in three equal instalments, two in the same tax year (£80 million recorded that year on a cash basis) with one final instalment the next tax year (£40 million recorded in the next tax year on a cash basis). Over a longer timeframe, the same amounts are captured by these two different mechanisms of recording payments, but in the short term there will be a mismatch in amounts. This results in different series being published for corporation tax receipts/repayments</w:t>
      </w:r>
      <w:r w:rsidRPr="00E33BED">
        <w:rPr>
          <w:szCs w:val="24"/>
        </w:rPr>
        <w:t xml:space="preserve">. </w:t>
      </w:r>
      <w:r w:rsidRPr="008B6862">
        <w:rPr>
          <w:szCs w:val="24"/>
        </w:rPr>
        <w:t xml:space="preserve">Table </w:t>
      </w:r>
      <w:r w:rsidR="00E33BED" w:rsidRPr="00E33BED">
        <w:rPr>
          <w:szCs w:val="24"/>
        </w:rPr>
        <w:t>2</w:t>
      </w:r>
      <w:r>
        <w:rPr>
          <w:szCs w:val="24"/>
        </w:rPr>
        <w:t xml:space="preserve"> below therefore also includes receipts on an </w:t>
      </w:r>
      <w:proofErr w:type="gramStart"/>
      <w:r>
        <w:rPr>
          <w:szCs w:val="24"/>
        </w:rPr>
        <w:t>accruals</w:t>
      </w:r>
      <w:proofErr w:type="gramEnd"/>
      <w:r>
        <w:rPr>
          <w:szCs w:val="24"/>
        </w:rPr>
        <w:t xml:space="preserve"> basis.</w:t>
      </w:r>
    </w:p>
    <w:p w14:paraId="1A023326" w14:textId="27367494" w:rsidR="00D34E72" w:rsidRDefault="00C963C5" w:rsidP="00E12A06">
      <w:pPr>
        <w:spacing w:after="240"/>
      </w:pPr>
      <w:bookmarkStart w:id="11" w:name="_Toc512547327"/>
      <w:r>
        <w:rPr>
          <w:sz w:val="22"/>
          <w:szCs w:val="22"/>
        </w:rPr>
        <w:lastRenderedPageBreak/>
        <w:t xml:space="preserve">Table </w:t>
      </w:r>
      <w:r w:rsidR="00E33BED">
        <w:rPr>
          <w:sz w:val="22"/>
          <w:szCs w:val="22"/>
        </w:rPr>
        <w:t>2</w:t>
      </w:r>
      <w:r>
        <w:rPr>
          <w:sz w:val="22"/>
          <w:szCs w:val="22"/>
        </w:rPr>
        <w:t xml:space="preserve">. </w:t>
      </w:r>
      <w:r>
        <w:rPr>
          <w:bCs/>
          <w:sz w:val="22"/>
          <w:szCs w:val="22"/>
        </w:rPr>
        <w:t>UK Government Revenues from Upstream Oil and Gas</w:t>
      </w:r>
      <w:r>
        <w:rPr>
          <w:rStyle w:val="FootnoteReference"/>
          <w:bCs/>
          <w:sz w:val="22"/>
          <w:szCs w:val="22"/>
        </w:rPr>
        <w:footnoteReference w:id="18"/>
      </w:r>
      <w:bookmarkEnd w:id="11"/>
      <w:r w:rsidR="00A2215C">
        <w:rPr>
          <w:noProof/>
        </w:rPr>
        <w:drawing>
          <wp:inline distT="0" distB="0" distL="0" distR="0" wp14:anchorId="5A475784" wp14:editId="66F4BE52">
            <wp:extent cx="4781550" cy="3381375"/>
            <wp:effectExtent l="0" t="0" r="0" b="9525"/>
            <wp:docPr id="3" name="Picture 3" descr="Table 2 shows UK government revenues by cash and accruals from upstream oil and gas in million pounds for 2014-2018 by both financial and calendar year."/>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0" cy="3381375"/>
                    </a:xfrm>
                    <a:prstGeom prst="rect">
                      <a:avLst/>
                    </a:prstGeom>
                    <a:noFill/>
                    <a:ln>
                      <a:noFill/>
                    </a:ln>
                  </pic:spPr>
                </pic:pic>
              </a:graphicData>
            </a:graphic>
          </wp:inline>
        </w:drawing>
      </w:r>
      <w:r w:rsidR="000B54B9" w:rsidRPr="005D62CF">
        <w:rPr>
          <w:noProof/>
        </w:rPr>
        <w:drawing>
          <wp:inline distT="0" distB="0" distL="0" distR="0" wp14:anchorId="75F9BA8B" wp14:editId="7A09D313">
            <wp:extent cx="4781550" cy="3381375"/>
            <wp:effectExtent l="0" t="0" r="0" b="9525"/>
            <wp:docPr id="4" name="Picture 4" descr="Table 2 shows UK government revenues by cash and accruals from upstream oil and gas in million pounds for 2014-2018 by both financial and calenda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550" cy="3381375"/>
                    </a:xfrm>
                    <a:prstGeom prst="rect">
                      <a:avLst/>
                    </a:prstGeom>
                    <a:noFill/>
                    <a:ln>
                      <a:noFill/>
                    </a:ln>
                  </pic:spPr>
                </pic:pic>
              </a:graphicData>
            </a:graphic>
          </wp:inline>
        </w:drawing>
      </w:r>
    </w:p>
    <w:p w14:paraId="02AEDC24" w14:textId="7CE144F6" w:rsidR="00E12A06" w:rsidRPr="00E12A06" w:rsidRDefault="00E12A06" w:rsidP="00127C74">
      <w:pPr>
        <w:keepNext/>
      </w:pPr>
    </w:p>
    <w:p w14:paraId="3C2213BC" w14:textId="3A283886" w:rsidR="005C55E9" w:rsidRDefault="005C55E9" w:rsidP="00C963C5">
      <w:pPr>
        <w:spacing w:before="180" w:after="180" w:line="276" w:lineRule="auto"/>
        <w:rPr>
          <w:szCs w:val="24"/>
        </w:rPr>
      </w:pPr>
    </w:p>
    <w:tbl>
      <w:tblPr>
        <w:tblW w:w="3880" w:type="pct"/>
        <w:tblCellMar>
          <w:left w:w="70" w:type="dxa"/>
          <w:right w:w="70" w:type="dxa"/>
        </w:tblCellMar>
        <w:tblLook w:val="04A0" w:firstRow="1" w:lastRow="0" w:firstColumn="1" w:lastColumn="0" w:noHBand="0" w:noVBand="1"/>
        <w:tblCaption w:val="Table 2. UK Government revenues from upsteam oil and gas"/>
        <w:tblDescription w:val="Table 2 shows UK goverment revenues from upsteam oil and gas in £ millions for corporation tax, petroleum revenue tax and total HMRC receipts for 2013-2017."/>
      </w:tblPr>
      <w:tblGrid>
        <w:gridCol w:w="7005"/>
      </w:tblGrid>
      <w:tr w:rsidR="000B54B9" w14:paraId="2062066D" w14:textId="77777777" w:rsidTr="00BA2C75">
        <w:trPr>
          <w:trHeight w:val="499"/>
        </w:trPr>
        <w:tc>
          <w:tcPr>
            <w:tcW w:w="5000" w:type="pct"/>
            <w:vAlign w:val="center"/>
            <w:hideMark/>
          </w:tcPr>
          <w:p w14:paraId="0BE30C78" w14:textId="297DBFC5" w:rsidR="000B54B9" w:rsidRDefault="000B54B9" w:rsidP="00BA2C75">
            <w:pPr>
              <w:spacing w:line="276" w:lineRule="auto"/>
              <w:rPr>
                <w:rFonts w:eastAsia="Times New Roman"/>
                <w:color w:val="000000"/>
                <w:sz w:val="16"/>
                <w:lang w:eastAsia="fr-FR"/>
              </w:rPr>
            </w:pPr>
            <w:r>
              <w:rPr>
                <w:rFonts w:eastAsia="Times New Roman"/>
                <w:color w:val="000000"/>
                <w:sz w:val="16"/>
                <w:lang w:eastAsia="fr-FR"/>
              </w:rPr>
              <w:t>Source: HM Revenue &amp; Customs (HMRC), Tax Receipts and National Insurance Contributions for the UK, and ONS (Public sector current receipts: Appendix D).</w:t>
            </w:r>
          </w:p>
        </w:tc>
      </w:tr>
    </w:tbl>
    <w:p w14:paraId="70A7DBE5" w14:textId="7EBD3834" w:rsidR="00C963C5" w:rsidRDefault="00C963C5" w:rsidP="00C963C5">
      <w:pPr>
        <w:spacing w:before="180" w:after="180" w:line="276" w:lineRule="auto"/>
        <w:rPr>
          <w:szCs w:val="24"/>
        </w:rPr>
      </w:pPr>
      <w:r>
        <w:rPr>
          <w:szCs w:val="24"/>
        </w:rPr>
        <w:lastRenderedPageBreak/>
        <w:t>In addition to taxation, the extractive sector in the UK pays relatively small amounts to government by way of licence fees and other levies. These payments are summarised later in this report.</w:t>
      </w:r>
    </w:p>
    <w:p w14:paraId="72ABE4A9" w14:textId="0F2FDE1B" w:rsidR="00C963C5" w:rsidRDefault="00C963C5" w:rsidP="00C963C5">
      <w:pPr>
        <w:pStyle w:val="Default"/>
        <w:spacing w:after="180" w:line="276" w:lineRule="auto"/>
        <w:rPr>
          <w:rFonts w:ascii="Arial" w:hAnsi="Arial" w:cs="Arial"/>
        </w:rPr>
      </w:pPr>
      <w:r>
        <w:rPr>
          <w:rFonts w:ascii="Arial" w:hAnsi="Arial" w:cs="Arial"/>
        </w:rPr>
        <w:t xml:space="preserve">The level of government revenues from taxes on production of oil and gas is dependent on rates of taxation and adjusted profitability which is driven by a combination of production volumes, commodity prices and cost levels. Historical data by financial year since 1976/77 on upstream oil and gas taxes, including petroleum licence fees, are shown in constant price terms in Figure </w:t>
      </w:r>
      <w:r w:rsidR="00475692">
        <w:rPr>
          <w:rFonts w:ascii="Arial" w:hAnsi="Arial" w:cs="Arial"/>
        </w:rPr>
        <w:t>6</w:t>
      </w:r>
      <w:r>
        <w:rPr>
          <w:rFonts w:ascii="Arial" w:hAnsi="Arial" w:cs="Arial"/>
        </w:rPr>
        <w:t>.</w:t>
      </w:r>
    </w:p>
    <w:p w14:paraId="47702CFE" w14:textId="135E2C4D" w:rsidR="00C963C5" w:rsidRDefault="00C963C5" w:rsidP="00C963C5">
      <w:pPr>
        <w:pStyle w:val="Caption"/>
        <w:keepNext/>
        <w:outlineLvl w:val="0"/>
        <w:rPr>
          <w:rFonts w:ascii="Arial" w:hAnsi="Arial" w:cs="Arial"/>
          <w:b w:val="0"/>
          <w:bCs/>
          <w:sz w:val="22"/>
          <w:szCs w:val="22"/>
        </w:rPr>
      </w:pPr>
      <w:bookmarkStart w:id="12" w:name="_Toc512547339"/>
      <w:r>
        <w:rPr>
          <w:rFonts w:ascii="Arial" w:hAnsi="Arial" w:cs="Arial"/>
          <w:sz w:val="22"/>
          <w:szCs w:val="22"/>
        </w:rPr>
        <w:t xml:space="preserve">Figure </w:t>
      </w:r>
      <w:r w:rsidR="005E6894">
        <w:rPr>
          <w:rFonts w:ascii="Arial" w:hAnsi="Arial" w:cs="Arial"/>
          <w:sz w:val="22"/>
          <w:szCs w:val="22"/>
        </w:rPr>
        <w:t>12</w:t>
      </w:r>
      <w:r>
        <w:rPr>
          <w:rFonts w:ascii="Arial" w:hAnsi="Arial" w:cs="Arial"/>
          <w:sz w:val="22"/>
          <w:szCs w:val="22"/>
        </w:rPr>
        <w:t xml:space="preserve">. </w:t>
      </w:r>
      <w:r>
        <w:rPr>
          <w:rFonts w:ascii="Arial" w:hAnsi="Arial" w:cs="Arial"/>
          <w:bCs/>
          <w:sz w:val="22"/>
          <w:szCs w:val="22"/>
        </w:rPr>
        <w:t>Government Revenues from UK Oil and Gas Production</w:t>
      </w:r>
      <w:r>
        <w:rPr>
          <w:rStyle w:val="FootnoteReference"/>
          <w:rFonts w:ascii="Arial" w:hAnsi="Arial" w:cs="Arial"/>
          <w:b w:val="0"/>
          <w:bCs/>
          <w:sz w:val="22"/>
          <w:szCs w:val="22"/>
        </w:rPr>
        <w:footnoteReference w:id="19"/>
      </w:r>
      <w:bookmarkEnd w:id="12"/>
    </w:p>
    <w:p w14:paraId="357AE105" w14:textId="5DCAB9D4" w:rsidR="00C963C5" w:rsidRDefault="00CB3549" w:rsidP="00C963C5">
      <w:pPr>
        <w:pStyle w:val="Default"/>
        <w:spacing w:after="180" w:line="276" w:lineRule="auto"/>
        <w:rPr>
          <w:rFonts w:ascii="Arial" w:hAnsi="Arial" w:cs="Arial"/>
          <w:sz w:val="18"/>
          <w:szCs w:val="22"/>
        </w:rPr>
      </w:pPr>
      <w:r w:rsidRPr="00CB3549">
        <w:rPr>
          <w:noProof/>
        </w:rPr>
        <w:drawing>
          <wp:inline distT="0" distB="0" distL="0" distR="0" wp14:anchorId="0DDEB63D" wp14:editId="55F55A5A">
            <wp:extent cx="5732145" cy="4004945"/>
            <wp:effectExtent l="0" t="0" r="1905" b="0"/>
            <wp:docPr id="22" name="Picture 22" descr="Figure 10 shows Government revenues (cash, not accruals) from UK oil and gas production in billion pounds (2018-19 prices) and oil price in pounds per barrel (2018-19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4004945"/>
                    </a:xfrm>
                    <a:prstGeom prst="rect">
                      <a:avLst/>
                    </a:prstGeom>
                    <a:noFill/>
                    <a:ln>
                      <a:noFill/>
                    </a:ln>
                  </pic:spPr>
                </pic:pic>
              </a:graphicData>
            </a:graphic>
          </wp:inline>
        </w:drawing>
      </w:r>
    </w:p>
    <w:p w14:paraId="46174100" w14:textId="77777777" w:rsidR="00C963C5" w:rsidRPr="000E1489" w:rsidRDefault="00C963C5" w:rsidP="00C963C5">
      <w:pPr>
        <w:pStyle w:val="Default"/>
        <w:spacing w:after="180" w:line="276" w:lineRule="auto"/>
        <w:rPr>
          <w:rFonts w:ascii="Arial" w:hAnsi="Arial" w:cs="Arial"/>
          <w:sz w:val="16"/>
          <w:szCs w:val="16"/>
        </w:rPr>
      </w:pPr>
      <w:r w:rsidRPr="000E1489">
        <w:rPr>
          <w:rFonts w:ascii="Arial" w:hAnsi="Arial" w:cs="Arial"/>
          <w:sz w:val="16"/>
          <w:szCs w:val="16"/>
        </w:rPr>
        <w:t>Source: OGA</w:t>
      </w:r>
    </w:p>
    <w:p w14:paraId="05258215" w14:textId="6A945108" w:rsidR="00C963C5" w:rsidRDefault="00C963C5" w:rsidP="00C963C5">
      <w:pPr>
        <w:pStyle w:val="Default"/>
        <w:spacing w:after="120" w:line="276" w:lineRule="auto"/>
        <w:rPr>
          <w:rFonts w:ascii="Arial" w:hAnsi="Arial" w:cs="Arial"/>
        </w:rPr>
      </w:pPr>
      <w:r>
        <w:rPr>
          <w:rFonts w:ascii="Arial" w:hAnsi="Arial" w:cs="Arial"/>
        </w:rPr>
        <w:t xml:space="preserve">The overall totals reflect both the combination of RFCT/SC and PRT and of net payments and receipts by individual companies. The overall net repayments reflect the low level of oil (and gas) prices and companies’ varying exposure across their portfolios to the four main phases of upstream activity (exploration, development, production and decommissioning). A few companies paid significant amounts, many paid </w:t>
      </w:r>
      <w:proofErr w:type="gramStart"/>
      <w:r>
        <w:rPr>
          <w:rFonts w:ascii="Arial" w:hAnsi="Arial" w:cs="Arial"/>
        </w:rPr>
        <w:t>nothing</w:t>
      </w:r>
      <w:proofErr w:type="gramEnd"/>
      <w:r>
        <w:rPr>
          <w:rFonts w:ascii="Arial" w:hAnsi="Arial" w:cs="Arial"/>
        </w:rPr>
        <w:t xml:space="preserve"> and some received significant repayments of tax paid in previous years. In future years, with the permanent zero-rating of PRT from the start of 2016, net PRT receipts will be negative, with the carry-back of largely decommissioning-related </w:t>
      </w:r>
      <w:r>
        <w:rPr>
          <w:rFonts w:ascii="Arial" w:hAnsi="Arial" w:cs="Arial"/>
        </w:rPr>
        <w:lastRenderedPageBreak/>
        <w:t>losses resulting in significant repayments of PRT paid in previous years. The overall totals reflect both the combination of RFCT/SC and PRT and the combination of net payments or receipts by individual companies.</w:t>
      </w:r>
      <w:bookmarkStart w:id="13" w:name="_Hlk502751728"/>
    </w:p>
    <w:p w14:paraId="0AFC1462" w14:textId="77777777" w:rsidR="00C963C5" w:rsidRDefault="00C963C5" w:rsidP="00C963C5">
      <w:pPr>
        <w:pStyle w:val="Default"/>
        <w:keepNext/>
        <w:spacing w:after="120" w:line="276" w:lineRule="auto"/>
        <w:outlineLvl w:val="0"/>
        <w:rPr>
          <w:rFonts w:ascii="Arial" w:hAnsi="Arial" w:cs="Arial"/>
          <w:b/>
          <w:bCs/>
        </w:rPr>
      </w:pPr>
      <w:r>
        <w:rPr>
          <w:rFonts w:ascii="Arial" w:hAnsi="Arial" w:cs="Arial"/>
          <w:b/>
          <w:bCs/>
        </w:rPr>
        <w:t>Differences between reconciled EITI amounts and HMRC statistics</w:t>
      </w:r>
    </w:p>
    <w:p w14:paraId="03A6A249" w14:textId="4D452F94" w:rsidR="00C963C5" w:rsidRDefault="00C963C5" w:rsidP="00C963C5">
      <w:pPr>
        <w:spacing w:before="180" w:after="180" w:line="276" w:lineRule="auto"/>
        <w:rPr>
          <w:szCs w:val="24"/>
        </w:rPr>
      </w:pPr>
      <w:r>
        <w:rPr>
          <w:rFonts w:eastAsia="Times New Roman"/>
          <w:szCs w:val="24"/>
          <w:lang w:eastAsia="en-GB"/>
        </w:rPr>
        <w:t xml:space="preserve">There can be differences between the cash totals reported above for RFCT/SC and PRT, based on published HMRC statistics, and the post-reconciliation totals reported in annual reconciliation reports. These totals and the differences are given in the table showing “Differences between reconciled upstream oil and gas tax payments in EITI Reports and cash payments currently reported in HMRC statistics” on the OGA website at </w:t>
      </w:r>
      <w:hyperlink r:id="rId26" w:history="1">
        <w:r>
          <w:rPr>
            <w:rStyle w:val="Hyperlink"/>
            <w:rFonts w:eastAsia="Times New Roman"/>
            <w:szCs w:val="24"/>
            <w:lang w:eastAsia="en-GB"/>
          </w:rPr>
          <w:t>https://www.ogauthority.co.uk/exploration-production/taxation/government-revenues-from-uk-oil-and-gas-production/</w:t>
        </w:r>
      </w:hyperlink>
      <w:r>
        <w:rPr>
          <w:rFonts w:eastAsia="Times New Roman"/>
          <w:szCs w:val="24"/>
          <w:lang w:eastAsia="en-GB"/>
        </w:rPr>
        <w:t xml:space="preserve">. </w:t>
      </w:r>
      <w:r>
        <w:rPr>
          <w:szCs w:val="24"/>
        </w:rPr>
        <w:t>The main reason for the difference between the total of RFCT/SC reconciled for EITI and the total published in HMRC statistics are that HMRC statistics are, at least for recent years, provisional (prior to disaggregation and allocation between payments inside and outside the ring fence)</w:t>
      </w:r>
      <w:r w:rsidR="004A09DD">
        <w:rPr>
          <w:szCs w:val="24"/>
        </w:rPr>
        <w:t xml:space="preserve">. </w:t>
      </w:r>
    </w:p>
    <w:p w14:paraId="2AAC8437" w14:textId="77777777" w:rsidR="00C963C5" w:rsidRDefault="00C963C5" w:rsidP="00C963C5">
      <w:pPr>
        <w:spacing w:after="180" w:line="276" w:lineRule="auto"/>
        <w:rPr>
          <w:szCs w:val="24"/>
        </w:rPr>
      </w:pPr>
      <w:r>
        <w:rPr>
          <w:szCs w:val="24"/>
        </w:rPr>
        <w:t xml:space="preserve">When oil and gas companies make corporation tax </w:t>
      </w:r>
      <w:proofErr w:type="gramStart"/>
      <w:r>
        <w:rPr>
          <w:szCs w:val="24"/>
        </w:rPr>
        <w:t>payments</w:t>
      </w:r>
      <w:proofErr w:type="gramEnd"/>
      <w:r>
        <w:rPr>
          <w:szCs w:val="24"/>
        </w:rPr>
        <w:t xml:space="preserve"> they are not obliged to inform HMRC whether such payments relate to RFCT/SC or mainstream CT. Since 2014, to assist HMRC in relation to EITI reporting, many companies do report the split of payments as they are made to HMRC. Once the tax payment deadline has passed and all tax instalments have been received, HMRC’s statistics team undertakes work to disaggregate these payments made for a group of companies and to re-allocate them into ring fence and non-ring fence payments. HMRC statistics are thus provisional and subject to change, often up to 18 months after the tax year has ended.</w:t>
      </w:r>
    </w:p>
    <w:p w14:paraId="37590693" w14:textId="77777777" w:rsidR="00C963C5" w:rsidRDefault="00C963C5" w:rsidP="00C963C5">
      <w:pPr>
        <w:spacing w:after="180"/>
        <w:rPr>
          <w:szCs w:val="24"/>
        </w:rPr>
      </w:pPr>
      <w:r>
        <w:rPr>
          <w:szCs w:val="24"/>
        </w:rPr>
        <w:t>For PRT, the discrepancy is primarily the result of timing differences between payments and repayments being made and the date that they are recorded on HMRC’s systems.</w:t>
      </w:r>
    </w:p>
    <w:bookmarkEnd w:id="13"/>
    <w:p w14:paraId="6D5E1203" w14:textId="487691BB" w:rsidR="00C963C5" w:rsidRDefault="00C963C5" w:rsidP="00C963C5">
      <w:pPr>
        <w:spacing w:after="180" w:line="276" w:lineRule="auto"/>
        <w:rPr>
          <w:szCs w:val="24"/>
        </w:rPr>
      </w:pPr>
      <w:r>
        <w:rPr>
          <w:szCs w:val="24"/>
        </w:rPr>
        <w:t>Because corporation tax is levied on company level profits and companies can be engaged in both extractive and non-extractive activities, it is not possible to identify how much CT is paid by other extractive industries (i.e. those engaged in mining and quarrying). Estimates of the CT paid by the mining and quarrying sector are published annually by HM Revenue &amp; Customs (HMRC) and include oil and gas and mining support service activities. They are on a liability basis for financial years rather than a cash basis for calendar years.</w:t>
      </w:r>
    </w:p>
    <w:p w14:paraId="7FA51944" w14:textId="77777777" w:rsidR="00243255" w:rsidRPr="000B7100" w:rsidRDefault="00243255" w:rsidP="00E0694A">
      <w:pPr>
        <w:pStyle w:val="Heading2"/>
        <w:keepLines w:val="0"/>
        <w:numPr>
          <w:ilvl w:val="1"/>
          <w:numId w:val="43"/>
        </w:numPr>
        <w:shd w:val="clear" w:color="auto" w:fill="BFBFBF"/>
        <w:tabs>
          <w:tab w:val="clear" w:pos="567"/>
        </w:tabs>
        <w:spacing w:after="180" w:line="276" w:lineRule="auto"/>
        <w:ind w:left="567" w:hanging="567"/>
        <w:rPr>
          <w:szCs w:val="24"/>
        </w:rPr>
      </w:pPr>
      <w:bookmarkStart w:id="14" w:name="_Hlk507871889"/>
      <w:r w:rsidRPr="000B7100">
        <w:rPr>
          <w:rFonts w:cs="Arial"/>
          <w:szCs w:val="24"/>
        </w:rPr>
        <w:lastRenderedPageBreak/>
        <w:t>Reserves and forecasts</w:t>
      </w:r>
    </w:p>
    <w:bookmarkEnd w:id="14"/>
    <w:p w14:paraId="7BC74EF8" w14:textId="77777777" w:rsidR="00243255" w:rsidRPr="00AF5325" w:rsidRDefault="00243255" w:rsidP="00243255">
      <w:pPr>
        <w:pStyle w:val="Default"/>
        <w:spacing w:after="180" w:line="276" w:lineRule="auto"/>
        <w:rPr>
          <w:rFonts w:ascii="Arial" w:hAnsi="Arial" w:cs="Arial"/>
          <w:color w:val="auto"/>
        </w:rPr>
      </w:pPr>
      <w:r w:rsidRPr="00AF5325">
        <w:rPr>
          <w:rFonts w:ascii="Arial" w:hAnsi="Arial" w:cs="Arial"/>
          <w:color w:val="auto"/>
        </w:rPr>
        <w:t>Full details of the assumptions underpinning forthcoming years in the Budget cycle relating to projected production, commodity prices and revenue forecasts are provided by the independent OBR.</w:t>
      </w:r>
      <w:r w:rsidRPr="00AF5325">
        <w:rPr>
          <w:rFonts w:ascii="Arial" w:hAnsi="Arial" w:cs="Arial"/>
          <w:color w:val="auto"/>
          <w:vertAlign w:val="superscript"/>
        </w:rPr>
        <w:footnoteReference w:id="20"/>
      </w:r>
    </w:p>
    <w:p w14:paraId="225344C7" w14:textId="543AF15B" w:rsidR="008323CD" w:rsidRPr="00595CB3" w:rsidRDefault="008323CD" w:rsidP="008323CD">
      <w:pPr>
        <w:pStyle w:val="Caption"/>
        <w:keepNext/>
        <w:spacing w:before="0" w:line="276" w:lineRule="auto"/>
        <w:outlineLvl w:val="0"/>
        <w:rPr>
          <w:rFonts w:ascii="Arial" w:hAnsi="Arial" w:cs="Arial"/>
          <w:sz w:val="22"/>
          <w:szCs w:val="22"/>
        </w:rPr>
      </w:pPr>
      <w:bookmarkStart w:id="15" w:name="_Toc512547349"/>
      <w:r w:rsidRPr="00595CB3">
        <w:rPr>
          <w:rFonts w:ascii="Arial" w:hAnsi="Arial" w:cs="Arial"/>
          <w:sz w:val="22"/>
          <w:szCs w:val="22"/>
        </w:rPr>
        <w:t>Figure</w:t>
      </w:r>
      <w:r w:rsidR="00333237">
        <w:rPr>
          <w:rFonts w:ascii="Arial" w:hAnsi="Arial" w:cs="Arial"/>
          <w:sz w:val="22"/>
          <w:szCs w:val="22"/>
        </w:rPr>
        <w:t xml:space="preserve"> </w:t>
      </w:r>
      <w:r w:rsidR="00D827A2">
        <w:rPr>
          <w:rFonts w:ascii="Arial" w:hAnsi="Arial" w:cs="Arial"/>
          <w:sz w:val="22"/>
          <w:szCs w:val="22"/>
        </w:rPr>
        <w:t>13</w:t>
      </w:r>
      <w:r w:rsidRPr="00595CB3">
        <w:rPr>
          <w:rFonts w:ascii="Arial" w:hAnsi="Arial" w:cs="Arial"/>
          <w:bCs/>
          <w:sz w:val="22"/>
          <w:szCs w:val="22"/>
        </w:rPr>
        <w:t>. Recoverable UK oil and gas reserves discovered and produced</w:t>
      </w:r>
      <w:r w:rsidRPr="00595CB3">
        <w:rPr>
          <w:rStyle w:val="FootnoteReference"/>
          <w:rFonts w:ascii="Arial" w:hAnsi="Arial" w:cs="Arial"/>
          <w:bCs/>
          <w:sz w:val="22"/>
          <w:szCs w:val="22"/>
        </w:rPr>
        <w:footnoteReference w:id="21"/>
      </w:r>
      <w:bookmarkEnd w:id="15"/>
    </w:p>
    <w:p w14:paraId="6F8246E1" w14:textId="36C8E59C" w:rsidR="008323CD" w:rsidRPr="00595CB3" w:rsidRDefault="00FF5107" w:rsidP="008323CD">
      <w:pPr>
        <w:pStyle w:val="Default"/>
        <w:keepNext/>
        <w:spacing w:after="120" w:line="276" w:lineRule="auto"/>
        <w:rPr>
          <w:rFonts w:ascii="Arial" w:hAnsi="Arial" w:cs="Arial"/>
          <w:color w:val="auto"/>
          <w:sz w:val="22"/>
          <w:szCs w:val="22"/>
        </w:rPr>
      </w:pPr>
      <w:r>
        <w:rPr>
          <w:noProof/>
        </w:rPr>
        <w:drawing>
          <wp:inline distT="0" distB="0" distL="0" distR="0" wp14:anchorId="42DEC5B1" wp14:editId="49A03C51">
            <wp:extent cx="5702300" cy="3421380"/>
            <wp:effectExtent l="0" t="0" r="0" b="7620"/>
            <wp:docPr id="9" name="Picture 9" descr="Figure 11 shows the recoverable UK oil and gas reserves discovered and produced in billion barrels equivalent from 1964-20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02300" cy="3421380"/>
                    </a:xfrm>
                    <a:prstGeom prst="rect">
                      <a:avLst/>
                    </a:prstGeom>
                    <a:noFill/>
                  </pic:spPr>
                </pic:pic>
              </a:graphicData>
            </a:graphic>
          </wp:inline>
        </w:drawing>
      </w:r>
    </w:p>
    <w:p w14:paraId="5C70EECB" w14:textId="184B0004" w:rsidR="004452D4" w:rsidRPr="000E1489" w:rsidRDefault="004452D4" w:rsidP="00E0694A">
      <w:pPr>
        <w:pStyle w:val="Default"/>
        <w:spacing w:after="180" w:line="276" w:lineRule="auto"/>
        <w:rPr>
          <w:rFonts w:ascii="Arial" w:hAnsi="Arial" w:cs="Arial"/>
          <w:color w:val="auto"/>
          <w:sz w:val="16"/>
          <w:szCs w:val="16"/>
        </w:rPr>
      </w:pPr>
      <w:r w:rsidRPr="000E1489">
        <w:rPr>
          <w:rFonts w:ascii="Arial" w:hAnsi="Arial" w:cs="Arial"/>
          <w:color w:val="auto"/>
          <w:sz w:val="16"/>
          <w:szCs w:val="16"/>
        </w:rPr>
        <w:t>Source: Wood Mackenzie</w:t>
      </w:r>
      <w:r w:rsidR="006237B3" w:rsidRPr="000E1489">
        <w:rPr>
          <w:rFonts w:ascii="Arial" w:hAnsi="Arial" w:cs="Arial"/>
          <w:color w:val="auto"/>
          <w:sz w:val="16"/>
          <w:szCs w:val="16"/>
        </w:rPr>
        <w:t>.</w:t>
      </w:r>
    </w:p>
    <w:p w14:paraId="7385BC7B" w14:textId="1A882036" w:rsidR="00C4049B" w:rsidRPr="00AF5325" w:rsidRDefault="00DC0624" w:rsidP="00170D92">
      <w:pPr>
        <w:pStyle w:val="Default"/>
        <w:spacing w:after="180" w:line="276" w:lineRule="auto"/>
        <w:rPr>
          <w:rFonts w:ascii="Arial" w:hAnsi="Arial" w:cs="Arial"/>
          <w:color w:val="auto"/>
        </w:rPr>
      </w:pPr>
      <w:r w:rsidRPr="00AF5325">
        <w:rPr>
          <w:rFonts w:ascii="Arial" w:hAnsi="Arial" w:cs="Arial"/>
          <w:color w:val="auto"/>
        </w:rPr>
        <w:t>The path of future production is uncertain and, consequently, f</w:t>
      </w:r>
      <w:r w:rsidR="00C4049B" w:rsidRPr="00AF5325">
        <w:rPr>
          <w:rFonts w:ascii="Arial" w:hAnsi="Arial" w:cs="Arial"/>
          <w:color w:val="auto"/>
        </w:rPr>
        <w:t xml:space="preserve">orecasts of future production rates vary. </w:t>
      </w:r>
      <w:r w:rsidR="000070E4">
        <w:rPr>
          <w:rFonts w:ascii="Arial" w:hAnsi="Arial" w:cs="Arial"/>
          <w:color w:val="auto"/>
        </w:rPr>
        <w:t>Currently</w:t>
      </w:r>
      <w:r w:rsidR="00A32383" w:rsidRPr="00AF5325">
        <w:rPr>
          <w:rFonts w:ascii="Arial" w:hAnsi="Arial" w:cs="Arial"/>
          <w:color w:val="auto"/>
        </w:rPr>
        <w:t xml:space="preserve"> </w:t>
      </w:r>
      <w:r w:rsidR="00C4049B" w:rsidRPr="00AF5325">
        <w:rPr>
          <w:rFonts w:ascii="Arial" w:hAnsi="Arial" w:cs="Arial"/>
          <w:color w:val="auto"/>
        </w:rPr>
        <w:t xml:space="preserve">the OGA’s central projection </w:t>
      </w:r>
      <w:r w:rsidR="001A721C">
        <w:rPr>
          <w:rFonts w:ascii="Arial" w:hAnsi="Arial" w:cs="Arial"/>
          <w:color w:val="auto"/>
        </w:rPr>
        <w:t>is</w:t>
      </w:r>
      <w:r w:rsidR="001A721C" w:rsidRPr="00AF5325">
        <w:rPr>
          <w:rFonts w:ascii="Arial" w:hAnsi="Arial" w:cs="Arial"/>
          <w:color w:val="auto"/>
        </w:rPr>
        <w:t xml:space="preserve"> </w:t>
      </w:r>
      <w:r w:rsidR="00C4049B" w:rsidRPr="00AF5325">
        <w:rPr>
          <w:rFonts w:ascii="Arial" w:hAnsi="Arial" w:cs="Arial"/>
          <w:color w:val="auto"/>
        </w:rPr>
        <w:t xml:space="preserve">for </w:t>
      </w:r>
      <w:r w:rsidR="00BE49F3">
        <w:rPr>
          <w:rFonts w:ascii="Arial" w:hAnsi="Arial" w:cs="Arial"/>
          <w:color w:val="auto"/>
        </w:rPr>
        <w:t xml:space="preserve">flat </w:t>
      </w:r>
      <w:r w:rsidR="00A32383" w:rsidRPr="00AF5325">
        <w:rPr>
          <w:rFonts w:ascii="Arial" w:hAnsi="Arial" w:cs="Arial"/>
          <w:color w:val="auto"/>
        </w:rPr>
        <w:t xml:space="preserve">production in </w:t>
      </w:r>
      <w:r w:rsidR="00CB24A7" w:rsidRPr="00AF5325">
        <w:rPr>
          <w:rFonts w:ascii="Arial" w:hAnsi="Arial" w:cs="Arial"/>
          <w:color w:val="auto"/>
        </w:rPr>
        <w:t>201</w:t>
      </w:r>
      <w:r w:rsidR="00BE49F3">
        <w:rPr>
          <w:rFonts w:ascii="Arial" w:hAnsi="Arial" w:cs="Arial"/>
          <w:color w:val="auto"/>
        </w:rPr>
        <w:t>9</w:t>
      </w:r>
      <w:r w:rsidR="00CB24A7" w:rsidRPr="00AF5325">
        <w:rPr>
          <w:rFonts w:ascii="Arial" w:hAnsi="Arial" w:cs="Arial"/>
          <w:color w:val="auto"/>
        </w:rPr>
        <w:t xml:space="preserve"> </w:t>
      </w:r>
      <w:r w:rsidR="007D42BF" w:rsidRPr="00AF5325">
        <w:rPr>
          <w:rFonts w:ascii="Arial" w:hAnsi="Arial" w:cs="Arial"/>
          <w:color w:val="auto"/>
        </w:rPr>
        <w:t xml:space="preserve">followed by </w:t>
      </w:r>
      <w:r w:rsidR="00BE49F3">
        <w:rPr>
          <w:rFonts w:ascii="Arial" w:hAnsi="Arial" w:cs="Arial"/>
          <w:color w:val="auto"/>
        </w:rPr>
        <w:t>both oil and gas</w:t>
      </w:r>
      <w:r w:rsidR="00BE49F3" w:rsidRPr="00AF5325">
        <w:rPr>
          <w:rFonts w:ascii="Arial" w:hAnsi="Arial" w:cs="Arial"/>
          <w:color w:val="auto"/>
        </w:rPr>
        <w:t xml:space="preserve"> </w:t>
      </w:r>
      <w:r w:rsidR="00C4049B" w:rsidRPr="00AF5325">
        <w:rPr>
          <w:rFonts w:ascii="Arial" w:hAnsi="Arial" w:cs="Arial"/>
          <w:color w:val="auto"/>
        </w:rPr>
        <w:t>declining</w:t>
      </w:r>
      <w:r w:rsidR="000C6632">
        <w:rPr>
          <w:rFonts w:ascii="Arial" w:hAnsi="Arial" w:cs="Arial"/>
          <w:color w:val="auto"/>
        </w:rPr>
        <w:t xml:space="preserve"> at a rate of 5% a year</w:t>
      </w:r>
      <w:r w:rsidR="00D750A7">
        <w:rPr>
          <w:rFonts w:ascii="Arial" w:hAnsi="Arial" w:cs="Arial"/>
          <w:color w:val="auto"/>
        </w:rPr>
        <w:t xml:space="preserve"> after 2020</w:t>
      </w:r>
      <w:r w:rsidR="000C6632">
        <w:rPr>
          <w:rFonts w:ascii="Arial" w:hAnsi="Arial" w:cs="Arial"/>
          <w:color w:val="auto"/>
        </w:rPr>
        <w:t xml:space="preserve"> </w:t>
      </w:r>
      <w:r w:rsidR="00C4049B" w:rsidRPr="00AF5325">
        <w:rPr>
          <w:rFonts w:ascii="Arial" w:hAnsi="Arial" w:cs="Arial"/>
          <w:color w:val="auto"/>
        </w:rPr>
        <w:t xml:space="preserve">(Figure </w:t>
      </w:r>
      <w:r w:rsidR="008F378F">
        <w:rPr>
          <w:rFonts w:ascii="Arial" w:hAnsi="Arial" w:cs="Arial"/>
          <w:color w:val="auto"/>
        </w:rPr>
        <w:t>14</w:t>
      </w:r>
      <w:r w:rsidR="00C4049B" w:rsidRPr="00AF5325">
        <w:rPr>
          <w:rFonts w:ascii="Arial" w:hAnsi="Arial" w:cs="Arial"/>
          <w:color w:val="auto"/>
        </w:rPr>
        <w:t>).</w:t>
      </w:r>
    </w:p>
    <w:p w14:paraId="6C9CB99C" w14:textId="73487DE6" w:rsidR="00175D1E" w:rsidRPr="00595CB3" w:rsidRDefault="00C832E7" w:rsidP="00BC7065">
      <w:pPr>
        <w:pStyle w:val="Caption"/>
        <w:keepNext/>
        <w:spacing w:before="0" w:line="276" w:lineRule="auto"/>
        <w:outlineLvl w:val="0"/>
        <w:rPr>
          <w:rFonts w:ascii="Arial" w:hAnsi="Arial" w:cs="Arial"/>
          <w:sz w:val="22"/>
          <w:szCs w:val="22"/>
        </w:rPr>
      </w:pPr>
      <w:bookmarkStart w:id="16" w:name="_Toc512547350"/>
      <w:r w:rsidRPr="00595CB3">
        <w:rPr>
          <w:rFonts w:ascii="Arial" w:hAnsi="Arial" w:cs="Arial"/>
          <w:sz w:val="22"/>
          <w:szCs w:val="22"/>
        </w:rPr>
        <w:lastRenderedPageBreak/>
        <w:t xml:space="preserve">Figure </w:t>
      </w:r>
      <w:r w:rsidR="008F378F">
        <w:rPr>
          <w:rFonts w:ascii="Arial" w:hAnsi="Arial" w:cs="Arial"/>
          <w:sz w:val="22"/>
          <w:szCs w:val="22"/>
        </w:rPr>
        <w:t>14</w:t>
      </w:r>
      <w:r w:rsidR="00175D1E" w:rsidRPr="00595CB3">
        <w:rPr>
          <w:rFonts w:ascii="Arial" w:hAnsi="Arial" w:cs="Arial"/>
          <w:bCs/>
          <w:sz w:val="22"/>
          <w:szCs w:val="22"/>
        </w:rPr>
        <w:t xml:space="preserve">. OGA </w:t>
      </w:r>
      <w:r w:rsidR="00052CAC">
        <w:rPr>
          <w:rFonts w:ascii="Arial" w:hAnsi="Arial" w:cs="Arial"/>
          <w:bCs/>
          <w:sz w:val="22"/>
          <w:szCs w:val="22"/>
        </w:rPr>
        <w:t xml:space="preserve">projections </w:t>
      </w:r>
      <w:r w:rsidR="00175D1E" w:rsidRPr="00595CB3">
        <w:rPr>
          <w:rFonts w:ascii="Arial" w:hAnsi="Arial" w:cs="Arial"/>
          <w:bCs/>
          <w:sz w:val="22"/>
          <w:szCs w:val="22"/>
        </w:rPr>
        <w:t>of future UK</w:t>
      </w:r>
      <w:r w:rsidR="005E5164" w:rsidRPr="00595CB3">
        <w:rPr>
          <w:rFonts w:ascii="Arial" w:hAnsi="Arial" w:cs="Arial"/>
          <w:bCs/>
          <w:sz w:val="22"/>
          <w:szCs w:val="22"/>
        </w:rPr>
        <w:t xml:space="preserve"> oil and gas</w:t>
      </w:r>
      <w:r w:rsidR="00175D1E" w:rsidRPr="00595CB3">
        <w:rPr>
          <w:rFonts w:ascii="Arial" w:hAnsi="Arial" w:cs="Arial"/>
          <w:bCs/>
          <w:sz w:val="22"/>
          <w:szCs w:val="22"/>
        </w:rPr>
        <w:t xml:space="preserve"> production</w:t>
      </w:r>
      <w:r w:rsidR="00175D1E" w:rsidRPr="00595CB3">
        <w:rPr>
          <w:rStyle w:val="FootnoteReference"/>
          <w:rFonts w:ascii="Arial" w:hAnsi="Arial" w:cs="Arial"/>
          <w:bCs/>
          <w:sz w:val="22"/>
          <w:szCs w:val="22"/>
        </w:rPr>
        <w:footnoteReference w:id="22"/>
      </w:r>
      <w:bookmarkEnd w:id="16"/>
    </w:p>
    <w:p w14:paraId="53898A7C" w14:textId="5AF10E5A" w:rsidR="00175D1E" w:rsidRPr="00595CB3" w:rsidRDefault="00052CAC" w:rsidP="004452D4">
      <w:pPr>
        <w:pStyle w:val="Default"/>
        <w:keepNext/>
        <w:spacing w:after="180" w:line="276" w:lineRule="auto"/>
        <w:rPr>
          <w:rFonts w:ascii="Arial" w:hAnsi="Arial" w:cs="Arial"/>
          <w:b/>
          <w:bCs/>
          <w:sz w:val="22"/>
          <w:szCs w:val="22"/>
        </w:rPr>
      </w:pPr>
      <w:r w:rsidRPr="00052CAC">
        <w:rPr>
          <w:noProof/>
        </w:rPr>
        <w:drawing>
          <wp:inline distT="0" distB="0" distL="0" distR="0" wp14:anchorId="66D99A38" wp14:editId="28104911">
            <wp:extent cx="5732145" cy="2924810"/>
            <wp:effectExtent l="0" t="0" r="1905" b="8890"/>
            <wp:docPr id="28" name="Picture 28" descr="Figure 12 shows OGA projections of future UK oil and gas production in million barrels of oil equivalent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8">
                      <a:extLst>
                        <a:ext uri="{28A0092B-C50C-407E-A947-70E740481C1C}">
                          <a14:useLocalDpi xmlns:a14="http://schemas.microsoft.com/office/drawing/2010/main" val="0"/>
                        </a:ext>
                      </a:extLst>
                    </a:blip>
                    <a:srcRect t="7807"/>
                    <a:stretch/>
                  </pic:blipFill>
                  <pic:spPr bwMode="auto">
                    <a:xfrm>
                      <a:off x="0" y="0"/>
                      <a:ext cx="5732145" cy="2924810"/>
                    </a:xfrm>
                    <a:prstGeom prst="rect">
                      <a:avLst/>
                    </a:prstGeom>
                    <a:noFill/>
                    <a:ln>
                      <a:noFill/>
                    </a:ln>
                    <a:extLst>
                      <a:ext uri="{53640926-AAD7-44D8-BBD7-CCE9431645EC}">
                        <a14:shadowObscured xmlns:a14="http://schemas.microsoft.com/office/drawing/2010/main"/>
                      </a:ext>
                    </a:extLst>
                  </pic:spPr>
                </pic:pic>
              </a:graphicData>
            </a:graphic>
          </wp:inline>
        </w:drawing>
      </w:r>
    </w:p>
    <w:p w14:paraId="5E9297C7" w14:textId="1591EB96" w:rsidR="004452D4" w:rsidRPr="000E1489" w:rsidRDefault="004452D4" w:rsidP="00175D1E">
      <w:pPr>
        <w:pStyle w:val="Default"/>
        <w:spacing w:after="180" w:line="276" w:lineRule="auto"/>
        <w:rPr>
          <w:rFonts w:ascii="Arial" w:hAnsi="Arial" w:cs="Arial"/>
          <w:bCs/>
          <w:sz w:val="16"/>
          <w:szCs w:val="16"/>
        </w:rPr>
      </w:pPr>
      <w:r w:rsidRPr="000E1489">
        <w:rPr>
          <w:rFonts w:ascii="Arial" w:hAnsi="Arial" w:cs="Arial"/>
          <w:bCs/>
          <w:sz w:val="16"/>
          <w:szCs w:val="16"/>
        </w:rPr>
        <w:t>Source: OGA</w:t>
      </w:r>
      <w:r w:rsidR="006237B3" w:rsidRPr="000E1489">
        <w:rPr>
          <w:rFonts w:ascii="Arial" w:hAnsi="Arial" w:cs="Arial"/>
          <w:bCs/>
          <w:sz w:val="16"/>
          <w:szCs w:val="16"/>
        </w:rPr>
        <w:t>.</w:t>
      </w:r>
    </w:p>
    <w:p w14:paraId="0B14ABD9" w14:textId="77777777" w:rsidR="00243255" w:rsidRPr="0059555C" w:rsidRDefault="00243255" w:rsidP="00E0694A">
      <w:pPr>
        <w:pStyle w:val="Heading2"/>
        <w:keepLines w:val="0"/>
        <w:numPr>
          <w:ilvl w:val="1"/>
          <w:numId w:val="43"/>
        </w:numPr>
        <w:shd w:val="clear" w:color="auto" w:fill="BFBFBF"/>
        <w:tabs>
          <w:tab w:val="clear" w:pos="567"/>
        </w:tabs>
        <w:spacing w:after="180" w:line="276" w:lineRule="auto"/>
        <w:ind w:left="567" w:hanging="567"/>
        <w:rPr>
          <w:szCs w:val="24"/>
        </w:rPr>
      </w:pPr>
      <w:r w:rsidRPr="0059555C">
        <w:rPr>
          <w:rFonts w:cs="Arial"/>
          <w:szCs w:val="24"/>
        </w:rPr>
        <w:t>Employment</w:t>
      </w:r>
    </w:p>
    <w:p w14:paraId="20DBFC3A" w14:textId="50494DD0" w:rsidR="007A601C" w:rsidRPr="00B66EA6" w:rsidRDefault="00243255" w:rsidP="007A601C">
      <w:pPr>
        <w:pStyle w:val="Default"/>
        <w:spacing w:after="180" w:line="276" w:lineRule="auto"/>
        <w:rPr>
          <w:rFonts w:ascii="Arial" w:hAnsi="Arial" w:cs="Arial"/>
          <w:color w:val="auto"/>
        </w:rPr>
      </w:pPr>
      <w:r w:rsidRPr="00B66EA6">
        <w:rPr>
          <w:rFonts w:ascii="Arial" w:hAnsi="Arial" w:cs="Arial"/>
          <w:color w:val="auto"/>
        </w:rPr>
        <w:t xml:space="preserve">In addition to direct employment in oil and gas companies there </w:t>
      </w:r>
      <w:r w:rsidR="00517493" w:rsidRPr="00B66EA6">
        <w:rPr>
          <w:rFonts w:ascii="Arial" w:hAnsi="Arial" w:cs="Arial"/>
          <w:color w:val="auto"/>
        </w:rPr>
        <w:t xml:space="preserve">is </w:t>
      </w:r>
      <w:r w:rsidRPr="00B66EA6">
        <w:rPr>
          <w:rFonts w:ascii="Arial" w:hAnsi="Arial" w:cs="Arial"/>
          <w:color w:val="auto"/>
        </w:rPr>
        <w:t>a significant number of jobs in companies providing support activities. Official estimates for both are tabulated below</w:t>
      </w:r>
      <w:r w:rsidR="001F3A40">
        <w:rPr>
          <w:rFonts w:ascii="Arial" w:hAnsi="Arial" w:cs="Arial"/>
          <w:color w:val="auto"/>
        </w:rPr>
        <w:t>:</w:t>
      </w:r>
    </w:p>
    <w:p w14:paraId="326801B5" w14:textId="7171AF43" w:rsidR="007A601C" w:rsidRDefault="007A601C" w:rsidP="007A601C">
      <w:pPr>
        <w:pStyle w:val="Caption"/>
        <w:keepNext/>
        <w:spacing w:before="0" w:line="276" w:lineRule="auto"/>
        <w:outlineLvl w:val="0"/>
        <w:rPr>
          <w:rFonts w:ascii="Arial" w:hAnsi="Arial" w:cs="Arial"/>
          <w:bCs/>
          <w:sz w:val="22"/>
          <w:szCs w:val="22"/>
        </w:rPr>
      </w:pPr>
      <w:bookmarkStart w:id="17" w:name="_Toc512547335"/>
      <w:r w:rsidRPr="00595CB3">
        <w:rPr>
          <w:rFonts w:ascii="Arial" w:hAnsi="Arial" w:cs="Arial"/>
          <w:sz w:val="22"/>
          <w:szCs w:val="22"/>
        </w:rPr>
        <w:t>Table</w:t>
      </w:r>
      <w:r>
        <w:rPr>
          <w:rFonts w:ascii="Arial" w:hAnsi="Arial" w:cs="Arial"/>
          <w:sz w:val="22"/>
          <w:szCs w:val="22"/>
        </w:rPr>
        <w:t xml:space="preserve"> </w:t>
      </w:r>
      <w:r w:rsidR="00C559E9">
        <w:rPr>
          <w:rFonts w:ascii="Arial" w:hAnsi="Arial" w:cs="Arial"/>
          <w:sz w:val="22"/>
          <w:szCs w:val="22"/>
        </w:rPr>
        <w:t>3</w:t>
      </w:r>
      <w:r w:rsidRPr="00595CB3">
        <w:rPr>
          <w:rFonts w:ascii="Arial" w:hAnsi="Arial" w:cs="Arial"/>
          <w:sz w:val="22"/>
          <w:szCs w:val="22"/>
        </w:rPr>
        <w:t xml:space="preserve">. </w:t>
      </w:r>
      <w:r w:rsidRPr="00595CB3">
        <w:rPr>
          <w:rFonts w:ascii="Arial" w:hAnsi="Arial" w:cs="Arial"/>
          <w:bCs/>
          <w:sz w:val="22"/>
          <w:szCs w:val="22"/>
        </w:rPr>
        <w:t>Direct employment (Great Britain not United Kingdom)</w:t>
      </w:r>
      <w:r w:rsidRPr="00595CB3">
        <w:rPr>
          <w:rStyle w:val="FootnoteReference"/>
          <w:rFonts w:ascii="Arial" w:hAnsi="Arial" w:cs="Arial"/>
          <w:bCs/>
          <w:sz w:val="22"/>
          <w:szCs w:val="22"/>
        </w:rPr>
        <w:footnoteReference w:id="23"/>
      </w:r>
      <w:bookmarkEnd w:id="17"/>
    </w:p>
    <w:p w14:paraId="180C833F" w14:textId="4FE92E2C" w:rsidR="00EC365E" w:rsidRDefault="00183B17" w:rsidP="00EC365E">
      <w:r w:rsidRPr="00183B17">
        <w:rPr>
          <w:noProof/>
        </w:rPr>
        <w:drawing>
          <wp:inline distT="0" distB="0" distL="0" distR="0" wp14:anchorId="692946D2" wp14:editId="7F8069F7">
            <wp:extent cx="5600700" cy="904875"/>
            <wp:effectExtent l="0" t="0" r="0" b="9525"/>
            <wp:docPr id="25" name="Picture 25" descr="Table 3 shows Direct employment in Great Britain in thousands for oil and gas extraction and support activities for petroleum and natural gas extraction from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0700" cy="904875"/>
                    </a:xfrm>
                    <a:prstGeom prst="rect">
                      <a:avLst/>
                    </a:prstGeom>
                    <a:noFill/>
                    <a:ln>
                      <a:noFill/>
                    </a:ln>
                  </pic:spPr>
                </pic:pic>
              </a:graphicData>
            </a:graphic>
          </wp:inline>
        </w:drawing>
      </w:r>
    </w:p>
    <w:tbl>
      <w:tblPr>
        <w:tblW w:w="0" w:type="auto"/>
        <w:tblInd w:w="70" w:type="dxa"/>
        <w:tblCellMar>
          <w:left w:w="70" w:type="dxa"/>
          <w:right w:w="70" w:type="dxa"/>
        </w:tblCellMar>
        <w:tblLook w:val="04A0" w:firstRow="1" w:lastRow="0" w:firstColumn="1" w:lastColumn="0" w:noHBand="0" w:noVBand="1"/>
        <w:tblCaption w:val="Table 3. Direct employment (Great Britain not United Kingdom) (in thousands)"/>
        <w:tblDescription w:val="Table 3 shows direct employment in oil and gas extraction and support services in thousands for the period 2013-2017.                                                                     "/>
      </w:tblPr>
      <w:tblGrid>
        <w:gridCol w:w="4631"/>
        <w:gridCol w:w="146"/>
      </w:tblGrid>
      <w:tr w:rsidR="003A6C60" w:rsidRPr="00E37A3B" w14:paraId="3B54AB05" w14:textId="77777777" w:rsidTr="00990A02">
        <w:trPr>
          <w:trHeight w:val="283"/>
        </w:trPr>
        <w:tc>
          <w:tcPr>
            <w:tcW w:w="0" w:type="auto"/>
            <w:tcBorders>
              <w:top w:val="nil"/>
              <w:left w:val="nil"/>
              <w:bottom w:val="nil"/>
              <w:right w:val="nil"/>
            </w:tcBorders>
            <w:shd w:val="clear" w:color="auto" w:fill="auto"/>
            <w:noWrap/>
            <w:vAlign w:val="center"/>
            <w:hideMark/>
          </w:tcPr>
          <w:p w14:paraId="45445FA3" w14:textId="77777777" w:rsidR="003A6C60" w:rsidRPr="000E1489" w:rsidRDefault="003A6C60" w:rsidP="00E37A3B">
            <w:pPr>
              <w:pStyle w:val="Default"/>
              <w:spacing w:after="180" w:line="276" w:lineRule="auto"/>
              <w:rPr>
                <w:rFonts w:ascii="Arial" w:hAnsi="Arial" w:cs="Arial"/>
                <w:color w:val="auto"/>
                <w:sz w:val="16"/>
                <w:szCs w:val="16"/>
              </w:rPr>
            </w:pPr>
            <w:r w:rsidRPr="000E1489">
              <w:rPr>
                <w:rFonts w:ascii="Arial" w:hAnsi="Arial" w:cs="Arial"/>
                <w:color w:val="auto"/>
                <w:sz w:val="16"/>
                <w:szCs w:val="16"/>
              </w:rPr>
              <w:t>Source: Business Register and Employment Survey (Table 2a).</w:t>
            </w:r>
          </w:p>
        </w:tc>
        <w:tc>
          <w:tcPr>
            <w:tcW w:w="0" w:type="auto"/>
            <w:tcBorders>
              <w:top w:val="nil"/>
              <w:left w:val="nil"/>
              <w:bottom w:val="nil"/>
              <w:right w:val="nil"/>
            </w:tcBorders>
            <w:shd w:val="clear" w:color="auto" w:fill="auto"/>
            <w:noWrap/>
            <w:vAlign w:val="center"/>
            <w:hideMark/>
          </w:tcPr>
          <w:p w14:paraId="6B15B885" w14:textId="77777777" w:rsidR="003A6C60" w:rsidRPr="00E37A3B" w:rsidRDefault="003A6C60" w:rsidP="00E37A3B">
            <w:pPr>
              <w:pStyle w:val="Default"/>
              <w:spacing w:after="180" w:line="276" w:lineRule="auto"/>
              <w:rPr>
                <w:rFonts w:ascii="Arial" w:hAnsi="Arial" w:cs="Arial"/>
                <w:color w:val="auto"/>
                <w:sz w:val="18"/>
                <w:szCs w:val="22"/>
              </w:rPr>
            </w:pPr>
          </w:p>
        </w:tc>
      </w:tr>
    </w:tbl>
    <w:p w14:paraId="16734687" w14:textId="26BC0A5D" w:rsidR="00A10787" w:rsidRDefault="00E52F45" w:rsidP="00E0694A">
      <w:pPr>
        <w:autoSpaceDE w:val="0"/>
        <w:autoSpaceDN w:val="0"/>
        <w:adjustRightInd w:val="0"/>
        <w:spacing w:after="180" w:line="276" w:lineRule="auto"/>
        <w:rPr>
          <w:rFonts w:eastAsia="Calibri"/>
          <w:szCs w:val="24"/>
        </w:rPr>
      </w:pPr>
      <w:r w:rsidRPr="00B66EA6">
        <w:rPr>
          <w:rFonts w:eastAsia="Calibri"/>
          <w:szCs w:val="24"/>
        </w:rPr>
        <w:t xml:space="preserve">Additional information on employment in the UK oil and gas industry, including the UK supply chain, is published by </w:t>
      </w:r>
      <w:r w:rsidR="0071018C">
        <w:rPr>
          <w:rFonts w:eastAsia="Calibri"/>
          <w:szCs w:val="24"/>
        </w:rPr>
        <w:t>OGUK</w:t>
      </w:r>
      <w:r w:rsidRPr="00B66EA6">
        <w:rPr>
          <w:rFonts w:eastAsia="Calibri"/>
          <w:szCs w:val="24"/>
        </w:rPr>
        <w:t>.</w:t>
      </w:r>
      <w:r w:rsidRPr="00B66EA6">
        <w:rPr>
          <w:rFonts w:eastAsia="Calibri"/>
          <w:szCs w:val="24"/>
          <w:vertAlign w:val="superscript"/>
        </w:rPr>
        <w:footnoteReference w:id="24"/>
      </w:r>
      <w:r w:rsidRPr="00B66EA6">
        <w:rPr>
          <w:rFonts w:eastAsia="Calibri"/>
          <w:szCs w:val="24"/>
        </w:rPr>
        <w:t xml:space="preserve"> This information includes estimates of the indirect and induced jobs that depend on the UK’s upstream oil and gas sector. </w:t>
      </w:r>
      <w:r w:rsidR="00B1743C" w:rsidRPr="00B66EA6">
        <w:rPr>
          <w:rFonts w:eastAsia="Calibri"/>
          <w:szCs w:val="24"/>
        </w:rPr>
        <w:t>Note that t</w:t>
      </w:r>
      <w:r w:rsidRPr="00B66EA6">
        <w:rPr>
          <w:rFonts w:eastAsia="Calibri"/>
          <w:szCs w:val="24"/>
        </w:rPr>
        <w:t xml:space="preserve">he direct employment estimates reported </w:t>
      </w:r>
      <w:r w:rsidR="00045B1F">
        <w:rPr>
          <w:rFonts w:eastAsia="Calibri"/>
          <w:szCs w:val="24"/>
        </w:rPr>
        <w:t xml:space="preserve">can </w:t>
      </w:r>
      <w:r w:rsidRPr="00B66EA6">
        <w:rPr>
          <w:rFonts w:eastAsia="Calibri"/>
          <w:szCs w:val="24"/>
        </w:rPr>
        <w:t>differ from the ONS estimates</w:t>
      </w:r>
      <w:r w:rsidR="00045B1F">
        <w:rPr>
          <w:rFonts w:eastAsia="Calibri"/>
          <w:szCs w:val="24"/>
        </w:rPr>
        <w:t>.</w:t>
      </w:r>
      <w:bookmarkStart w:id="18" w:name="_Toc512547336"/>
    </w:p>
    <w:p w14:paraId="34A9FB3A" w14:textId="0176584D" w:rsidR="00BD7752" w:rsidRDefault="00BD7752" w:rsidP="00747E17">
      <w:pPr>
        <w:keepNext/>
        <w:autoSpaceDE w:val="0"/>
        <w:autoSpaceDN w:val="0"/>
        <w:adjustRightInd w:val="0"/>
        <w:spacing w:before="180" w:after="180" w:line="276" w:lineRule="auto"/>
        <w:rPr>
          <w:rFonts w:eastAsia="Times New Roman"/>
          <w:b/>
          <w:sz w:val="22"/>
          <w:szCs w:val="22"/>
        </w:rPr>
      </w:pPr>
      <w:r w:rsidRPr="00A10787">
        <w:rPr>
          <w:rFonts w:eastAsia="Times New Roman"/>
          <w:b/>
          <w:sz w:val="22"/>
          <w:szCs w:val="22"/>
        </w:rPr>
        <w:lastRenderedPageBreak/>
        <w:t xml:space="preserve">Table </w:t>
      </w:r>
      <w:r w:rsidR="00332265">
        <w:rPr>
          <w:rFonts w:eastAsia="Times New Roman"/>
          <w:b/>
          <w:sz w:val="22"/>
          <w:szCs w:val="22"/>
        </w:rPr>
        <w:t>4</w:t>
      </w:r>
      <w:r w:rsidRPr="00A10787">
        <w:rPr>
          <w:rFonts w:eastAsia="Times New Roman"/>
          <w:b/>
          <w:sz w:val="22"/>
          <w:szCs w:val="22"/>
        </w:rPr>
        <w:t>. Total employment supported by the UK Upstream Oil and Gas Industry</w:t>
      </w:r>
      <w:r w:rsidRPr="00595CB3">
        <w:rPr>
          <w:rFonts w:eastAsia="Calibri"/>
          <w:sz w:val="22"/>
          <w:szCs w:val="22"/>
          <w:vertAlign w:val="superscript"/>
        </w:rPr>
        <w:footnoteReference w:id="25"/>
      </w:r>
      <w:bookmarkEnd w:id="18"/>
    </w:p>
    <w:p w14:paraId="34262E55" w14:textId="03D0B1FB" w:rsidR="00221541" w:rsidRDefault="00221541" w:rsidP="00A10787">
      <w:pPr>
        <w:autoSpaceDE w:val="0"/>
        <w:autoSpaceDN w:val="0"/>
        <w:adjustRightInd w:val="0"/>
        <w:spacing w:before="180" w:after="180" w:line="276" w:lineRule="auto"/>
        <w:rPr>
          <w:rFonts w:eastAsia="Times New Roman"/>
          <w:b/>
          <w:sz w:val="22"/>
          <w:szCs w:val="22"/>
        </w:rPr>
      </w:pPr>
      <w:r w:rsidRPr="00221541">
        <w:rPr>
          <w:noProof/>
        </w:rPr>
        <w:drawing>
          <wp:inline distT="0" distB="0" distL="0" distR="0" wp14:anchorId="5079E84B" wp14:editId="1FEBC476">
            <wp:extent cx="5667375" cy="2886075"/>
            <wp:effectExtent l="0" t="0" r="9525" b="9525"/>
            <wp:docPr id="27" name="Picture 27" descr="Table 4 shows total employment (direct, indirect and induced) supported by the UK upstream oil and gas industry for 2014-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67375" cy="2886075"/>
                    </a:xfrm>
                    <a:prstGeom prst="rect">
                      <a:avLst/>
                    </a:prstGeom>
                    <a:noFill/>
                    <a:ln>
                      <a:noFill/>
                    </a:ln>
                  </pic:spPr>
                </pic:pic>
              </a:graphicData>
            </a:graphic>
          </wp:inline>
        </w:drawing>
      </w:r>
    </w:p>
    <w:p w14:paraId="12B8C662" w14:textId="77777777" w:rsidR="008158D0" w:rsidRPr="00DE1059" w:rsidRDefault="008158D0" w:rsidP="008158D0">
      <w:pPr>
        <w:pStyle w:val="Heading2"/>
        <w:keepLines w:val="0"/>
        <w:numPr>
          <w:ilvl w:val="1"/>
          <w:numId w:val="43"/>
        </w:numPr>
        <w:shd w:val="clear" w:color="auto" w:fill="BFBFBF"/>
        <w:tabs>
          <w:tab w:val="clear" w:pos="567"/>
        </w:tabs>
        <w:spacing w:after="180" w:line="276" w:lineRule="auto"/>
        <w:rPr>
          <w:szCs w:val="24"/>
        </w:rPr>
      </w:pPr>
      <w:r w:rsidRPr="0059555C">
        <w:rPr>
          <w:rFonts w:cs="Arial"/>
          <w:szCs w:val="24"/>
        </w:rPr>
        <w:t>Shale gas</w:t>
      </w:r>
    </w:p>
    <w:p w14:paraId="559F5845" w14:textId="77777777" w:rsidR="008158D0" w:rsidRPr="0028618A" w:rsidRDefault="008158D0" w:rsidP="008158D0">
      <w:pPr>
        <w:rPr>
          <w:color w:val="000000" w:themeColor="text1"/>
        </w:rPr>
      </w:pPr>
      <w:r w:rsidRPr="0028618A">
        <w:rPr>
          <w:color w:val="000000" w:themeColor="text1"/>
        </w:rPr>
        <w:t>Research by the BGS indicates that there are potentially large volumes of shale gas beneath the UK. Further exploration is required before the full extent of these resources is known and the amount of gas that is technically and commercially recoverable can be estimated.</w:t>
      </w:r>
    </w:p>
    <w:p w14:paraId="5D0A3185" w14:textId="77777777" w:rsidR="008158D0" w:rsidRPr="0028618A" w:rsidRDefault="008158D0" w:rsidP="008158D0">
      <w:pPr>
        <w:rPr>
          <w:i/>
          <w:iCs/>
        </w:rPr>
      </w:pPr>
    </w:p>
    <w:p w14:paraId="6B1AAF14" w14:textId="77777777" w:rsidR="008158D0" w:rsidRPr="00B80B16" w:rsidRDefault="008158D0" w:rsidP="008158D0">
      <w:r w:rsidRPr="00B80B16">
        <w:t>UK licence and fiscal terms do not generally differentiate between conventional and unconventional hydrocarbon activities. For example, the Onshore Allowance (an allowance against the SC which ensures that otherwise economic developments are not uncommercial) is applicable to both new conventional oil and gas as well as to shale gas developments. As PEDLs do not grant automatic rights to operations such as drilling or hydraulic fracturing, any company looking to develop shale will also need to obtain all necessary permissions, like planning and environmental permits.</w:t>
      </w:r>
    </w:p>
    <w:p w14:paraId="79BB8474" w14:textId="77777777" w:rsidR="008158D0" w:rsidRPr="0028618A" w:rsidRDefault="008158D0" w:rsidP="008158D0">
      <w:pPr>
        <w:rPr>
          <w:i/>
          <w:iCs/>
        </w:rPr>
      </w:pPr>
    </w:p>
    <w:p w14:paraId="29D54F74" w14:textId="77777777" w:rsidR="008158D0" w:rsidRPr="00B80B16" w:rsidRDefault="008158D0" w:rsidP="008158D0">
      <w:r w:rsidRPr="000443F7">
        <w:t xml:space="preserve">To date, a </w:t>
      </w:r>
      <w:r w:rsidRPr="00B80B16">
        <w:t>range of measures specific to hydraulic fracturing and the shale industry have been put in place to ensure that exploration is safe and environmentally sound. The Infrastructure Act 2015 specifies thirteen conditions that need to be met before a hydraulic fracturing consent will be issued, including public notification and a scheme to provide financial or other benefit for the local area. The government has also put in place regulations which ensure that high-volume hydraulic fracturing cannot take place within 1,200 metres beneath the surface of National Parks, the Broads, Areas of Outstanding Natural Beauty, World Heritage Sites and areas that are most vulnerable to groundwater pollution.</w:t>
      </w:r>
    </w:p>
    <w:p w14:paraId="7755CB9C" w14:textId="77777777" w:rsidR="008158D0" w:rsidRPr="0028618A" w:rsidRDefault="008158D0" w:rsidP="008158D0">
      <w:pPr>
        <w:rPr>
          <w:i/>
          <w:iCs/>
        </w:rPr>
      </w:pPr>
    </w:p>
    <w:p w14:paraId="317121E6" w14:textId="77777777" w:rsidR="008158D0" w:rsidRPr="000443F7" w:rsidRDefault="008158D0" w:rsidP="008158D0">
      <w:r w:rsidRPr="000443F7">
        <w:t xml:space="preserve">Following its analysis of hydraulic fracturing operations in 2018, the Oil and Gas Authority (OGA) has found that it is not currently possible to accurately predict the </w:t>
      </w:r>
      <w:r w:rsidRPr="000443F7">
        <w:lastRenderedPageBreak/>
        <w:t>probability or magnitude of earthquakes linked to fracking operations. On this basis, and following the significant disturbance that has been caused to local people</w:t>
      </w:r>
      <w:r w:rsidRPr="000443F7">
        <w:rPr>
          <w:i/>
          <w:iCs/>
        </w:rPr>
        <w:t xml:space="preserve"> </w:t>
      </w:r>
      <w:r w:rsidRPr="000443F7">
        <w:t xml:space="preserve">following seismic events in August 2019, caused by further operations at Preston New Road, Lancashire, on 2 November 2019 the BEIS Secretary of State announced a moratorium on fracking with immediate effect. On 4 November, Ministers issued a Written Ministerial Statement that sets out the Government’s position – namely that Government will no longer be supporting further hydraulic fracturing activities in England at this time – available here: </w:t>
      </w:r>
      <w:hyperlink r:id="rId31" w:history="1">
        <w:r w:rsidRPr="00012469">
          <w:rPr>
            <w:rStyle w:val="Hyperlink"/>
          </w:rPr>
          <w:t>https://www.parliament.uk/business/publications/written-questions-answers-statements/written-statement/Commons/2019-11-04/HCWS68/</w:t>
        </w:r>
      </w:hyperlink>
      <w:r w:rsidRPr="00D81FAE">
        <w:t>. </w:t>
      </w:r>
      <w:r w:rsidRPr="0028618A">
        <w:rPr>
          <w:color w:val="FF0000"/>
        </w:rPr>
        <w:t xml:space="preserve"> </w:t>
      </w:r>
      <w:r w:rsidRPr="000443F7">
        <w:t>The statement sets out that there will be a presumption against Ministers issuing further Hydraulic Fracturing Consents, which would only be altered if compelling new evidence comes to light.</w:t>
      </w:r>
    </w:p>
    <w:p w14:paraId="5C2E42B4" w14:textId="77777777" w:rsidR="008158D0" w:rsidRPr="00906EBE" w:rsidRDefault="008158D0" w:rsidP="008158D0">
      <w:pPr>
        <w:pStyle w:val="Default"/>
        <w:spacing w:after="180" w:line="276" w:lineRule="auto"/>
        <w:rPr>
          <w:rFonts w:ascii="Arial" w:hAnsi="Arial" w:cs="Arial"/>
          <w:color w:val="auto"/>
        </w:rPr>
      </w:pPr>
    </w:p>
    <w:p w14:paraId="75C1DE89" w14:textId="77777777" w:rsidR="008158D0" w:rsidRPr="00906EBE" w:rsidRDefault="008158D0" w:rsidP="008158D0">
      <w:pPr>
        <w:pStyle w:val="Default"/>
        <w:spacing w:after="180" w:line="276" w:lineRule="auto"/>
        <w:rPr>
          <w:rFonts w:ascii="Arial" w:hAnsi="Arial" w:cs="Arial"/>
          <w:color w:val="auto"/>
        </w:rPr>
      </w:pPr>
    </w:p>
    <w:p w14:paraId="78488F92" w14:textId="77777777" w:rsidR="008158D0" w:rsidRDefault="008158D0" w:rsidP="00A10787">
      <w:pPr>
        <w:autoSpaceDE w:val="0"/>
        <w:autoSpaceDN w:val="0"/>
        <w:adjustRightInd w:val="0"/>
        <w:spacing w:before="180" w:after="180" w:line="276" w:lineRule="auto"/>
        <w:rPr>
          <w:rFonts w:eastAsia="Times New Roman"/>
          <w:b/>
          <w:sz w:val="22"/>
          <w:szCs w:val="22"/>
        </w:rPr>
      </w:pPr>
    </w:p>
    <w:p w14:paraId="4843837A" w14:textId="77777777" w:rsidR="00243255" w:rsidRPr="0059555C" w:rsidRDefault="00243255" w:rsidP="00E0694A">
      <w:pPr>
        <w:pStyle w:val="Heading2"/>
        <w:keepLines w:val="0"/>
        <w:numPr>
          <w:ilvl w:val="1"/>
          <w:numId w:val="43"/>
        </w:numPr>
        <w:shd w:val="clear" w:color="auto" w:fill="BFBFBF"/>
        <w:tabs>
          <w:tab w:val="clear" w:pos="567"/>
        </w:tabs>
        <w:spacing w:before="180" w:after="180" w:line="276" w:lineRule="auto"/>
        <w:ind w:left="567" w:hanging="567"/>
        <w:rPr>
          <w:szCs w:val="24"/>
        </w:rPr>
      </w:pPr>
      <w:r w:rsidRPr="0059555C">
        <w:rPr>
          <w:rFonts w:cs="Arial"/>
          <w:szCs w:val="24"/>
        </w:rPr>
        <w:t>Legal framework and licensing</w:t>
      </w:r>
      <w:r w:rsidR="00E11FA1" w:rsidRPr="000E1489">
        <w:rPr>
          <w:vertAlign w:val="superscript"/>
        </w:rPr>
        <w:footnoteReference w:id="26"/>
      </w:r>
    </w:p>
    <w:p w14:paraId="6117BFFA" w14:textId="39A2D225" w:rsidR="00524722" w:rsidRPr="00B66EA6" w:rsidRDefault="00243255" w:rsidP="00243255">
      <w:pPr>
        <w:pStyle w:val="Default"/>
        <w:spacing w:after="180" w:line="276" w:lineRule="auto"/>
        <w:rPr>
          <w:rFonts w:ascii="Arial" w:hAnsi="Arial" w:cs="Arial"/>
          <w:color w:val="auto"/>
        </w:rPr>
      </w:pPr>
      <w:r w:rsidRPr="00B66EA6">
        <w:rPr>
          <w:rFonts w:ascii="Arial" w:hAnsi="Arial" w:cs="Arial"/>
          <w:color w:val="auto"/>
        </w:rPr>
        <w:t>The Petroleum Act 1998</w:t>
      </w:r>
      <w:r w:rsidRPr="00B66EA6">
        <w:rPr>
          <w:rFonts w:ascii="Arial" w:hAnsi="Arial" w:cs="Arial"/>
          <w:color w:val="auto"/>
          <w:vertAlign w:val="superscript"/>
        </w:rPr>
        <w:footnoteReference w:id="27"/>
      </w:r>
      <w:r w:rsidRPr="00B66EA6">
        <w:rPr>
          <w:rFonts w:ascii="Arial" w:hAnsi="Arial" w:cs="Arial"/>
          <w:color w:val="auto"/>
        </w:rPr>
        <w:t xml:space="preserve"> vests rights to oil and gas (petroleum) resources </w:t>
      </w:r>
      <w:r w:rsidR="0068598B" w:rsidRPr="00B66EA6">
        <w:rPr>
          <w:rFonts w:ascii="Arial" w:hAnsi="Arial" w:cs="Arial"/>
          <w:color w:val="auto"/>
        </w:rPr>
        <w:t xml:space="preserve">in </w:t>
      </w:r>
      <w:r w:rsidR="00B363A8">
        <w:rPr>
          <w:rFonts w:ascii="Arial" w:hAnsi="Arial" w:cs="Arial"/>
          <w:color w:val="auto"/>
        </w:rPr>
        <w:t xml:space="preserve">England </w:t>
      </w:r>
      <w:r w:rsidR="0068598B" w:rsidRPr="00B66EA6">
        <w:rPr>
          <w:rFonts w:ascii="Arial" w:hAnsi="Arial" w:cs="Arial"/>
          <w:color w:val="auto"/>
        </w:rPr>
        <w:t xml:space="preserve">and on the UK Continental Shelf (UKCS) </w:t>
      </w:r>
      <w:r w:rsidRPr="00B66EA6">
        <w:rPr>
          <w:rFonts w:ascii="Arial" w:hAnsi="Arial" w:cs="Arial"/>
          <w:color w:val="auto"/>
        </w:rPr>
        <w:t xml:space="preserve">in the Crown. The </w:t>
      </w:r>
      <w:r w:rsidR="00D15190" w:rsidRPr="00B66EA6">
        <w:rPr>
          <w:rFonts w:ascii="Arial" w:hAnsi="Arial" w:cs="Arial"/>
          <w:color w:val="auto"/>
        </w:rPr>
        <w:t xml:space="preserve">Act gives the OGA powers to grant licences that confer exclusive rights to “search and bore for and get” petroleum. Each of these licences confers such rights over a limited area and for a limited period. </w:t>
      </w:r>
      <w:r w:rsidRPr="00B66EA6">
        <w:rPr>
          <w:rFonts w:ascii="Arial" w:hAnsi="Arial" w:cs="Arial"/>
          <w:color w:val="auto"/>
        </w:rPr>
        <w:t>There are separate licensing regimes for offshore (seaward) and onshore (landward) areas, with distinct licences in each.</w:t>
      </w:r>
    </w:p>
    <w:p w14:paraId="672CBFCC" w14:textId="3664A517" w:rsidR="00D15190" w:rsidRPr="00B66EA6" w:rsidRDefault="00D15190" w:rsidP="00F17CD9">
      <w:pPr>
        <w:pStyle w:val="Default"/>
        <w:spacing w:after="180" w:line="276" w:lineRule="auto"/>
        <w:rPr>
          <w:rFonts w:ascii="Arial" w:hAnsi="Arial" w:cs="Arial"/>
          <w:color w:val="auto"/>
        </w:rPr>
      </w:pPr>
      <w:r w:rsidRPr="00B66EA6">
        <w:rPr>
          <w:rFonts w:ascii="Arial" w:hAnsi="Arial" w:cs="Arial"/>
          <w:color w:val="auto"/>
        </w:rPr>
        <w:t>Licences are generally awarded in periodic “rounds” subject to a requirement that the holder will make annual payments (known as “licence rental fees”). These payments</w:t>
      </w:r>
      <w:r w:rsidR="00212CCB" w:rsidRPr="00B66EA6">
        <w:rPr>
          <w:rFonts w:ascii="Arial" w:hAnsi="Arial" w:cs="Arial"/>
          <w:color w:val="auto"/>
        </w:rPr>
        <w:t xml:space="preserve"> are calculated </w:t>
      </w:r>
      <w:proofErr w:type="gramStart"/>
      <w:r w:rsidR="00212CCB" w:rsidRPr="00B66EA6">
        <w:rPr>
          <w:rFonts w:ascii="Arial" w:hAnsi="Arial" w:cs="Arial"/>
          <w:color w:val="auto"/>
        </w:rPr>
        <w:t>on the basis of</w:t>
      </w:r>
      <w:proofErr w:type="gramEnd"/>
      <w:r w:rsidR="00212CCB" w:rsidRPr="00B66EA6">
        <w:rPr>
          <w:rFonts w:ascii="Arial" w:hAnsi="Arial" w:cs="Arial"/>
          <w:color w:val="auto"/>
        </w:rPr>
        <w:t xml:space="preserve"> the area under licence and incorporate an escalating scale of pre-determined rates per square kilometre. This is to encourage licensee companies to relinquish acreage not undergoing productive activity, thus making it available for relicensing to other potential interested applicants. </w:t>
      </w:r>
      <w:proofErr w:type="gramStart"/>
      <w:r w:rsidR="00212CCB" w:rsidRPr="00B66EA6">
        <w:rPr>
          <w:rFonts w:ascii="Arial" w:hAnsi="Arial" w:cs="Arial"/>
          <w:color w:val="auto"/>
        </w:rPr>
        <w:t>The vast majority of</w:t>
      </w:r>
      <w:proofErr w:type="gramEnd"/>
      <w:r w:rsidR="00212CCB" w:rsidRPr="00B66EA6">
        <w:rPr>
          <w:rFonts w:ascii="Arial" w:hAnsi="Arial" w:cs="Arial"/>
          <w:color w:val="auto"/>
        </w:rPr>
        <w:t xml:space="preserve"> licence rental fees come from offshore licensing. Receipts of petroleum licences under the Petroleum Act 1998 are collected by the OGA for payment to the Consolidated Fund.</w:t>
      </w:r>
    </w:p>
    <w:p w14:paraId="793763D9" w14:textId="26E24C6F" w:rsidR="00D15190" w:rsidRPr="006C09FB" w:rsidRDefault="00B244A2" w:rsidP="00F17CD9">
      <w:pPr>
        <w:pStyle w:val="Default"/>
        <w:spacing w:after="180" w:line="276" w:lineRule="auto"/>
        <w:rPr>
          <w:rFonts w:ascii="Arial" w:hAnsi="Arial" w:cs="Arial"/>
          <w:color w:val="auto"/>
        </w:rPr>
      </w:pPr>
      <w:r>
        <w:rPr>
          <w:rFonts w:ascii="Arial" w:hAnsi="Arial" w:cs="Arial"/>
          <w:color w:val="auto"/>
        </w:rPr>
        <w:t xml:space="preserve">Licensing in Scotland and Wales is now devolved. </w:t>
      </w:r>
      <w:r w:rsidR="00D15190" w:rsidRPr="006C09FB">
        <w:rPr>
          <w:rFonts w:ascii="Arial" w:hAnsi="Arial" w:cs="Arial"/>
          <w:color w:val="auto"/>
        </w:rPr>
        <w:t>T</w:t>
      </w:r>
      <w:r w:rsidR="00243255" w:rsidRPr="006C09FB">
        <w:rPr>
          <w:rFonts w:ascii="Arial" w:hAnsi="Arial" w:cs="Arial"/>
          <w:color w:val="auto"/>
        </w:rPr>
        <w:t xml:space="preserve">he Petroleum (Production) Act </w:t>
      </w:r>
      <w:r w:rsidR="00243255" w:rsidRPr="00116D4A">
        <w:rPr>
          <w:rFonts w:ascii="Arial" w:hAnsi="Arial" w:cs="Arial"/>
          <w:color w:val="auto"/>
        </w:rPr>
        <w:t>(Northern Ireland) 1964</w:t>
      </w:r>
      <w:r w:rsidR="00243255" w:rsidRPr="00116D4A">
        <w:rPr>
          <w:rFonts w:ascii="Arial" w:hAnsi="Arial" w:cs="Arial"/>
          <w:color w:val="auto"/>
          <w:vertAlign w:val="superscript"/>
        </w:rPr>
        <w:footnoteReference w:id="28"/>
      </w:r>
      <w:r w:rsidR="00DC0729" w:rsidRPr="00116D4A">
        <w:rPr>
          <w:rFonts w:ascii="Arial" w:hAnsi="Arial" w:cs="Arial"/>
          <w:color w:val="auto"/>
          <w:vertAlign w:val="superscript"/>
        </w:rPr>
        <w:t xml:space="preserve"> </w:t>
      </w:r>
      <w:r w:rsidR="00243255" w:rsidRPr="00116D4A">
        <w:rPr>
          <w:rFonts w:ascii="Arial" w:hAnsi="Arial" w:cs="Arial"/>
          <w:color w:val="auto"/>
        </w:rPr>
        <w:t xml:space="preserve">vests the property in oil and gas in Northern Ireland, with certain exceptions, in the </w:t>
      </w:r>
      <w:r w:rsidR="004A66C0" w:rsidRPr="00116D4A">
        <w:rPr>
          <w:rFonts w:ascii="Arial" w:hAnsi="Arial" w:cs="Arial"/>
          <w:color w:val="auto"/>
        </w:rPr>
        <w:t>Department for the Economy (</w:t>
      </w:r>
      <w:r w:rsidR="00243255" w:rsidRPr="00116D4A">
        <w:rPr>
          <w:rFonts w:ascii="Arial" w:hAnsi="Arial" w:cs="Arial"/>
          <w:color w:val="auto"/>
        </w:rPr>
        <w:t>DfE</w:t>
      </w:r>
      <w:r w:rsidR="004A66C0" w:rsidRPr="00116D4A">
        <w:rPr>
          <w:rFonts w:ascii="Arial" w:hAnsi="Arial" w:cs="Arial"/>
          <w:color w:val="auto"/>
        </w:rPr>
        <w:t>)</w:t>
      </w:r>
      <w:r w:rsidR="00243255" w:rsidRPr="00116D4A">
        <w:rPr>
          <w:rFonts w:ascii="Arial" w:hAnsi="Arial" w:cs="Arial"/>
          <w:color w:val="auto"/>
        </w:rPr>
        <w:t>.</w:t>
      </w:r>
      <w:r w:rsidRPr="00116D4A">
        <w:rPr>
          <w:rFonts w:ascii="Arial" w:hAnsi="Arial" w:cs="Arial"/>
          <w:color w:val="auto"/>
        </w:rPr>
        <w:t xml:space="preserve"> </w:t>
      </w:r>
      <w:r w:rsidR="00243255" w:rsidRPr="00116D4A">
        <w:rPr>
          <w:rFonts w:ascii="Arial" w:hAnsi="Arial" w:cs="Arial"/>
          <w:color w:val="auto"/>
        </w:rPr>
        <w:t xml:space="preserve">Northern Ireland’s </w:t>
      </w:r>
      <w:r w:rsidR="00243255" w:rsidRPr="00116D4A">
        <w:rPr>
          <w:rFonts w:ascii="Arial" w:hAnsi="Arial" w:cs="Arial"/>
          <w:color w:val="auto"/>
        </w:rPr>
        <w:lastRenderedPageBreak/>
        <w:t>offshore waters are subject to the same licensing regime as the rest of the</w:t>
      </w:r>
      <w:r w:rsidR="00243255" w:rsidRPr="006C09FB">
        <w:rPr>
          <w:rFonts w:ascii="Arial" w:hAnsi="Arial" w:cs="Arial"/>
          <w:color w:val="auto"/>
        </w:rPr>
        <w:t xml:space="preserve"> continental shelf.</w:t>
      </w:r>
    </w:p>
    <w:p w14:paraId="5CFE86BF" w14:textId="77777777" w:rsidR="00243255" w:rsidRPr="006C09FB" w:rsidRDefault="00243255" w:rsidP="00243255">
      <w:pPr>
        <w:pStyle w:val="Default"/>
        <w:spacing w:after="180" w:line="276" w:lineRule="auto"/>
        <w:rPr>
          <w:rFonts w:ascii="Arial" w:hAnsi="Arial" w:cs="Arial"/>
          <w:color w:val="auto"/>
        </w:rPr>
      </w:pPr>
      <w:r w:rsidRPr="006C09FB">
        <w:rPr>
          <w:rFonts w:ascii="Arial" w:hAnsi="Arial" w:cs="Arial"/>
          <w:color w:val="auto"/>
        </w:rPr>
        <w:t>The OGA publishes oil and gas licences and licence reports.</w:t>
      </w:r>
      <w:r w:rsidRPr="006C09FB">
        <w:rPr>
          <w:rFonts w:ascii="Arial" w:hAnsi="Arial" w:cs="Arial"/>
          <w:color w:val="auto"/>
          <w:vertAlign w:val="superscript"/>
        </w:rPr>
        <w:footnoteReference w:id="29"/>
      </w:r>
      <w:r w:rsidRPr="006C09FB">
        <w:rPr>
          <w:rFonts w:ascii="Arial" w:hAnsi="Arial" w:cs="Arial"/>
          <w:color w:val="auto"/>
        </w:rPr>
        <w:t xml:space="preserve"> The OGA also publishes offshore and onshore maps</w:t>
      </w:r>
      <w:r w:rsidR="007E7121" w:rsidRPr="006C09FB">
        <w:rPr>
          <w:rFonts w:ascii="Arial" w:hAnsi="Arial" w:cs="Arial"/>
          <w:color w:val="auto"/>
        </w:rPr>
        <w:t xml:space="preserve"> which are available for nil cost; t</w:t>
      </w:r>
      <w:r w:rsidRPr="006C09FB">
        <w:rPr>
          <w:rFonts w:ascii="Arial" w:hAnsi="Arial" w:cs="Arial"/>
          <w:color w:val="auto"/>
        </w:rPr>
        <w:t>he</w:t>
      </w:r>
      <w:r w:rsidR="007E7121" w:rsidRPr="006C09FB">
        <w:rPr>
          <w:rFonts w:ascii="Arial" w:hAnsi="Arial" w:cs="Arial"/>
          <w:color w:val="auto"/>
        </w:rPr>
        <w:t>se</w:t>
      </w:r>
      <w:r w:rsidRPr="006C09FB">
        <w:rPr>
          <w:rFonts w:ascii="Arial" w:hAnsi="Arial" w:cs="Arial"/>
          <w:color w:val="auto"/>
        </w:rPr>
        <w:t xml:space="preserve"> interactive maps allow users to find the co-ordinates of each licence and download </w:t>
      </w:r>
      <w:r w:rsidR="007E7121" w:rsidRPr="006C09FB">
        <w:rPr>
          <w:rFonts w:ascii="Arial" w:hAnsi="Arial" w:cs="Arial"/>
          <w:color w:val="auto"/>
        </w:rPr>
        <w:t xml:space="preserve">at nil cost, </w:t>
      </w:r>
      <w:r w:rsidRPr="006C09FB">
        <w:rPr>
          <w:rFonts w:ascii="Arial" w:hAnsi="Arial" w:cs="Arial"/>
          <w:color w:val="auto"/>
        </w:rPr>
        <w:t>individual licences.</w:t>
      </w:r>
      <w:r w:rsidRPr="006C09FB">
        <w:rPr>
          <w:rFonts w:ascii="Arial" w:hAnsi="Arial" w:cs="Arial"/>
          <w:color w:val="auto"/>
          <w:vertAlign w:val="superscript"/>
        </w:rPr>
        <w:footnoteReference w:id="30"/>
      </w:r>
      <w:r w:rsidRPr="006C09FB">
        <w:rPr>
          <w:rFonts w:ascii="Arial" w:hAnsi="Arial" w:cs="Arial"/>
          <w:color w:val="auto"/>
        </w:rPr>
        <w:t xml:space="preserve"> The </w:t>
      </w:r>
      <w:r w:rsidRPr="00116D4A">
        <w:rPr>
          <w:rFonts w:ascii="Arial" w:hAnsi="Arial" w:cs="Arial"/>
          <w:color w:val="auto"/>
        </w:rPr>
        <w:t>Northern Ireland</w:t>
      </w:r>
      <w:r w:rsidRPr="006C09FB">
        <w:rPr>
          <w:rFonts w:ascii="Arial" w:hAnsi="Arial" w:cs="Arial"/>
          <w:color w:val="auto"/>
        </w:rPr>
        <w:t xml:space="preserve"> DfE issues separate onshore licences independently of the OGA and publishes current licences and a map showing licence areas.</w:t>
      </w:r>
      <w:r w:rsidRPr="006C09FB">
        <w:rPr>
          <w:rFonts w:ascii="Arial" w:hAnsi="Arial" w:cs="Arial"/>
          <w:color w:val="auto"/>
          <w:vertAlign w:val="superscript"/>
        </w:rPr>
        <w:footnoteReference w:id="31"/>
      </w:r>
    </w:p>
    <w:p w14:paraId="2B844499" w14:textId="77777777" w:rsidR="00212CCB" w:rsidRPr="00E0694A" w:rsidRDefault="00212CCB" w:rsidP="00547FE4">
      <w:pPr>
        <w:pStyle w:val="Heading3"/>
        <w:keepNext/>
        <w:numPr>
          <w:ilvl w:val="2"/>
          <w:numId w:val="44"/>
        </w:numPr>
        <w:spacing w:line="276" w:lineRule="auto"/>
        <w:jc w:val="left"/>
        <w:rPr>
          <w:b w:val="0"/>
        </w:rPr>
      </w:pPr>
      <w:r w:rsidRPr="00E0694A">
        <w:rPr>
          <w:sz w:val="24"/>
          <w:szCs w:val="24"/>
        </w:rPr>
        <w:t>Award and transfer of licences in Great Britain and on the UKCS</w:t>
      </w:r>
    </w:p>
    <w:p w14:paraId="0C487B0D" w14:textId="77777777" w:rsidR="004A66C0" w:rsidRPr="006C09FB" w:rsidRDefault="004A66C0" w:rsidP="00906E90">
      <w:pPr>
        <w:pStyle w:val="Default"/>
        <w:spacing w:after="180" w:line="276" w:lineRule="auto"/>
        <w:rPr>
          <w:rFonts w:ascii="Arial" w:hAnsi="Arial" w:cs="Arial"/>
          <w:color w:val="auto"/>
        </w:rPr>
      </w:pPr>
      <w:r w:rsidRPr="006C09FB">
        <w:rPr>
          <w:rFonts w:ascii="Arial" w:hAnsi="Arial" w:cs="Arial"/>
          <w:color w:val="auto"/>
        </w:rPr>
        <w:t>The OGA works to maximise economic recovery of the nation’s petroleum resources. The government has essential pre-requisites for licence applicants, such as requiring the would-be licensee to have a fixed place of business within the UK.</w:t>
      </w:r>
    </w:p>
    <w:p w14:paraId="53A5508D" w14:textId="2649AD76" w:rsidR="00BC533A" w:rsidRPr="006C09FB" w:rsidRDefault="00BC533A" w:rsidP="00E0694A">
      <w:pPr>
        <w:pStyle w:val="Default"/>
        <w:spacing w:after="180" w:line="276" w:lineRule="auto"/>
        <w:rPr>
          <w:rFonts w:ascii="Arial" w:hAnsi="Arial" w:cs="Arial"/>
          <w:color w:val="auto"/>
        </w:rPr>
      </w:pPr>
      <w:r w:rsidRPr="006C09FB">
        <w:rPr>
          <w:rFonts w:ascii="Arial" w:hAnsi="Arial" w:cs="Arial"/>
          <w:color w:val="auto"/>
        </w:rPr>
        <w:t>Licences are awarded during regular competitive onshore and offshore licensing rounds once the OGA has been satisfied that the licensee has met the necessary technical and financial requirements.</w:t>
      </w:r>
      <w:r w:rsidRPr="006C09FB">
        <w:rPr>
          <w:rFonts w:ascii="Arial" w:hAnsi="Arial" w:cs="Arial"/>
          <w:color w:val="auto"/>
          <w:vertAlign w:val="superscript"/>
        </w:rPr>
        <w:footnoteReference w:id="32"/>
      </w:r>
      <w:r w:rsidRPr="006C09FB">
        <w:rPr>
          <w:rFonts w:ascii="Arial" w:hAnsi="Arial" w:cs="Arial"/>
          <w:color w:val="auto"/>
        </w:rPr>
        <w:t xml:space="preserve"> This method of licensing aims to optimise recovery of the UK’s remaining petroleum resources.</w:t>
      </w:r>
      <w:r w:rsidR="008A5CE8" w:rsidRPr="006C09FB">
        <w:rPr>
          <w:rFonts w:ascii="Arial" w:hAnsi="Arial" w:cs="Arial"/>
          <w:color w:val="auto"/>
        </w:rPr>
        <w:t xml:space="preserve"> </w:t>
      </w:r>
      <w:r w:rsidR="00045B1F" w:rsidRPr="006C09FB">
        <w:rPr>
          <w:rFonts w:ascii="Arial" w:hAnsi="Arial" w:cs="Arial"/>
          <w:color w:val="auto"/>
        </w:rPr>
        <w:t>Out-of-round licence applications are possible but only in exceptional circumstances</w:t>
      </w:r>
      <w:r w:rsidR="00045B1F">
        <w:rPr>
          <w:rFonts w:ascii="Arial" w:hAnsi="Arial" w:cs="Arial"/>
          <w:color w:val="auto"/>
        </w:rPr>
        <w:t>.  Further Information on licensing activity is available on the OGA website.</w:t>
      </w:r>
      <w:r w:rsidRPr="006C09FB">
        <w:rPr>
          <w:rFonts w:ascii="Arial" w:hAnsi="Arial" w:cs="Arial"/>
          <w:color w:val="auto"/>
        </w:rPr>
        <w:t xml:space="preserve"> Licensing rounds are announced in the Official Journal of the European Union and assessed against a publicly announced set of criteria.</w:t>
      </w:r>
      <w:r w:rsidRPr="006C09FB">
        <w:rPr>
          <w:rFonts w:ascii="Arial" w:hAnsi="Arial" w:cs="Arial"/>
          <w:color w:val="auto"/>
          <w:vertAlign w:val="superscript"/>
        </w:rPr>
        <w:footnoteReference w:id="33"/>
      </w:r>
    </w:p>
    <w:p w14:paraId="08101F39" w14:textId="77777777" w:rsidR="0037616A" w:rsidRPr="006C09FB" w:rsidRDefault="00BD0DCE" w:rsidP="00F17CD9">
      <w:pPr>
        <w:pStyle w:val="Default"/>
        <w:spacing w:after="180" w:line="276" w:lineRule="auto"/>
        <w:rPr>
          <w:rFonts w:ascii="Arial" w:hAnsi="Arial" w:cs="Arial"/>
          <w:color w:val="auto"/>
        </w:rPr>
      </w:pPr>
      <w:r w:rsidRPr="006C09FB">
        <w:rPr>
          <w:rFonts w:ascii="Arial" w:hAnsi="Arial" w:cs="Arial"/>
          <w:color w:val="auto"/>
        </w:rPr>
        <w:t>Each licence takes the form of a deed, which binds the licensee (either a single company or several working together and bound under joint and several liability) to obey the licence conditions regardless of whether or not they are using the licence at any given moment. The OGA (and DECC previously) regulates the transfer of licence</w:t>
      </w:r>
      <w:r w:rsidR="007B6F9F" w:rsidRPr="006C09FB">
        <w:rPr>
          <w:rFonts w:ascii="Arial" w:hAnsi="Arial" w:cs="Arial"/>
          <w:color w:val="auto"/>
        </w:rPr>
        <w:t xml:space="preserve"> interests</w:t>
      </w:r>
      <w:r w:rsidRPr="006C09FB">
        <w:rPr>
          <w:rFonts w:ascii="Arial" w:hAnsi="Arial" w:cs="Arial"/>
          <w:color w:val="auto"/>
        </w:rPr>
        <w:t xml:space="preserve"> in order to enforce its policy objectives.</w:t>
      </w:r>
      <w:r w:rsidR="0022543F" w:rsidRPr="006C09FB">
        <w:rPr>
          <w:rFonts w:ascii="Arial" w:hAnsi="Arial" w:cs="Arial"/>
          <w:color w:val="auto"/>
        </w:rPr>
        <w:t xml:space="preserve"> A company that is party to a licence may wish to sell its interest</w:t>
      </w:r>
      <w:r w:rsidR="00E6458B" w:rsidRPr="006C09FB">
        <w:rPr>
          <w:rFonts w:ascii="Arial" w:hAnsi="Arial" w:cs="Arial"/>
          <w:color w:val="auto"/>
        </w:rPr>
        <w:t xml:space="preserve"> or a part of it, to another company</w:t>
      </w:r>
      <w:r w:rsidR="002D4311" w:rsidRPr="006C09FB">
        <w:rPr>
          <w:rFonts w:ascii="Arial" w:hAnsi="Arial" w:cs="Arial"/>
          <w:color w:val="auto"/>
        </w:rPr>
        <w:t>.</w:t>
      </w:r>
      <w:r w:rsidR="00E6458B" w:rsidRPr="006C09FB">
        <w:rPr>
          <w:rFonts w:ascii="Arial" w:hAnsi="Arial" w:cs="Arial"/>
          <w:color w:val="auto"/>
        </w:rPr>
        <w:t xml:space="preserve"> It requires the OGA’s permiss</w:t>
      </w:r>
      <w:r w:rsidR="009371DA" w:rsidRPr="006C09FB">
        <w:rPr>
          <w:rFonts w:ascii="Arial" w:hAnsi="Arial" w:cs="Arial"/>
          <w:color w:val="auto"/>
        </w:rPr>
        <w:t>ion to do so.</w:t>
      </w:r>
      <w:r w:rsidR="009371DA" w:rsidRPr="006C09FB">
        <w:rPr>
          <w:rStyle w:val="FootnoteReference"/>
          <w:rFonts w:ascii="Arial" w:hAnsi="Arial" w:cs="Arial"/>
          <w:color w:val="auto"/>
        </w:rPr>
        <w:footnoteReference w:id="34"/>
      </w:r>
    </w:p>
    <w:p w14:paraId="6D8A73B1" w14:textId="4E5CE962" w:rsidR="00243255" w:rsidRPr="006C09FB" w:rsidRDefault="00243255" w:rsidP="00F17CD9">
      <w:pPr>
        <w:pStyle w:val="Default"/>
        <w:spacing w:after="180" w:line="276" w:lineRule="auto"/>
        <w:rPr>
          <w:rFonts w:ascii="Arial" w:hAnsi="Arial" w:cs="Arial"/>
          <w:color w:val="auto"/>
        </w:rPr>
      </w:pPr>
      <w:r w:rsidRPr="006C09FB">
        <w:rPr>
          <w:rFonts w:ascii="Arial" w:hAnsi="Arial" w:cs="Arial"/>
          <w:color w:val="auto"/>
        </w:rPr>
        <w:lastRenderedPageBreak/>
        <w:t>Licence applications and interests attract fees and charges payable by the applicant or licensee. Each licence carries an annual charge, commonly called a rental. Rentals serve the double purpose of incentivising licensees to work their whole licensed areas and to surrender acreage they do not intend to exploit. Rentals are due every year on the licence anniversary and are charged at a variable rate on each square kilometre that the licence covers at that date. The rates are set out in the licence document at award.</w:t>
      </w:r>
      <w:r w:rsidR="008B2ACD" w:rsidRPr="006C09FB">
        <w:rPr>
          <w:rFonts w:ascii="Arial" w:hAnsi="Arial" w:cs="Arial"/>
          <w:color w:val="auto"/>
        </w:rPr>
        <w:t xml:space="preserve"> </w:t>
      </w:r>
      <w:r w:rsidR="00C2480F" w:rsidRPr="006C09FB">
        <w:rPr>
          <w:rFonts w:ascii="Arial" w:hAnsi="Arial" w:cs="Arial"/>
          <w:color w:val="auto"/>
        </w:rPr>
        <w:t xml:space="preserve">Payments are made to the OGA only by licence administrators (typically operators, who recoup the payments from the licensees in proportion to their interests in each licence) so the reconciled amounts reported in </w:t>
      </w:r>
      <w:r w:rsidR="00C2480F" w:rsidRPr="001B63C6">
        <w:rPr>
          <w:rFonts w:ascii="Arial" w:hAnsi="Arial" w:cs="Arial"/>
          <w:color w:val="auto"/>
        </w:rPr>
        <w:t xml:space="preserve">Table </w:t>
      </w:r>
      <w:r w:rsidR="00FB130B" w:rsidRPr="001B63C6">
        <w:rPr>
          <w:rFonts w:ascii="Arial" w:hAnsi="Arial" w:cs="Arial"/>
          <w:color w:val="auto"/>
        </w:rPr>
        <w:t xml:space="preserve">1.2.1 in the </w:t>
      </w:r>
      <w:r w:rsidR="00F10F70" w:rsidRPr="001B63C6">
        <w:rPr>
          <w:rFonts w:ascii="Arial" w:hAnsi="Arial" w:cs="Arial"/>
          <w:color w:val="auto"/>
        </w:rPr>
        <w:t>2017 UK EITI Reconciliation and State of Industry Report</w:t>
      </w:r>
      <w:r w:rsidR="0098175C" w:rsidRPr="001B63C6">
        <w:rPr>
          <w:rStyle w:val="FootnoteReference"/>
          <w:rFonts w:ascii="Arial" w:hAnsi="Arial" w:cs="Arial"/>
          <w:color w:val="auto"/>
        </w:rPr>
        <w:footnoteReference w:id="35"/>
      </w:r>
      <w:r w:rsidR="00C2480F" w:rsidRPr="001B63C6">
        <w:rPr>
          <w:rFonts w:ascii="Arial" w:hAnsi="Arial" w:cs="Arial"/>
          <w:color w:val="auto"/>
        </w:rPr>
        <w:t xml:space="preserve"> do not reflect the extent </w:t>
      </w:r>
      <w:r w:rsidR="00D67B23" w:rsidRPr="001B63C6">
        <w:rPr>
          <w:rFonts w:ascii="Arial" w:hAnsi="Arial" w:cs="Arial"/>
          <w:color w:val="auto"/>
        </w:rPr>
        <w:t>to</w:t>
      </w:r>
      <w:r w:rsidR="00C2480F" w:rsidRPr="001B63C6">
        <w:rPr>
          <w:rFonts w:ascii="Arial" w:hAnsi="Arial" w:cs="Arial"/>
          <w:color w:val="auto"/>
        </w:rPr>
        <w:t xml:space="preserve"> which payments to the OGA are spread between licensees.</w:t>
      </w:r>
    </w:p>
    <w:p w14:paraId="73855106" w14:textId="1AFF00E6" w:rsidR="00EB616F" w:rsidRPr="006C09FB" w:rsidRDefault="00EB616F" w:rsidP="00F17CD9">
      <w:pPr>
        <w:pStyle w:val="Default"/>
        <w:spacing w:after="180" w:line="276" w:lineRule="auto"/>
        <w:rPr>
          <w:rFonts w:ascii="Arial" w:hAnsi="Arial" w:cs="Arial"/>
          <w:color w:val="auto"/>
        </w:rPr>
      </w:pPr>
      <w:r w:rsidRPr="006C09FB">
        <w:rPr>
          <w:rFonts w:ascii="Arial" w:hAnsi="Arial" w:cs="Arial"/>
          <w:color w:val="auto"/>
        </w:rPr>
        <w:t xml:space="preserve">Onshore licensing </w:t>
      </w:r>
      <w:r w:rsidR="000346F7" w:rsidRPr="006C09FB">
        <w:rPr>
          <w:rFonts w:ascii="Arial" w:hAnsi="Arial" w:cs="Arial"/>
          <w:color w:val="auto"/>
        </w:rPr>
        <w:t xml:space="preserve">was </w:t>
      </w:r>
      <w:r w:rsidRPr="006C09FB">
        <w:rPr>
          <w:rFonts w:ascii="Arial" w:hAnsi="Arial" w:cs="Arial"/>
          <w:color w:val="auto"/>
        </w:rPr>
        <w:t xml:space="preserve">devolved to the Scottish Government </w:t>
      </w:r>
      <w:r w:rsidR="000346F7" w:rsidRPr="006C09FB">
        <w:rPr>
          <w:rFonts w:ascii="Arial" w:hAnsi="Arial" w:cs="Arial"/>
          <w:color w:val="auto"/>
        </w:rPr>
        <w:t xml:space="preserve">on </w:t>
      </w:r>
      <w:r w:rsidRPr="006C09FB">
        <w:rPr>
          <w:rFonts w:ascii="Arial" w:hAnsi="Arial" w:cs="Arial"/>
          <w:color w:val="auto"/>
        </w:rPr>
        <w:t xml:space="preserve">9 February 2018 and to the Welsh Government </w:t>
      </w:r>
      <w:r w:rsidR="000346F7" w:rsidRPr="006C09FB">
        <w:rPr>
          <w:rFonts w:ascii="Arial" w:hAnsi="Arial" w:cs="Arial"/>
          <w:color w:val="auto"/>
        </w:rPr>
        <w:t xml:space="preserve">on </w:t>
      </w:r>
      <w:r w:rsidRPr="006C09FB">
        <w:rPr>
          <w:rFonts w:ascii="Arial" w:hAnsi="Arial" w:cs="Arial"/>
          <w:color w:val="auto"/>
        </w:rPr>
        <w:t>1 October 2018.</w:t>
      </w:r>
      <w:r w:rsidR="004E4152">
        <w:rPr>
          <w:rFonts w:ascii="Arial" w:hAnsi="Arial" w:cs="Arial"/>
          <w:color w:val="auto"/>
        </w:rPr>
        <w:t xml:space="preserve"> </w:t>
      </w:r>
      <w:r w:rsidR="00B830E9">
        <w:rPr>
          <w:rFonts w:ascii="Arial" w:hAnsi="Arial" w:cs="Arial"/>
          <w:color w:val="auto"/>
        </w:rPr>
        <w:t>Sco</w:t>
      </w:r>
      <w:r w:rsidR="00A5506A">
        <w:rPr>
          <w:rFonts w:ascii="Arial" w:hAnsi="Arial" w:cs="Arial"/>
          <w:color w:val="auto"/>
        </w:rPr>
        <w:t>ttish l</w:t>
      </w:r>
      <w:r w:rsidR="0035582C">
        <w:rPr>
          <w:rFonts w:ascii="Arial" w:hAnsi="Arial" w:cs="Arial"/>
          <w:color w:val="auto"/>
        </w:rPr>
        <w:t>icence information</w:t>
      </w:r>
      <w:r w:rsidR="0000046B">
        <w:rPr>
          <w:rFonts w:ascii="Arial" w:hAnsi="Arial" w:cs="Arial"/>
          <w:color w:val="auto"/>
        </w:rPr>
        <w:t xml:space="preserve"> for onshore licences, onshore fields and onshore wells</w:t>
      </w:r>
      <w:r w:rsidR="0035582C">
        <w:rPr>
          <w:rFonts w:ascii="Arial" w:hAnsi="Arial" w:cs="Arial"/>
          <w:color w:val="auto"/>
        </w:rPr>
        <w:t xml:space="preserve"> is </w:t>
      </w:r>
      <w:r w:rsidR="00A5506A">
        <w:rPr>
          <w:rFonts w:ascii="Arial" w:hAnsi="Arial" w:cs="Arial"/>
          <w:color w:val="auto"/>
        </w:rPr>
        <w:t>published</w:t>
      </w:r>
      <w:r w:rsidR="0035582C">
        <w:rPr>
          <w:rFonts w:ascii="Arial" w:hAnsi="Arial" w:cs="Arial"/>
          <w:color w:val="auto"/>
        </w:rPr>
        <w:t xml:space="preserve"> on the Marine Scotland website</w:t>
      </w:r>
      <w:r w:rsidR="004E3161">
        <w:rPr>
          <w:rFonts w:ascii="Arial" w:hAnsi="Arial" w:cs="Arial"/>
          <w:color w:val="auto"/>
        </w:rPr>
        <w:t>.</w:t>
      </w:r>
      <w:r w:rsidR="00AD38BF">
        <w:rPr>
          <w:rStyle w:val="FootnoteReference"/>
          <w:rFonts w:ascii="Arial" w:hAnsi="Arial" w:cs="Arial"/>
          <w:color w:val="auto"/>
        </w:rPr>
        <w:footnoteReference w:id="36"/>
      </w:r>
      <w:r w:rsidR="0000046B">
        <w:rPr>
          <w:rFonts w:ascii="Arial" w:hAnsi="Arial" w:cs="Arial"/>
          <w:color w:val="auto"/>
        </w:rPr>
        <w:t xml:space="preserve"> In Wales </w:t>
      </w:r>
      <w:r w:rsidR="004F19CC">
        <w:rPr>
          <w:rFonts w:ascii="Arial" w:hAnsi="Arial" w:cs="Arial"/>
          <w:color w:val="auto"/>
        </w:rPr>
        <w:t>licences are not yet published</w:t>
      </w:r>
      <w:r w:rsidR="0091292C">
        <w:rPr>
          <w:rFonts w:ascii="Arial" w:hAnsi="Arial" w:cs="Arial"/>
          <w:color w:val="auto"/>
        </w:rPr>
        <w:t xml:space="preserve"> online, however</w:t>
      </w:r>
      <w:r w:rsidR="00AC3B66">
        <w:rPr>
          <w:rFonts w:ascii="Arial" w:hAnsi="Arial" w:cs="Arial"/>
          <w:color w:val="auto"/>
        </w:rPr>
        <w:t xml:space="preserve"> information at petroleum licences can be requested, free of charge, by post or email</w:t>
      </w:r>
      <w:r w:rsidR="0034534F">
        <w:rPr>
          <w:rFonts w:ascii="Arial" w:hAnsi="Arial" w:cs="Arial"/>
          <w:color w:val="auto"/>
        </w:rPr>
        <w:t>. All licences and approp</w:t>
      </w:r>
      <w:r w:rsidR="005A1D46">
        <w:rPr>
          <w:rFonts w:ascii="Arial" w:hAnsi="Arial" w:cs="Arial"/>
          <w:color w:val="auto"/>
        </w:rPr>
        <w:t xml:space="preserve">riate associated </w:t>
      </w:r>
      <w:r w:rsidR="00C6248D">
        <w:rPr>
          <w:rFonts w:ascii="Arial" w:hAnsi="Arial" w:cs="Arial"/>
          <w:color w:val="auto"/>
        </w:rPr>
        <w:t>documents will be published online during 2020.</w:t>
      </w:r>
    </w:p>
    <w:p w14:paraId="5C82399B" w14:textId="77777777" w:rsidR="00243255" w:rsidRPr="00E0694A" w:rsidRDefault="00243255" w:rsidP="00E0694A">
      <w:pPr>
        <w:pStyle w:val="Heading3"/>
        <w:keepNext/>
        <w:numPr>
          <w:ilvl w:val="2"/>
          <w:numId w:val="44"/>
        </w:numPr>
        <w:spacing w:line="276" w:lineRule="auto"/>
        <w:jc w:val="left"/>
        <w:rPr>
          <w:b w:val="0"/>
        </w:rPr>
      </w:pPr>
      <w:r w:rsidRPr="00E0694A">
        <w:rPr>
          <w:sz w:val="24"/>
          <w:szCs w:val="24"/>
        </w:rPr>
        <w:t>Licence conditions and types of licences</w:t>
      </w:r>
    </w:p>
    <w:p w14:paraId="0AE8D4D7" w14:textId="77777777" w:rsidR="00243255" w:rsidRPr="006C09FB" w:rsidRDefault="00243255" w:rsidP="00F17CD9">
      <w:pPr>
        <w:pStyle w:val="Default"/>
        <w:spacing w:after="180" w:line="276" w:lineRule="auto"/>
        <w:rPr>
          <w:rFonts w:ascii="Arial" w:hAnsi="Arial" w:cs="Arial"/>
          <w:color w:val="auto"/>
        </w:rPr>
      </w:pPr>
      <w:r w:rsidRPr="006C09FB">
        <w:rPr>
          <w:rFonts w:ascii="Arial" w:hAnsi="Arial" w:cs="Arial"/>
          <w:color w:val="auto"/>
        </w:rPr>
        <w:t xml:space="preserve">Each licence contains detailed terms and conditions, but not all regulation is contained in the licence. The Petroleum Act 1998 requires these conditions — called model clauses — to be published first in secondary legislation except </w:t>
      </w:r>
      <w:proofErr w:type="gramStart"/>
      <w:r w:rsidRPr="006C09FB">
        <w:rPr>
          <w:rFonts w:ascii="Arial" w:hAnsi="Arial" w:cs="Arial"/>
          <w:color w:val="auto"/>
        </w:rPr>
        <w:t>in particular cases</w:t>
      </w:r>
      <w:proofErr w:type="gramEnd"/>
      <w:r w:rsidRPr="006C09FB">
        <w:rPr>
          <w:rFonts w:ascii="Arial" w:hAnsi="Arial" w:cs="Arial"/>
          <w:color w:val="auto"/>
        </w:rPr>
        <w:t>.</w:t>
      </w:r>
      <w:r w:rsidRPr="006C09FB">
        <w:rPr>
          <w:rFonts w:ascii="Arial" w:hAnsi="Arial" w:cs="Arial"/>
          <w:color w:val="auto"/>
          <w:vertAlign w:val="superscript"/>
        </w:rPr>
        <w:footnoteReference w:id="37"/>
      </w:r>
      <w:r w:rsidRPr="006C09FB">
        <w:rPr>
          <w:rFonts w:ascii="Arial" w:hAnsi="Arial" w:cs="Arial"/>
          <w:color w:val="auto"/>
        </w:rPr>
        <w:t xml:space="preserve"> In recent years, the model clauses have also been set out in full in the licence document.</w:t>
      </w:r>
    </w:p>
    <w:p w14:paraId="2139F44E" w14:textId="77777777" w:rsidR="00243255" w:rsidRPr="006C09FB" w:rsidRDefault="00243255" w:rsidP="00F17CD9">
      <w:pPr>
        <w:pStyle w:val="Default"/>
        <w:spacing w:after="180" w:line="276" w:lineRule="auto"/>
        <w:rPr>
          <w:rFonts w:ascii="Arial" w:hAnsi="Arial" w:cs="Arial"/>
          <w:color w:val="auto"/>
        </w:rPr>
      </w:pPr>
      <w:r w:rsidRPr="006C09FB">
        <w:rPr>
          <w:rFonts w:ascii="Arial" w:hAnsi="Arial" w:cs="Arial"/>
          <w:color w:val="auto"/>
        </w:rPr>
        <w:t>Production licences are valid for a sequence of periods, or terms. These terms mirror the typical life cycle of a field: exploration, appraisal and production, and provide that each licence will expire automatically at the end of each term, unless the licensee has sufficiently progressed to warrant a move into the next term. The duration of each term depends on the type of the licence.</w:t>
      </w:r>
    </w:p>
    <w:p w14:paraId="475E10A7" w14:textId="77777777" w:rsidR="00243255" w:rsidRPr="006C09FB" w:rsidRDefault="00243255" w:rsidP="00F17CD9">
      <w:pPr>
        <w:pStyle w:val="Default"/>
        <w:spacing w:after="180" w:line="276" w:lineRule="auto"/>
        <w:rPr>
          <w:rFonts w:ascii="Arial" w:hAnsi="Arial" w:cs="Arial"/>
          <w:color w:val="auto"/>
        </w:rPr>
      </w:pPr>
      <w:r w:rsidRPr="006C09FB">
        <w:rPr>
          <w:rFonts w:ascii="Arial" w:hAnsi="Arial" w:cs="Arial"/>
          <w:color w:val="auto"/>
        </w:rPr>
        <w:t>The OGA publishes additional information about the different types of licences, their normal duration and different phases of the licensing lifecycle.</w:t>
      </w:r>
      <w:r w:rsidRPr="006C09FB">
        <w:rPr>
          <w:rFonts w:ascii="Arial" w:hAnsi="Arial" w:cs="Arial"/>
          <w:color w:val="auto"/>
          <w:vertAlign w:val="superscript"/>
        </w:rPr>
        <w:footnoteReference w:id="38"/>
      </w:r>
    </w:p>
    <w:p w14:paraId="7EB1B8F8" w14:textId="77777777" w:rsidR="00243255" w:rsidRPr="006C09FB" w:rsidRDefault="00243255" w:rsidP="00F17CD9">
      <w:pPr>
        <w:pStyle w:val="Default"/>
        <w:spacing w:after="180" w:line="276" w:lineRule="auto"/>
        <w:rPr>
          <w:rFonts w:ascii="Arial" w:hAnsi="Arial" w:cs="Arial"/>
          <w:color w:val="auto"/>
        </w:rPr>
      </w:pPr>
      <w:r w:rsidRPr="006C09FB">
        <w:rPr>
          <w:rFonts w:ascii="Arial" w:hAnsi="Arial" w:cs="Arial"/>
          <w:color w:val="auto"/>
        </w:rPr>
        <w:t xml:space="preserve">While landward licences confer the right to search for, bore and extract petroleum on areas under licence, they do not exempt the licensee from other legal or regulatory requirements, including a need to obtain access rights from landowners or planning </w:t>
      </w:r>
      <w:r w:rsidRPr="006C09FB">
        <w:rPr>
          <w:rFonts w:ascii="Arial" w:hAnsi="Arial" w:cs="Arial"/>
          <w:color w:val="auto"/>
        </w:rPr>
        <w:lastRenderedPageBreak/>
        <w:t>permission from relevant local authorities, or to conform to health and safety regulations.</w:t>
      </w:r>
    </w:p>
    <w:p w14:paraId="03120E4A" w14:textId="77777777" w:rsidR="00243255" w:rsidRPr="006C09FB" w:rsidRDefault="00243255" w:rsidP="00B97F69">
      <w:pPr>
        <w:pStyle w:val="Default"/>
        <w:spacing w:after="180" w:line="276" w:lineRule="auto"/>
        <w:rPr>
          <w:rFonts w:ascii="Arial" w:hAnsi="Arial" w:cs="Arial"/>
          <w:color w:val="auto"/>
        </w:rPr>
      </w:pPr>
      <w:r w:rsidRPr="006C09FB">
        <w:rPr>
          <w:rFonts w:ascii="Arial" w:hAnsi="Arial" w:cs="Arial"/>
          <w:color w:val="auto"/>
        </w:rPr>
        <w:t xml:space="preserve">In </w:t>
      </w:r>
      <w:r w:rsidRPr="00116D4A">
        <w:rPr>
          <w:rFonts w:ascii="Arial" w:hAnsi="Arial" w:cs="Arial"/>
          <w:color w:val="auto"/>
        </w:rPr>
        <w:t>Northern Ireland</w:t>
      </w:r>
      <w:r w:rsidRPr="006C09FB">
        <w:rPr>
          <w:rFonts w:ascii="Arial" w:hAnsi="Arial" w:cs="Arial"/>
          <w:color w:val="auto"/>
        </w:rPr>
        <w:t xml:space="preserve">, there is only one type of petroleum licence, </w:t>
      </w:r>
      <w:r w:rsidR="00C2480F" w:rsidRPr="006C09FB">
        <w:rPr>
          <w:rFonts w:ascii="Arial" w:hAnsi="Arial" w:cs="Arial"/>
          <w:color w:val="auto"/>
        </w:rPr>
        <w:t xml:space="preserve">this </w:t>
      </w:r>
      <w:r w:rsidRPr="006C09FB">
        <w:rPr>
          <w:rFonts w:ascii="Arial" w:hAnsi="Arial" w:cs="Arial"/>
          <w:color w:val="auto"/>
        </w:rPr>
        <w:t>has broadly similar terms and condition</w:t>
      </w:r>
      <w:r w:rsidR="00C2480F" w:rsidRPr="006C09FB">
        <w:rPr>
          <w:rFonts w:ascii="Arial" w:hAnsi="Arial" w:cs="Arial"/>
          <w:color w:val="auto"/>
        </w:rPr>
        <w:t>s</w:t>
      </w:r>
      <w:r w:rsidRPr="006C09FB">
        <w:rPr>
          <w:rFonts w:ascii="Arial" w:hAnsi="Arial" w:cs="Arial"/>
          <w:color w:val="auto"/>
        </w:rPr>
        <w:t xml:space="preserve"> to onshore Petroleum Exploration and Development Licences (PEDLs) </w:t>
      </w:r>
      <w:r w:rsidR="00C2480F" w:rsidRPr="006C09FB">
        <w:rPr>
          <w:rFonts w:ascii="Arial" w:hAnsi="Arial" w:cs="Arial"/>
          <w:color w:val="auto"/>
        </w:rPr>
        <w:t xml:space="preserve">in Great Britain </w:t>
      </w:r>
      <w:r w:rsidRPr="006C09FB">
        <w:rPr>
          <w:rFonts w:ascii="Arial" w:hAnsi="Arial" w:cs="Arial"/>
          <w:color w:val="auto"/>
        </w:rPr>
        <w:t>but also some differences.</w:t>
      </w:r>
      <w:r w:rsidRPr="006C09FB">
        <w:rPr>
          <w:rFonts w:ascii="Arial" w:hAnsi="Arial" w:cs="Arial"/>
          <w:color w:val="auto"/>
          <w:vertAlign w:val="superscript"/>
        </w:rPr>
        <w:footnoteReference w:id="39"/>
      </w:r>
    </w:p>
    <w:p w14:paraId="66BADAA9" w14:textId="77777777" w:rsidR="00243255" w:rsidRPr="0059555C" w:rsidRDefault="00243255" w:rsidP="00E0694A">
      <w:pPr>
        <w:pStyle w:val="Heading2"/>
        <w:keepLines w:val="0"/>
        <w:numPr>
          <w:ilvl w:val="1"/>
          <w:numId w:val="43"/>
        </w:numPr>
        <w:shd w:val="clear" w:color="auto" w:fill="BFBFBF"/>
        <w:tabs>
          <w:tab w:val="clear" w:pos="567"/>
        </w:tabs>
        <w:spacing w:after="180" w:line="276" w:lineRule="auto"/>
        <w:ind w:left="567" w:hanging="567"/>
        <w:rPr>
          <w:szCs w:val="24"/>
        </w:rPr>
      </w:pPr>
      <w:r w:rsidRPr="0059555C">
        <w:rPr>
          <w:rFonts w:cs="Arial"/>
          <w:szCs w:val="24"/>
        </w:rPr>
        <w:t>The oil and gas tax regime</w:t>
      </w:r>
    </w:p>
    <w:p w14:paraId="296384ED" w14:textId="77777777" w:rsidR="00243255" w:rsidRPr="0054007D" w:rsidRDefault="00243255" w:rsidP="008B6862">
      <w:pPr>
        <w:pStyle w:val="Heading3"/>
        <w:keepNext/>
        <w:numPr>
          <w:ilvl w:val="2"/>
          <w:numId w:val="46"/>
        </w:numPr>
        <w:spacing w:line="276" w:lineRule="auto"/>
        <w:ind w:left="993" w:hanging="505"/>
        <w:jc w:val="left"/>
      </w:pPr>
      <w:r w:rsidRPr="00E0694A">
        <w:rPr>
          <w:sz w:val="24"/>
          <w:szCs w:val="24"/>
        </w:rPr>
        <w:t>Introduction</w:t>
      </w:r>
    </w:p>
    <w:p w14:paraId="69EF486B" w14:textId="75EB9650" w:rsidR="00243255" w:rsidRPr="006C09FB" w:rsidRDefault="00243255" w:rsidP="00A46905">
      <w:pPr>
        <w:pStyle w:val="Default"/>
        <w:spacing w:after="180" w:line="276" w:lineRule="auto"/>
        <w:rPr>
          <w:rFonts w:ascii="Arial" w:hAnsi="Arial" w:cs="Arial"/>
          <w:color w:val="auto"/>
        </w:rPr>
      </w:pPr>
      <w:r w:rsidRPr="006C09FB">
        <w:rPr>
          <w:rFonts w:ascii="Arial" w:hAnsi="Arial" w:cs="Arial"/>
          <w:color w:val="auto"/>
        </w:rPr>
        <w:t xml:space="preserve">As the UK’s oil and gas industry has developed over the last 40 years, successive governments have developed a tax regime designed to ensure that the nation receives a fair share of the profits from the exploitation of its oil and gas </w:t>
      </w:r>
      <w:r w:rsidR="000F3342">
        <w:rPr>
          <w:rFonts w:ascii="Arial" w:hAnsi="Arial" w:cs="Arial"/>
          <w:color w:val="auto"/>
        </w:rPr>
        <w:t>resources</w:t>
      </w:r>
      <w:r w:rsidRPr="006C09FB">
        <w:rPr>
          <w:rFonts w:ascii="Arial" w:hAnsi="Arial" w:cs="Arial"/>
          <w:color w:val="auto"/>
        </w:rPr>
        <w:t>. At the same time, the regime aims to support maximising the economic recovery of the UK’s remaining hydrocarbon resources.</w:t>
      </w:r>
    </w:p>
    <w:p w14:paraId="1BBA2649" w14:textId="136F2A43" w:rsidR="00243255" w:rsidRPr="006C09FB" w:rsidRDefault="003D7685" w:rsidP="00A46905">
      <w:pPr>
        <w:pStyle w:val="Default"/>
        <w:spacing w:after="180" w:line="276" w:lineRule="auto"/>
        <w:rPr>
          <w:rFonts w:ascii="Arial" w:hAnsi="Arial" w:cs="Arial"/>
          <w:color w:val="auto"/>
        </w:rPr>
      </w:pPr>
      <w:r>
        <w:rPr>
          <w:rFonts w:ascii="Arial" w:hAnsi="Arial" w:cs="Arial"/>
          <w:color w:val="auto"/>
        </w:rPr>
        <w:t>T</w:t>
      </w:r>
      <w:r w:rsidR="00243255" w:rsidRPr="006C09FB">
        <w:rPr>
          <w:rFonts w:ascii="Arial" w:hAnsi="Arial" w:cs="Arial"/>
          <w:color w:val="auto"/>
        </w:rPr>
        <w:t xml:space="preserve">he fiscal regime which </w:t>
      </w:r>
      <w:r>
        <w:rPr>
          <w:rFonts w:ascii="Arial" w:hAnsi="Arial" w:cs="Arial"/>
          <w:color w:val="auto"/>
        </w:rPr>
        <w:t xml:space="preserve">currently </w:t>
      </w:r>
      <w:r w:rsidR="00243255" w:rsidRPr="006C09FB">
        <w:rPr>
          <w:rFonts w:ascii="Arial" w:hAnsi="Arial" w:cs="Arial"/>
          <w:color w:val="auto"/>
        </w:rPr>
        <w:t>applie</w:t>
      </w:r>
      <w:r>
        <w:rPr>
          <w:rFonts w:ascii="Arial" w:hAnsi="Arial" w:cs="Arial"/>
          <w:color w:val="auto"/>
        </w:rPr>
        <w:t>s</w:t>
      </w:r>
      <w:r w:rsidR="00243255" w:rsidRPr="006C09FB">
        <w:rPr>
          <w:rFonts w:ascii="Arial" w:hAnsi="Arial" w:cs="Arial"/>
          <w:color w:val="auto"/>
        </w:rPr>
        <w:t xml:space="preserve"> to oil and gas extractive activities comprised three separate taxes: Petroleum Revenue Tax (PRT), Ring Fence Corporation Tax (RFCT) and the Supplementary Charge (SC).</w:t>
      </w:r>
    </w:p>
    <w:p w14:paraId="4F5B8A32" w14:textId="77777777" w:rsidR="00243255" w:rsidRPr="008B6862" w:rsidRDefault="00243255" w:rsidP="008B6862">
      <w:pPr>
        <w:pStyle w:val="Heading3"/>
        <w:keepNext/>
        <w:numPr>
          <w:ilvl w:val="2"/>
          <w:numId w:val="46"/>
        </w:numPr>
        <w:spacing w:line="276" w:lineRule="auto"/>
        <w:ind w:left="993" w:hanging="505"/>
        <w:jc w:val="left"/>
        <w:rPr>
          <w:sz w:val="24"/>
          <w:szCs w:val="24"/>
        </w:rPr>
      </w:pPr>
      <w:r w:rsidRPr="00E0694A">
        <w:rPr>
          <w:sz w:val="24"/>
          <w:szCs w:val="24"/>
        </w:rPr>
        <w:t>The tax regimes</w:t>
      </w:r>
    </w:p>
    <w:p w14:paraId="05D18B8A" w14:textId="77777777" w:rsidR="00243255" w:rsidRPr="006C09FB" w:rsidRDefault="00243255" w:rsidP="00BC7065">
      <w:pPr>
        <w:pStyle w:val="Default"/>
        <w:keepNext/>
        <w:spacing w:line="276" w:lineRule="auto"/>
        <w:outlineLvl w:val="0"/>
        <w:rPr>
          <w:rFonts w:ascii="Arial" w:hAnsi="Arial" w:cs="Arial"/>
        </w:rPr>
      </w:pPr>
      <w:r w:rsidRPr="006C09FB">
        <w:rPr>
          <w:rFonts w:ascii="Arial" w:hAnsi="Arial" w:cs="Arial"/>
          <w:b/>
        </w:rPr>
        <w:t>P</w:t>
      </w:r>
      <w:r w:rsidR="00DA7BB2" w:rsidRPr="006C09FB">
        <w:rPr>
          <w:rFonts w:ascii="Arial" w:hAnsi="Arial" w:cs="Arial"/>
          <w:b/>
        </w:rPr>
        <w:t xml:space="preserve">etroleum </w:t>
      </w:r>
      <w:r w:rsidRPr="006C09FB">
        <w:rPr>
          <w:rFonts w:ascii="Arial" w:hAnsi="Arial" w:cs="Arial"/>
          <w:b/>
        </w:rPr>
        <w:t>R</w:t>
      </w:r>
      <w:r w:rsidR="00DA7BB2" w:rsidRPr="006C09FB">
        <w:rPr>
          <w:rFonts w:ascii="Arial" w:hAnsi="Arial" w:cs="Arial"/>
          <w:b/>
        </w:rPr>
        <w:t xml:space="preserve">evenue </w:t>
      </w:r>
      <w:r w:rsidRPr="006C09FB">
        <w:rPr>
          <w:rFonts w:ascii="Arial" w:hAnsi="Arial" w:cs="Arial"/>
          <w:b/>
        </w:rPr>
        <w:t>T</w:t>
      </w:r>
      <w:r w:rsidR="00DA7BB2" w:rsidRPr="006C09FB">
        <w:rPr>
          <w:rFonts w:ascii="Arial" w:hAnsi="Arial" w:cs="Arial"/>
          <w:b/>
        </w:rPr>
        <w:t>ax (PRT)</w:t>
      </w:r>
    </w:p>
    <w:p w14:paraId="52E2EBC6" w14:textId="4BB77B85" w:rsidR="00E84882" w:rsidRDefault="00E84882" w:rsidP="00A46905">
      <w:pPr>
        <w:pStyle w:val="Default"/>
        <w:spacing w:after="180" w:line="276" w:lineRule="auto"/>
        <w:rPr>
          <w:rFonts w:ascii="Arial" w:hAnsi="Arial" w:cs="Arial"/>
          <w:color w:val="auto"/>
        </w:rPr>
      </w:pPr>
      <w:r w:rsidRPr="006C09FB">
        <w:rPr>
          <w:rFonts w:ascii="Arial" w:hAnsi="Arial" w:cs="Arial"/>
          <w:color w:val="auto"/>
        </w:rPr>
        <w:t xml:space="preserve">PRT is a tax on oil and gas production from the UK and UKCS. It is a field-based tax, which means that the profits from individual oil fields are calculated and subjected to tax separately. Companies do not aggregate their profits from different fields and cannot normally set off losses from one field against profits from another. PRT was </w:t>
      </w:r>
      <w:r w:rsidRPr="005E3CF7">
        <w:rPr>
          <w:rFonts w:ascii="Arial" w:hAnsi="Arial" w:cs="Arial"/>
          <w:color w:val="auto"/>
        </w:rPr>
        <w:t xml:space="preserve">introduced by the Oil Taxation Act 1975 and was </w:t>
      </w:r>
      <w:r w:rsidR="00DA7BB2" w:rsidRPr="005E3CF7">
        <w:rPr>
          <w:rFonts w:ascii="Arial" w:hAnsi="Arial" w:cs="Arial"/>
          <w:color w:val="auto"/>
        </w:rPr>
        <w:t>dis</w:t>
      </w:r>
      <w:r w:rsidR="00426E7E" w:rsidRPr="005E3CF7">
        <w:rPr>
          <w:rFonts w:ascii="Arial" w:hAnsi="Arial" w:cs="Arial"/>
          <w:color w:val="auto"/>
        </w:rPr>
        <w:t>-</w:t>
      </w:r>
      <w:r w:rsidR="00DA7BB2" w:rsidRPr="005E3CF7">
        <w:rPr>
          <w:rFonts w:ascii="Arial" w:hAnsi="Arial" w:cs="Arial"/>
          <w:color w:val="auto"/>
        </w:rPr>
        <w:t xml:space="preserve">applied </w:t>
      </w:r>
      <w:r w:rsidRPr="005E3CF7">
        <w:rPr>
          <w:rFonts w:ascii="Arial" w:hAnsi="Arial" w:cs="Arial"/>
          <w:color w:val="auto"/>
        </w:rPr>
        <w:t>in Finance Act 1993 for all fields given development consent on or after 16 March 1993. This means that fields that were given development consent after this date are not subject to PRT.</w:t>
      </w:r>
      <w:r w:rsidR="00DB5773" w:rsidRPr="005E3CF7">
        <w:rPr>
          <w:rFonts w:ascii="Arial" w:hAnsi="Arial" w:cs="Arial"/>
          <w:color w:val="auto"/>
        </w:rPr>
        <w:t xml:space="preserve"> </w:t>
      </w:r>
      <w:r w:rsidR="00DA7BB2" w:rsidRPr="005E3CF7">
        <w:rPr>
          <w:rFonts w:ascii="Arial" w:hAnsi="Arial" w:cs="Arial"/>
          <w:color w:val="auto"/>
        </w:rPr>
        <w:t>T</w:t>
      </w:r>
      <w:r w:rsidR="00DB5773" w:rsidRPr="005E3CF7">
        <w:rPr>
          <w:rFonts w:ascii="Arial" w:hAnsi="Arial" w:cs="Arial"/>
          <w:color w:val="auto"/>
        </w:rPr>
        <w:t>he Chancellor announce</w:t>
      </w:r>
      <w:r w:rsidR="00DA7BB2" w:rsidRPr="005E3CF7">
        <w:rPr>
          <w:rFonts w:ascii="Arial" w:hAnsi="Arial" w:cs="Arial"/>
          <w:color w:val="auto"/>
        </w:rPr>
        <w:t>d</w:t>
      </w:r>
      <w:r w:rsidR="00DB5773" w:rsidRPr="005E3CF7">
        <w:rPr>
          <w:rFonts w:ascii="Arial" w:hAnsi="Arial" w:cs="Arial"/>
          <w:color w:val="auto"/>
        </w:rPr>
        <w:t xml:space="preserve"> at Budget 2016, that from 1 January 2016 the PRT rate would be permanently reduced to </w:t>
      </w:r>
      <w:r w:rsidR="00AD0AD6" w:rsidRPr="005E3CF7">
        <w:rPr>
          <w:rFonts w:ascii="Arial" w:hAnsi="Arial" w:cs="Arial"/>
          <w:color w:val="auto"/>
        </w:rPr>
        <w:t>zero</w:t>
      </w:r>
      <w:r w:rsidR="00DB5773" w:rsidRPr="005E3CF7">
        <w:rPr>
          <w:rFonts w:ascii="Arial" w:hAnsi="Arial" w:cs="Arial"/>
          <w:color w:val="auto"/>
        </w:rPr>
        <w:t>. However, it is important to note that PRT has not been abolished. Companies will still have to record and declare their profits</w:t>
      </w:r>
      <w:r w:rsidR="007E5706" w:rsidRPr="005E3CF7">
        <w:rPr>
          <w:rFonts w:ascii="Arial" w:hAnsi="Arial" w:cs="Arial"/>
          <w:color w:val="auto"/>
        </w:rPr>
        <w:t xml:space="preserve"> </w:t>
      </w:r>
      <w:r w:rsidR="00E22F0A" w:rsidRPr="005E3CF7">
        <w:rPr>
          <w:rFonts w:ascii="Arial" w:hAnsi="Arial" w:cs="Arial"/>
          <w:color w:val="auto"/>
        </w:rPr>
        <w:t xml:space="preserve">and </w:t>
      </w:r>
      <w:r w:rsidR="00DB5773" w:rsidRPr="005E3CF7">
        <w:rPr>
          <w:rFonts w:ascii="Arial" w:hAnsi="Arial" w:cs="Arial"/>
          <w:color w:val="auto"/>
        </w:rPr>
        <w:t xml:space="preserve">may </w:t>
      </w:r>
      <w:r w:rsidR="00E22F0A" w:rsidRPr="005E3CF7">
        <w:rPr>
          <w:rFonts w:ascii="Arial" w:hAnsi="Arial" w:cs="Arial"/>
          <w:color w:val="auto"/>
        </w:rPr>
        <w:t xml:space="preserve">be able to </w:t>
      </w:r>
      <w:r w:rsidR="00DB5773" w:rsidRPr="005E3CF7">
        <w:rPr>
          <w:rFonts w:ascii="Arial" w:hAnsi="Arial" w:cs="Arial"/>
          <w:color w:val="auto"/>
        </w:rPr>
        <w:t xml:space="preserve">claim </w:t>
      </w:r>
      <w:r w:rsidR="00B83BB1" w:rsidRPr="005E3CF7">
        <w:rPr>
          <w:rFonts w:ascii="Arial" w:hAnsi="Arial" w:cs="Arial"/>
          <w:color w:val="auto"/>
        </w:rPr>
        <w:t xml:space="preserve">tax refunds for previously paid PRT </w:t>
      </w:r>
      <w:r w:rsidR="00E22F0A" w:rsidRPr="005E3CF7">
        <w:rPr>
          <w:rFonts w:ascii="Arial" w:hAnsi="Arial" w:cs="Arial"/>
          <w:color w:val="auto"/>
        </w:rPr>
        <w:t xml:space="preserve">where they make net </w:t>
      </w:r>
      <w:r w:rsidR="00DB5773" w:rsidRPr="005E3CF7">
        <w:rPr>
          <w:rFonts w:ascii="Arial" w:hAnsi="Arial" w:cs="Arial"/>
          <w:color w:val="auto"/>
        </w:rPr>
        <w:t xml:space="preserve">losses </w:t>
      </w:r>
      <w:r w:rsidR="00B83BB1" w:rsidRPr="005E3CF7">
        <w:rPr>
          <w:rFonts w:ascii="Arial" w:hAnsi="Arial" w:cs="Arial"/>
          <w:color w:val="auto"/>
        </w:rPr>
        <w:t>after this date</w:t>
      </w:r>
      <w:r w:rsidR="00DB5773" w:rsidRPr="005E3CF7">
        <w:rPr>
          <w:rFonts w:ascii="Arial" w:hAnsi="Arial" w:cs="Arial"/>
          <w:color w:val="auto"/>
        </w:rPr>
        <w:t>.</w:t>
      </w:r>
    </w:p>
    <w:p w14:paraId="590A8AEF" w14:textId="30A2FB36" w:rsidR="003D7DBF" w:rsidRPr="005E3CF7" w:rsidRDefault="003D7DBF" w:rsidP="00906E90">
      <w:pPr>
        <w:pStyle w:val="Default"/>
        <w:spacing w:after="180" w:line="276" w:lineRule="auto"/>
        <w:rPr>
          <w:rFonts w:ascii="Arial" w:hAnsi="Arial" w:cs="Arial"/>
          <w:color w:val="auto"/>
        </w:rPr>
      </w:pPr>
      <w:r>
        <w:rPr>
          <w:rFonts w:ascii="Arial" w:hAnsi="Arial" w:cs="Arial"/>
          <w:color w:val="auto"/>
        </w:rPr>
        <w:t>Despite the fact that PRT has been zero rated, it is possible that some companies may still make pay</w:t>
      </w:r>
      <w:r w:rsidR="005665C9">
        <w:rPr>
          <w:rFonts w:ascii="Arial" w:hAnsi="Arial" w:cs="Arial"/>
          <w:color w:val="auto"/>
        </w:rPr>
        <w:t xml:space="preserve">ments </w:t>
      </w:r>
      <w:r w:rsidR="00C33D9B">
        <w:rPr>
          <w:rFonts w:ascii="Arial" w:hAnsi="Arial" w:cs="Arial"/>
          <w:color w:val="auto"/>
        </w:rPr>
        <w:t>of</w:t>
      </w:r>
      <w:r w:rsidR="005665C9">
        <w:rPr>
          <w:rFonts w:ascii="Arial" w:hAnsi="Arial" w:cs="Arial"/>
          <w:color w:val="auto"/>
        </w:rPr>
        <w:t xml:space="preserve"> PRT, for example where a payment is made to settle a previous year</w:t>
      </w:r>
      <w:r w:rsidR="00AA733A">
        <w:rPr>
          <w:rFonts w:ascii="Arial" w:hAnsi="Arial" w:cs="Arial"/>
          <w:color w:val="auto"/>
        </w:rPr>
        <w:t>’</w:t>
      </w:r>
      <w:r w:rsidR="005665C9">
        <w:rPr>
          <w:rFonts w:ascii="Arial" w:hAnsi="Arial" w:cs="Arial"/>
          <w:color w:val="auto"/>
        </w:rPr>
        <w:t>s liability, o</w:t>
      </w:r>
      <w:r w:rsidR="00B832A5">
        <w:rPr>
          <w:rFonts w:ascii="Arial" w:hAnsi="Arial" w:cs="Arial"/>
          <w:color w:val="auto"/>
        </w:rPr>
        <w:t>r there is an adjustment to the amount of tax due from previous years.</w:t>
      </w:r>
    </w:p>
    <w:p w14:paraId="3929B511" w14:textId="77777777" w:rsidR="00DB2BAA" w:rsidRPr="005E3CF7" w:rsidRDefault="00DB2BAA" w:rsidP="00BC7065">
      <w:pPr>
        <w:pStyle w:val="Default"/>
        <w:keepNext/>
        <w:spacing w:line="276" w:lineRule="auto"/>
        <w:outlineLvl w:val="0"/>
        <w:rPr>
          <w:rFonts w:ascii="Arial" w:hAnsi="Arial" w:cs="Arial"/>
          <w:b/>
        </w:rPr>
      </w:pPr>
      <w:r w:rsidRPr="005E3CF7">
        <w:rPr>
          <w:rFonts w:ascii="Arial" w:hAnsi="Arial" w:cs="Arial"/>
          <w:b/>
        </w:rPr>
        <w:lastRenderedPageBreak/>
        <w:t>Advance PRT Payments</w:t>
      </w:r>
    </w:p>
    <w:p w14:paraId="10142CDD" w14:textId="3628B3A4" w:rsidR="00DB2BAA" w:rsidRPr="005E3CF7" w:rsidRDefault="00A66BBF" w:rsidP="00A46905">
      <w:pPr>
        <w:pStyle w:val="Default"/>
        <w:spacing w:after="180" w:line="276" w:lineRule="auto"/>
        <w:rPr>
          <w:rFonts w:ascii="Arial" w:hAnsi="Arial" w:cs="Arial"/>
          <w:color w:val="auto"/>
        </w:rPr>
      </w:pPr>
      <w:r w:rsidRPr="005E3CF7">
        <w:rPr>
          <w:rFonts w:ascii="Arial" w:hAnsi="Arial" w:cs="Arial"/>
          <w:color w:val="auto"/>
        </w:rPr>
        <w:t>Advance Petroleum Revenue Tax (APRT) was a temporary tax payable for periods from 1 January 1983 to 31 December 1986. The change was in effect a means of accelerating PRT payments.</w:t>
      </w:r>
    </w:p>
    <w:p w14:paraId="7109CC09" w14:textId="643D9CB9" w:rsidR="00A66BBF" w:rsidRPr="005E3CF7" w:rsidRDefault="00A66BBF" w:rsidP="00906E90">
      <w:pPr>
        <w:pStyle w:val="Default"/>
        <w:spacing w:after="180" w:line="276" w:lineRule="auto"/>
        <w:rPr>
          <w:rFonts w:ascii="Arial" w:hAnsi="Arial" w:cs="Arial"/>
          <w:color w:val="auto"/>
        </w:rPr>
      </w:pPr>
      <w:r w:rsidRPr="005E3CF7">
        <w:rPr>
          <w:rFonts w:ascii="Arial" w:hAnsi="Arial" w:cs="Arial"/>
          <w:color w:val="auto"/>
        </w:rPr>
        <w:t>Although APRT is no longer chargeable, repayments may arise due to the carry back of losses to periods</w:t>
      </w:r>
      <w:r w:rsidR="00E36B78" w:rsidRPr="005E3CF7">
        <w:rPr>
          <w:rFonts w:ascii="Arial" w:hAnsi="Arial" w:cs="Arial"/>
          <w:color w:val="auto"/>
        </w:rPr>
        <w:t xml:space="preserve"> in which APRT paid was set against a PRT liability. For practical purposes APRT repayments are included within the PRT figures in EITI </w:t>
      </w:r>
      <w:r w:rsidR="003D7685">
        <w:rPr>
          <w:rFonts w:ascii="Arial" w:hAnsi="Arial" w:cs="Arial"/>
          <w:color w:val="auto"/>
        </w:rPr>
        <w:t xml:space="preserve">reconciliation </w:t>
      </w:r>
      <w:r w:rsidR="00E36B78" w:rsidRPr="005E3CF7">
        <w:rPr>
          <w:rFonts w:ascii="Arial" w:hAnsi="Arial" w:cs="Arial"/>
          <w:color w:val="auto"/>
        </w:rPr>
        <w:t>report</w:t>
      </w:r>
      <w:r w:rsidR="003D7685">
        <w:rPr>
          <w:rFonts w:ascii="Arial" w:hAnsi="Arial" w:cs="Arial"/>
          <w:color w:val="auto"/>
        </w:rPr>
        <w:t>s</w:t>
      </w:r>
      <w:r w:rsidR="00E36B78" w:rsidRPr="005E3CF7">
        <w:rPr>
          <w:rFonts w:ascii="Arial" w:hAnsi="Arial" w:cs="Arial"/>
          <w:color w:val="auto"/>
        </w:rPr>
        <w:t>.</w:t>
      </w:r>
    </w:p>
    <w:p w14:paraId="1FE5667D" w14:textId="77777777" w:rsidR="00243255" w:rsidRPr="005E3CF7" w:rsidRDefault="00243255" w:rsidP="00BC7065">
      <w:pPr>
        <w:pStyle w:val="Default"/>
        <w:keepNext/>
        <w:spacing w:line="276" w:lineRule="auto"/>
        <w:outlineLvl w:val="0"/>
        <w:rPr>
          <w:rFonts w:ascii="Arial" w:hAnsi="Arial" w:cs="Arial"/>
          <w:color w:val="auto"/>
        </w:rPr>
      </w:pPr>
      <w:r w:rsidRPr="005E3CF7">
        <w:rPr>
          <w:rFonts w:ascii="Arial" w:hAnsi="Arial" w:cs="Arial"/>
          <w:b/>
          <w:color w:val="auto"/>
        </w:rPr>
        <w:t>R</w:t>
      </w:r>
      <w:r w:rsidR="00B83BB1" w:rsidRPr="005E3CF7">
        <w:rPr>
          <w:rFonts w:ascii="Arial" w:hAnsi="Arial" w:cs="Arial"/>
          <w:b/>
          <w:color w:val="auto"/>
        </w:rPr>
        <w:t xml:space="preserve">ing </w:t>
      </w:r>
      <w:r w:rsidRPr="005E3CF7">
        <w:rPr>
          <w:rFonts w:ascii="Arial" w:hAnsi="Arial" w:cs="Arial"/>
          <w:b/>
          <w:color w:val="auto"/>
        </w:rPr>
        <w:t>F</w:t>
      </w:r>
      <w:r w:rsidR="00B83BB1" w:rsidRPr="005E3CF7">
        <w:rPr>
          <w:rFonts w:ascii="Arial" w:hAnsi="Arial" w:cs="Arial"/>
          <w:b/>
          <w:color w:val="auto"/>
        </w:rPr>
        <w:t xml:space="preserve">ence </w:t>
      </w:r>
      <w:r w:rsidRPr="005E3CF7">
        <w:rPr>
          <w:rFonts w:ascii="Arial" w:hAnsi="Arial" w:cs="Arial"/>
          <w:b/>
          <w:color w:val="auto"/>
        </w:rPr>
        <w:t>C</w:t>
      </w:r>
      <w:r w:rsidR="00B83BB1" w:rsidRPr="005E3CF7">
        <w:rPr>
          <w:rFonts w:ascii="Arial" w:hAnsi="Arial" w:cs="Arial"/>
          <w:b/>
          <w:color w:val="auto"/>
        </w:rPr>
        <w:t xml:space="preserve">orporation </w:t>
      </w:r>
      <w:r w:rsidRPr="005E3CF7">
        <w:rPr>
          <w:rFonts w:ascii="Arial" w:hAnsi="Arial" w:cs="Arial"/>
          <w:b/>
          <w:color w:val="auto"/>
        </w:rPr>
        <w:t>T</w:t>
      </w:r>
      <w:r w:rsidR="00B83BB1" w:rsidRPr="005E3CF7">
        <w:rPr>
          <w:rFonts w:ascii="Arial" w:hAnsi="Arial" w:cs="Arial"/>
          <w:b/>
          <w:color w:val="auto"/>
        </w:rPr>
        <w:t>ax (RFCT)</w:t>
      </w:r>
    </w:p>
    <w:p w14:paraId="3E998E92" w14:textId="77777777" w:rsidR="00056ADC" w:rsidRPr="005E3CF7" w:rsidRDefault="00056ADC" w:rsidP="00A46905">
      <w:pPr>
        <w:pStyle w:val="Default"/>
        <w:spacing w:after="180" w:line="276" w:lineRule="auto"/>
        <w:rPr>
          <w:rFonts w:ascii="Arial" w:hAnsi="Arial" w:cs="Arial"/>
          <w:color w:val="auto"/>
        </w:rPr>
      </w:pPr>
      <w:r w:rsidRPr="005E3CF7">
        <w:rPr>
          <w:rFonts w:ascii="Arial" w:hAnsi="Arial" w:cs="Arial"/>
          <w:color w:val="auto"/>
        </w:rPr>
        <w:t xml:space="preserve">RFCT is a tax charged on the profits a company earns from carrying out oil and gas </w:t>
      </w:r>
      <w:r w:rsidR="00B83BB1" w:rsidRPr="005E3CF7">
        <w:rPr>
          <w:rFonts w:ascii="Arial" w:hAnsi="Arial" w:cs="Arial"/>
          <w:color w:val="auto"/>
        </w:rPr>
        <w:t xml:space="preserve">extraction </w:t>
      </w:r>
      <w:r w:rsidRPr="005E3CF7">
        <w:rPr>
          <w:rFonts w:ascii="Arial" w:hAnsi="Arial" w:cs="Arial"/>
          <w:color w:val="auto"/>
        </w:rPr>
        <w:t>activities</w:t>
      </w:r>
      <w:r w:rsidR="00B83BB1" w:rsidRPr="005E3CF7">
        <w:rPr>
          <w:rFonts w:ascii="Arial" w:hAnsi="Arial" w:cs="Arial"/>
          <w:color w:val="auto"/>
        </w:rPr>
        <w:t xml:space="preserve"> in the UK and UKCS</w:t>
      </w:r>
      <w:r w:rsidRPr="005E3CF7">
        <w:rPr>
          <w:rFonts w:ascii="Arial" w:hAnsi="Arial" w:cs="Arial"/>
          <w:color w:val="auto"/>
        </w:rPr>
        <w:t xml:space="preserve">. This can include exploration, development and production activities. The profits chargeable to RFCT are calculated in the same way as for mainstream CT, but with some different rules relating to certain allowances, interest and transfer pricing. RFCT is charged at the company level, unlike PRT which </w:t>
      </w:r>
      <w:r w:rsidR="00E36B78" w:rsidRPr="005E3CF7">
        <w:rPr>
          <w:rFonts w:ascii="Arial" w:hAnsi="Arial" w:cs="Arial"/>
          <w:color w:val="auto"/>
        </w:rPr>
        <w:t xml:space="preserve">was </w:t>
      </w:r>
      <w:r w:rsidRPr="005E3CF7">
        <w:rPr>
          <w:rFonts w:ascii="Arial" w:hAnsi="Arial" w:cs="Arial"/>
          <w:color w:val="auto"/>
        </w:rPr>
        <w:t>charged at the field level. This means that where a company has several different oil fields, it aggregates the profits from all those fields, and where any of the fields makes a loss, that loss can be set against profits from another field. The total profit across all fields in which a company operates is then charged to RFCT.</w:t>
      </w:r>
    </w:p>
    <w:p w14:paraId="23FF439E" w14:textId="2AB248DD" w:rsidR="00243255" w:rsidRPr="005E3CF7" w:rsidRDefault="00243255" w:rsidP="00A46905">
      <w:pPr>
        <w:pStyle w:val="Default"/>
        <w:spacing w:after="180" w:line="276" w:lineRule="auto"/>
        <w:rPr>
          <w:rFonts w:ascii="Arial" w:hAnsi="Arial" w:cs="Arial"/>
          <w:color w:val="auto"/>
        </w:rPr>
      </w:pPr>
      <w:r w:rsidRPr="005E3CF7">
        <w:rPr>
          <w:rFonts w:ascii="Arial" w:hAnsi="Arial" w:cs="Arial"/>
          <w:color w:val="auto"/>
        </w:rPr>
        <w:t xml:space="preserve">The ring fence separates the </w:t>
      </w:r>
      <w:r w:rsidR="00B83BB1" w:rsidRPr="005E3CF7">
        <w:rPr>
          <w:rFonts w:ascii="Arial" w:hAnsi="Arial" w:cs="Arial"/>
          <w:color w:val="auto"/>
        </w:rPr>
        <w:t xml:space="preserve">upstream UK </w:t>
      </w:r>
      <w:r w:rsidRPr="005E3CF7">
        <w:rPr>
          <w:rFonts w:ascii="Arial" w:hAnsi="Arial" w:cs="Arial"/>
          <w:color w:val="auto"/>
        </w:rPr>
        <w:t xml:space="preserve">oil and gas related activities of a company from any other activities of the company. It was introduced in the Oil Taxation Act 1975, and it means that if a company also carries on other activities which are not related to oil and gas extraction (this could include downstream oil and gas activity such as oil refining, or other completely separate activities), it will pay mainstream corporation tax (CT) on the profits of those other activities. Profits in the ring fence are taxed at 30%. </w:t>
      </w:r>
      <w:r w:rsidR="00F04417">
        <w:rPr>
          <w:rFonts w:ascii="Arial" w:hAnsi="Arial" w:cs="Arial"/>
          <w:color w:val="auto"/>
        </w:rPr>
        <w:t xml:space="preserve">This is significantly higher than the main rate of CT. </w:t>
      </w:r>
      <w:r w:rsidRPr="005E3CF7">
        <w:rPr>
          <w:rFonts w:ascii="Arial" w:hAnsi="Arial" w:cs="Arial"/>
          <w:color w:val="auto"/>
        </w:rPr>
        <w:t>If a company makes a loss on non-ring fence activities, it cannot set that loss against its ring fenc</w:t>
      </w:r>
      <w:r w:rsidR="00056ADC" w:rsidRPr="005E3CF7">
        <w:rPr>
          <w:rFonts w:ascii="Arial" w:hAnsi="Arial" w:cs="Arial"/>
          <w:color w:val="auto"/>
        </w:rPr>
        <w:t>e profits (ring fence losses can be set against non-ring fence profits).</w:t>
      </w:r>
    </w:p>
    <w:p w14:paraId="12D1D04E" w14:textId="77777777" w:rsidR="00243255" w:rsidRPr="005E3CF7" w:rsidRDefault="00243255" w:rsidP="00D57182">
      <w:pPr>
        <w:pStyle w:val="Default"/>
        <w:spacing w:after="180" w:line="276" w:lineRule="auto"/>
        <w:rPr>
          <w:rFonts w:ascii="Arial" w:hAnsi="Arial" w:cs="Arial"/>
          <w:color w:val="auto"/>
        </w:rPr>
      </w:pPr>
      <w:r w:rsidRPr="005E3CF7">
        <w:rPr>
          <w:rFonts w:ascii="Arial" w:hAnsi="Arial" w:cs="Arial"/>
          <w:color w:val="auto"/>
        </w:rPr>
        <w:t>If a company makes a small profit (less than £300,000) on its ring fence activities, it pays tax at the small profits rate of 19% on those profits. If its profits are between £300,000 and £1,500,000 it can claim Marginal Relief, to remove the cliff-edge between 19% and 30% as soon as its profits are above £300,000.</w:t>
      </w:r>
    </w:p>
    <w:p w14:paraId="1630F3E4" w14:textId="77777777" w:rsidR="00243255" w:rsidRPr="005E3CF7" w:rsidRDefault="00243255" w:rsidP="00BC7065">
      <w:pPr>
        <w:pStyle w:val="Default"/>
        <w:keepNext/>
        <w:spacing w:line="276" w:lineRule="auto"/>
        <w:outlineLvl w:val="0"/>
        <w:rPr>
          <w:rFonts w:ascii="Arial" w:hAnsi="Arial" w:cs="Arial"/>
          <w:b/>
          <w:color w:val="auto"/>
        </w:rPr>
      </w:pPr>
      <w:r w:rsidRPr="005E3CF7">
        <w:rPr>
          <w:rFonts w:ascii="Arial" w:hAnsi="Arial" w:cs="Arial"/>
          <w:b/>
          <w:color w:val="auto"/>
        </w:rPr>
        <w:t>S</w:t>
      </w:r>
      <w:r w:rsidR="00B83BB1" w:rsidRPr="005E3CF7">
        <w:rPr>
          <w:rFonts w:ascii="Arial" w:hAnsi="Arial" w:cs="Arial"/>
          <w:b/>
          <w:color w:val="auto"/>
        </w:rPr>
        <w:t xml:space="preserve">upplementary </w:t>
      </w:r>
      <w:r w:rsidRPr="005E3CF7">
        <w:rPr>
          <w:rFonts w:ascii="Arial" w:hAnsi="Arial" w:cs="Arial"/>
          <w:b/>
          <w:color w:val="auto"/>
        </w:rPr>
        <w:t>C</w:t>
      </w:r>
      <w:r w:rsidR="00B83BB1" w:rsidRPr="005E3CF7">
        <w:rPr>
          <w:rFonts w:ascii="Arial" w:hAnsi="Arial" w:cs="Arial"/>
          <w:b/>
          <w:color w:val="auto"/>
        </w:rPr>
        <w:t>harge (SC)</w:t>
      </w:r>
    </w:p>
    <w:p w14:paraId="219ABD6D" w14:textId="52807B29" w:rsidR="00D71579" w:rsidRDefault="00243255" w:rsidP="00E0694A">
      <w:pPr>
        <w:pStyle w:val="Default"/>
        <w:keepNext/>
        <w:spacing w:after="180" w:line="276" w:lineRule="auto"/>
        <w:outlineLvl w:val="0"/>
        <w:rPr>
          <w:rFonts w:ascii="Arial" w:hAnsi="Arial" w:cs="Arial"/>
          <w:color w:val="auto"/>
        </w:rPr>
      </w:pPr>
      <w:r w:rsidRPr="005E3CF7">
        <w:rPr>
          <w:rFonts w:ascii="Arial" w:hAnsi="Arial" w:cs="Arial"/>
          <w:color w:val="auto"/>
        </w:rPr>
        <w:t xml:space="preserve">SC is an additional tax on a company’s adjusted ring fence profits. It was introduced in 2002. Like RFCT it is charged at the company level. The starting point for calculating the SC is the company’s profits subject to RFCT. These profits are then adjusted to remove any finance costs, which are not allowed as a deduction for SC purposes. The company may, however, be able to reduce its profits subject to the SC by virtue of certain allowances: </w:t>
      </w:r>
      <w:proofErr w:type="gramStart"/>
      <w:r w:rsidRPr="005E3CF7">
        <w:rPr>
          <w:rFonts w:ascii="Arial" w:hAnsi="Arial" w:cs="Arial"/>
          <w:color w:val="auto"/>
        </w:rPr>
        <w:t>the</w:t>
      </w:r>
      <w:proofErr w:type="gramEnd"/>
      <w:r w:rsidRPr="005E3CF7">
        <w:rPr>
          <w:rFonts w:ascii="Arial" w:hAnsi="Arial" w:cs="Arial"/>
          <w:color w:val="auto"/>
        </w:rPr>
        <w:t xml:space="preserve"> Investment Allowance and Cluster Area </w:t>
      </w:r>
      <w:r w:rsidRPr="005E3CF7">
        <w:rPr>
          <w:rFonts w:ascii="Arial" w:hAnsi="Arial" w:cs="Arial"/>
          <w:color w:val="auto"/>
        </w:rPr>
        <w:lastRenderedPageBreak/>
        <w:t>Allowance, and the Onshore Allowance, which are outlined below. The company’s adjusted ring fence profits are then charged to SC</w:t>
      </w:r>
      <w:r w:rsidR="003D7685">
        <w:rPr>
          <w:rFonts w:ascii="Arial" w:hAnsi="Arial" w:cs="Arial"/>
          <w:color w:val="auto"/>
        </w:rPr>
        <w:t xml:space="preserve"> at a rate of 10%</w:t>
      </w:r>
      <w:r w:rsidRPr="005E3CF7">
        <w:rPr>
          <w:rFonts w:ascii="Arial" w:hAnsi="Arial" w:cs="Arial"/>
          <w:color w:val="auto"/>
        </w:rPr>
        <w:t>.</w:t>
      </w:r>
    </w:p>
    <w:p w14:paraId="4CBAF514" w14:textId="74815B5C" w:rsidR="00243255" w:rsidRPr="005E3CF7" w:rsidRDefault="00243255" w:rsidP="00F714C8">
      <w:pPr>
        <w:pStyle w:val="Default"/>
        <w:keepNext/>
        <w:spacing w:after="120" w:line="276" w:lineRule="auto"/>
        <w:outlineLvl w:val="0"/>
        <w:rPr>
          <w:rFonts w:ascii="Arial" w:hAnsi="Arial" w:cs="Arial"/>
          <w:b/>
          <w:color w:val="auto"/>
        </w:rPr>
      </w:pPr>
      <w:r w:rsidRPr="005E3CF7">
        <w:rPr>
          <w:rFonts w:ascii="Arial" w:hAnsi="Arial" w:cs="Arial"/>
          <w:b/>
          <w:color w:val="auto"/>
        </w:rPr>
        <w:t xml:space="preserve">Summary of rates </w:t>
      </w:r>
    </w:p>
    <w:p w14:paraId="3B58CF04" w14:textId="77777777" w:rsidR="00243255" w:rsidRPr="005E3CF7" w:rsidRDefault="00243255" w:rsidP="00F714C8">
      <w:pPr>
        <w:pStyle w:val="Default"/>
        <w:keepNext/>
        <w:numPr>
          <w:ilvl w:val="0"/>
          <w:numId w:val="22"/>
        </w:numPr>
        <w:spacing w:after="80" w:line="276" w:lineRule="auto"/>
        <w:ind w:left="714" w:hanging="357"/>
        <w:rPr>
          <w:rFonts w:ascii="Arial" w:hAnsi="Arial" w:cs="Arial"/>
          <w:color w:val="auto"/>
        </w:rPr>
      </w:pPr>
      <w:r w:rsidRPr="005E3CF7">
        <w:rPr>
          <w:rFonts w:ascii="Arial" w:hAnsi="Arial" w:cs="Arial"/>
          <w:color w:val="auto"/>
        </w:rPr>
        <w:t>PRT –</w:t>
      </w:r>
      <w:r w:rsidR="00C40BC9" w:rsidRPr="005E3CF7">
        <w:rPr>
          <w:rFonts w:ascii="Arial" w:hAnsi="Arial" w:cs="Arial"/>
          <w:color w:val="auto"/>
        </w:rPr>
        <w:t xml:space="preserve"> </w:t>
      </w:r>
      <w:r w:rsidRPr="005E3CF7">
        <w:rPr>
          <w:rFonts w:ascii="Arial" w:hAnsi="Arial" w:cs="Arial"/>
          <w:color w:val="auto"/>
        </w:rPr>
        <w:t>0%</w:t>
      </w:r>
    </w:p>
    <w:p w14:paraId="590AA29F" w14:textId="77777777" w:rsidR="00243255" w:rsidRPr="005E3CF7" w:rsidRDefault="00243255" w:rsidP="00F714C8">
      <w:pPr>
        <w:pStyle w:val="Default"/>
        <w:keepNext/>
        <w:numPr>
          <w:ilvl w:val="0"/>
          <w:numId w:val="22"/>
        </w:numPr>
        <w:spacing w:after="80" w:line="276" w:lineRule="auto"/>
        <w:ind w:left="714" w:hanging="357"/>
        <w:rPr>
          <w:rFonts w:ascii="Arial" w:hAnsi="Arial" w:cs="Arial"/>
          <w:color w:val="auto"/>
        </w:rPr>
      </w:pPr>
      <w:r w:rsidRPr="005E3CF7">
        <w:rPr>
          <w:rFonts w:ascii="Arial" w:hAnsi="Arial" w:cs="Arial"/>
          <w:color w:val="auto"/>
        </w:rPr>
        <w:t>RFCT – 30%</w:t>
      </w:r>
    </w:p>
    <w:p w14:paraId="080D8342" w14:textId="77777777" w:rsidR="00243255" w:rsidRPr="005E3CF7" w:rsidRDefault="00243255" w:rsidP="00F714C8">
      <w:pPr>
        <w:pStyle w:val="Default"/>
        <w:numPr>
          <w:ilvl w:val="0"/>
          <w:numId w:val="22"/>
        </w:numPr>
        <w:spacing w:after="80" w:line="276" w:lineRule="auto"/>
        <w:ind w:left="714" w:hanging="357"/>
        <w:rPr>
          <w:rFonts w:ascii="Arial" w:hAnsi="Arial" w:cs="Arial"/>
          <w:color w:val="auto"/>
        </w:rPr>
      </w:pPr>
      <w:r w:rsidRPr="005E3CF7">
        <w:rPr>
          <w:rFonts w:ascii="Arial" w:hAnsi="Arial" w:cs="Arial"/>
          <w:color w:val="auto"/>
        </w:rPr>
        <w:t xml:space="preserve">SC – </w:t>
      </w:r>
      <w:r w:rsidR="009C1CC7" w:rsidRPr="005E3CF7">
        <w:rPr>
          <w:rFonts w:ascii="Arial" w:hAnsi="Arial" w:cs="Arial"/>
          <w:color w:val="auto"/>
        </w:rPr>
        <w:t>10</w:t>
      </w:r>
      <w:r w:rsidRPr="005E3CF7">
        <w:rPr>
          <w:rFonts w:ascii="Arial" w:hAnsi="Arial" w:cs="Arial"/>
          <w:color w:val="auto"/>
        </w:rPr>
        <w:t>%</w:t>
      </w:r>
    </w:p>
    <w:p w14:paraId="0971381F" w14:textId="77777777" w:rsidR="00243255" w:rsidRPr="005E3CF7" w:rsidRDefault="00243255" w:rsidP="00BC7065">
      <w:pPr>
        <w:pStyle w:val="Default"/>
        <w:keepNext/>
        <w:spacing w:before="180" w:line="276" w:lineRule="auto"/>
        <w:outlineLvl w:val="0"/>
        <w:rPr>
          <w:rFonts w:ascii="Arial" w:hAnsi="Arial" w:cs="Arial"/>
          <w:color w:val="auto"/>
        </w:rPr>
      </w:pPr>
      <w:r w:rsidRPr="005E3CF7">
        <w:rPr>
          <w:rFonts w:ascii="Arial" w:hAnsi="Arial" w:cs="Arial"/>
          <w:b/>
          <w:color w:val="auto"/>
        </w:rPr>
        <w:t>Interaction</w:t>
      </w:r>
    </w:p>
    <w:p w14:paraId="5782B921" w14:textId="64AAA5E0" w:rsidR="00DE7600" w:rsidRPr="005E3CF7" w:rsidRDefault="00243255" w:rsidP="00A46905">
      <w:pPr>
        <w:pStyle w:val="Default"/>
        <w:spacing w:after="180" w:line="276" w:lineRule="auto"/>
        <w:rPr>
          <w:rFonts w:ascii="Arial" w:hAnsi="Arial" w:cs="Arial"/>
          <w:color w:val="auto"/>
        </w:rPr>
      </w:pPr>
      <w:r w:rsidRPr="005E3CF7">
        <w:rPr>
          <w:rFonts w:ascii="Arial" w:hAnsi="Arial" w:cs="Arial"/>
          <w:color w:val="auto"/>
        </w:rPr>
        <w:t xml:space="preserve">PRT </w:t>
      </w:r>
      <w:r w:rsidR="003D7685">
        <w:rPr>
          <w:rFonts w:ascii="Arial" w:hAnsi="Arial" w:cs="Arial"/>
          <w:color w:val="auto"/>
        </w:rPr>
        <w:t>is</w:t>
      </w:r>
      <w:r w:rsidR="009C1CC7" w:rsidRPr="005E3CF7">
        <w:rPr>
          <w:rFonts w:ascii="Arial" w:hAnsi="Arial" w:cs="Arial"/>
          <w:color w:val="auto"/>
        </w:rPr>
        <w:t xml:space="preserve"> </w:t>
      </w:r>
      <w:r w:rsidRPr="005E3CF7">
        <w:rPr>
          <w:rFonts w:ascii="Arial" w:hAnsi="Arial" w:cs="Arial"/>
          <w:color w:val="auto"/>
        </w:rPr>
        <w:t>an allowable deduction in calculating profits subject to RFCT and SC. Equally, any refund of PRT is a taxable receipt for RFCT and SC purposes. RFCT and SC are charged on the same profit base, so neither is allowable as a deduction in calculating the profits chargeable to the other.</w:t>
      </w:r>
    </w:p>
    <w:p w14:paraId="4D0505D9" w14:textId="16E65AEB" w:rsidR="00453FCD" w:rsidRPr="005E3CF7" w:rsidRDefault="00243255" w:rsidP="00C17CD0">
      <w:pPr>
        <w:pStyle w:val="Default"/>
        <w:spacing w:after="120" w:line="276" w:lineRule="auto"/>
        <w:rPr>
          <w:rFonts w:ascii="Arial" w:hAnsi="Arial" w:cs="Arial"/>
          <w:color w:val="auto"/>
        </w:rPr>
      </w:pPr>
      <w:r w:rsidRPr="00E00594">
        <w:rPr>
          <w:rFonts w:ascii="Arial" w:hAnsi="Arial" w:cs="Arial"/>
          <w:color w:val="auto"/>
        </w:rPr>
        <w:t xml:space="preserve">This means that the overall </w:t>
      </w:r>
      <w:r w:rsidR="00C40BC9" w:rsidRPr="00E00594">
        <w:rPr>
          <w:rFonts w:ascii="Arial" w:hAnsi="Arial" w:cs="Arial"/>
          <w:color w:val="auto"/>
        </w:rPr>
        <w:t xml:space="preserve">marginal </w:t>
      </w:r>
      <w:r w:rsidRPr="00E00594">
        <w:rPr>
          <w:rFonts w:ascii="Arial" w:hAnsi="Arial" w:cs="Arial"/>
          <w:color w:val="auto"/>
        </w:rPr>
        <w:t xml:space="preserve">tax </w:t>
      </w:r>
      <w:r w:rsidR="00C40BC9" w:rsidRPr="00E00594">
        <w:rPr>
          <w:rFonts w:ascii="Arial" w:hAnsi="Arial" w:cs="Arial"/>
          <w:color w:val="auto"/>
        </w:rPr>
        <w:t xml:space="preserve">rate </w:t>
      </w:r>
      <w:r w:rsidR="009C1CC7" w:rsidRPr="00E00594">
        <w:rPr>
          <w:rFonts w:ascii="Arial" w:hAnsi="Arial" w:cs="Arial"/>
          <w:color w:val="auto"/>
        </w:rPr>
        <w:t>in 201</w:t>
      </w:r>
      <w:r w:rsidR="00B133EA">
        <w:rPr>
          <w:rFonts w:ascii="Arial" w:hAnsi="Arial" w:cs="Arial"/>
          <w:color w:val="auto"/>
        </w:rPr>
        <w:t>8</w:t>
      </w:r>
      <w:r w:rsidR="009C1CC7" w:rsidRPr="00E00594">
        <w:rPr>
          <w:rFonts w:ascii="Arial" w:hAnsi="Arial" w:cs="Arial"/>
          <w:color w:val="auto"/>
        </w:rPr>
        <w:t xml:space="preserve"> </w:t>
      </w:r>
      <w:r w:rsidRPr="00E00594">
        <w:rPr>
          <w:rFonts w:ascii="Arial" w:hAnsi="Arial" w:cs="Arial"/>
          <w:color w:val="auto"/>
        </w:rPr>
        <w:t xml:space="preserve">was </w:t>
      </w:r>
      <w:r w:rsidR="009C1CC7" w:rsidRPr="00E00594">
        <w:rPr>
          <w:rFonts w:ascii="Arial" w:hAnsi="Arial" w:cs="Arial"/>
          <w:color w:val="auto"/>
        </w:rPr>
        <w:t>40</w:t>
      </w:r>
      <w:r w:rsidRPr="00E00594">
        <w:rPr>
          <w:rFonts w:ascii="Arial" w:hAnsi="Arial" w:cs="Arial"/>
          <w:color w:val="auto"/>
        </w:rPr>
        <w:t>%. An example of this is shown below:</w:t>
      </w:r>
    </w:p>
    <w:p w14:paraId="54BE2E06" w14:textId="59B2A40D" w:rsidR="00E06D0A" w:rsidRPr="00595CB3" w:rsidRDefault="00E06D0A" w:rsidP="00BC7065">
      <w:pPr>
        <w:pStyle w:val="Caption"/>
        <w:keepNext/>
        <w:outlineLvl w:val="0"/>
        <w:rPr>
          <w:rFonts w:ascii="Arial" w:hAnsi="Arial" w:cs="Arial"/>
          <w:sz w:val="22"/>
          <w:szCs w:val="22"/>
        </w:rPr>
      </w:pPr>
      <w:bookmarkStart w:id="19" w:name="_Toc512547337"/>
      <w:r w:rsidRPr="00595CB3">
        <w:rPr>
          <w:rFonts w:ascii="Arial" w:hAnsi="Arial" w:cs="Arial"/>
          <w:sz w:val="22"/>
          <w:szCs w:val="22"/>
        </w:rPr>
        <w:t xml:space="preserve">Table </w:t>
      </w:r>
      <w:r w:rsidR="00332265">
        <w:rPr>
          <w:rFonts w:ascii="Arial" w:hAnsi="Arial" w:cs="Arial"/>
          <w:sz w:val="22"/>
          <w:szCs w:val="22"/>
        </w:rPr>
        <w:t>5</w:t>
      </w:r>
      <w:r w:rsidRPr="00595CB3">
        <w:rPr>
          <w:rFonts w:ascii="Arial" w:hAnsi="Arial" w:cs="Arial"/>
          <w:sz w:val="22"/>
          <w:szCs w:val="22"/>
        </w:rPr>
        <w:t>. Illustrative tax calculation</w:t>
      </w:r>
      <w:bookmarkEnd w:id="19"/>
    </w:p>
    <w:tbl>
      <w:tblPr>
        <w:tblW w:w="0" w:type="auto"/>
        <w:tblCellMar>
          <w:left w:w="70" w:type="dxa"/>
          <w:right w:w="70" w:type="dxa"/>
        </w:tblCellMar>
        <w:tblLook w:val="04A0" w:firstRow="1" w:lastRow="0" w:firstColumn="1" w:lastColumn="0" w:noHBand="0" w:noVBand="1"/>
        <w:tblCaption w:val="Illustrative tax calculation"/>
        <w:tblDescription w:val="Table 5 shows an illustrative tax calculation using Petroleum Revenue Tax (PRT), Ring Fence Corporation Tax (RFCT) and Supplementary Charge (SC) based on a profit of one thousand pounds."/>
      </w:tblPr>
      <w:tblGrid>
        <w:gridCol w:w="2185"/>
        <w:gridCol w:w="2203"/>
      </w:tblGrid>
      <w:tr w:rsidR="008F47D1" w:rsidRPr="00595CB3" w14:paraId="2557A580" w14:textId="77777777" w:rsidTr="00F75EF8">
        <w:trPr>
          <w:trHeight w:val="283"/>
          <w:tblHeader/>
        </w:trPr>
        <w:tc>
          <w:tcPr>
            <w:tcW w:w="0" w:type="auto"/>
            <w:tcBorders>
              <w:top w:val="nil"/>
              <w:left w:val="nil"/>
              <w:bottom w:val="single" w:sz="12" w:space="0" w:color="4F81BD"/>
              <w:right w:val="nil"/>
            </w:tcBorders>
            <w:shd w:val="clear" w:color="000000" w:fill="1F4E79"/>
            <w:vAlign w:val="bottom"/>
            <w:hideMark/>
          </w:tcPr>
          <w:p w14:paraId="1EF86E01" w14:textId="77777777" w:rsidR="008F47D1" w:rsidRPr="00595CB3" w:rsidRDefault="008F47D1" w:rsidP="003E0B8B">
            <w:pPr>
              <w:keepNext/>
              <w:rPr>
                <w:rFonts w:eastAsia="Times New Roman"/>
                <w:b/>
                <w:bCs/>
                <w:color w:val="FFFFFF"/>
                <w:sz w:val="16"/>
                <w:lang w:eastAsia="fr-FR"/>
              </w:rPr>
            </w:pPr>
            <w:r w:rsidRPr="00595CB3">
              <w:rPr>
                <w:rFonts w:eastAsia="Times New Roman"/>
                <w:b/>
                <w:bCs/>
                <w:color w:val="FFFFFF"/>
                <w:sz w:val="16"/>
                <w:lang w:eastAsia="fr-FR"/>
              </w:rPr>
              <w:t> </w:t>
            </w:r>
          </w:p>
        </w:tc>
        <w:tc>
          <w:tcPr>
            <w:tcW w:w="0" w:type="auto"/>
            <w:tcBorders>
              <w:top w:val="nil"/>
              <w:left w:val="nil"/>
              <w:bottom w:val="single" w:sz="12" w:space="0" w:color="4F81BD"/>
              <w:right w:val="nil"/>
            </w:tcBorders>
            <w:shd w:val="clear" w:color="000000" w:fill="1F4E79"/>
            <w:vAlign w:val="bottom"/>
            <w:hideMark/>
          </w:tcPr>
          <w:p w14:paraId="3BA0DD54" w14:textId="77777777" w:rsidR="008F47D1" w:rsidRPr="00595CB3" w:rsidRDefault="008F47D1" w:rsidP="003E0B8B">
            <w:pPr>
              <w:keepNext/>
              <w:jc w:val="right"/>
              <w:rPr>
                <w:rFonts w:eastAsia="Times New Roman"/>
                <w:b/>
                <w:bCs/>
                <w:color w:val="FFFFFF"/>
                <w:sz w:val="16"/>
                <w:lang w:eastAsia="fr-FR"/>
              </w:rPr>
            </w:pPr>
            <w:r w:rsidRPr="00595CB3">
              <w:rPr>
                <w:rFonts w:eastAsia="Times New Roman"/>
                <w:b/>
                <w:bCs/>
                <w:color w:val="FFFFFF"/>
                <w:sz w:val="16"/>
                <w:lang w:eastAsia="fr-FR"/>
              </w:rPr>
              <w:t>PRT or non-PRT liable field</w:t>
            </w:r>
          </w:p>
        </w:tc>
      </w:tr>
      <w:tr w:rsidR="008F47D1" w:rsidRPr="00595CB3" w14:paraId="39B4ECA5" w14:textId="77777777" w:rsidTr="00F75EF8">
        <w:trPr>
          <w:trHeight w:val="283"/>
        </w:trPr>
        <w:tc>
          <w:tcPr>
            <w:tcW w:w="0" w:type="auto"/>
            <w:tcBorders>
              <w:top w:val="nil"/>
              <w:left w:val="nil"/>
              <w:bottom w:val="nil"/>
              <w:right w:val="nil"/>
            </w:tcBorders>
            <w:shd w:val="clear" w:color="000000" w:fill="BDD6EE"/>
            <w:noWrap/>
            <w:vAlign w:val="center"/>
            <w:hideMark/>
          </w:tcPr>
          <w:p w14:paraId="2E74EC01" w14:textId="77777777" w:rsidR="008F47D1" w:rsidRPr="00595CB3" w:rsidRDefault="008F47D1" w:rsidP="003E0B8B">
            <w:pPr>
              <w:keepNext/>
              <w:rPr>
                <w:rFonts w:eastAsia="Times New Roman"/>
                <w:color w:val="000000"/>
                <w:sz w:val="16"/>
                <w:lang w:eastAsia="fr-FR"/>
              </w:rPr>
            </w:pPr>
            <w:r w:rsidRPr="00595CB3">
              <w:rPr>
                <w:rFonts w:eastAsia="Times New Roman"/>
                <w:color w:val="000000"/>
                <w:sz w:val="16"/>
                <w:lang w:eastAsia="fr-FR"/>
              </w:rPr>
              <w:t>Profit</w:t>
            </w:r>
          </w:p>
        </w:tc>
        <w:tc>
          <w:tcPr>
            <w:tcW w:w="0" w:type="auto"/>
            <w:tcBorders>
              <w:top w:val="nil"/>
              <w:left w:val="nil"/>
              <w:bottom w:val="nil"/>
              <w:right w:val="nil"/>
            </w:tcBorders>
            <w:shd w:val="clear" w:color="000000" w:fill="BDD6EE"/>
            <w:noWrap/>
            <w:vAlign w:val="center"/>
            <w:hideMark/>
          </w:tcPr>
          <w:p w14:paraId="568EA74C" w14:textId="77777777" w:rsidR="008F47D1" w:rsidRPr="00595CB3" w:rsidRDefault="008F47D1" w:rsidP="003E0B8B">
            <w:pPr>
              <w:keepNext/>
              <w:jc w:val="right"/>
              <w:rPr>
                <w:rFonts w:eastAsia="Times New Roman"/>
                <w:color w:val="000000"/>
                <w:sz w:val="16"/>
                <w:lang w:eastAsia="fr-FR"/>
              </w:rPr>
            </w:pPr>
            <w:r w:rsidRPr="00595CB3">
              <w:rPr>
                <w:rFonts w:eastAsia="Times New Roman"/>
                <w:color w:val="000000"/>
                <w:sz w:val="16"/>
                <w:lang w:eastAsia="fr-FR"/>
              </w:rPr>
              <w:t>£1,000</w:t>
            </w:r>
          </w:p>
        </w:tc>
      </w:tr>
      <w:tr w:rsidR="008F47D1" w:rsidRPr="00595CB3" w14:paraId="7FCA2946" w14:textId="77777777" w:rsidTr="00F75EF8">
        <w:trPr>
          <w:trHeight w:val="283"/>
        </w:trPr>
        <w:tc>
          <w:tcPr>
            <w:tcW w:w="0" w:type="auto"/>
            <w:tcBorders>
              <w:top w:val="nil"/>
              <w:left w:val="nil"/>
              <w:bottom w:val="nil"/>
              <w:right w:val="nil"/>
            </w:tcBorders>
            <w:shd w:val="clear" w:color="auto" w:fill="auto"/>
            <w:noWrap/>
            <w:vAlign w:val="center"/>
            <w:hideMark/>
          </w:tcPr>
          <w:p w14:paraId="6CE74E34" w14:textId="77777777" w:rsidR="008F47D1" w:rsidRPr="00595CB3" w:rsidRDefault="008F47D1" w:rsidP="003E0B8B">
            <w:pPr>
              <w:keepNext/>
              <w:rPr>
                <w:rFonts w:eastAsia="Times New Roman"/>
                <w:color w:val="000000"/>
                <w:sz w:val="16"/>
                <w:lang w:eastAsia="fr-FR"/>
              </w:rPr>
            </w:pPr>
            <w:r w:rsidRPr="00595CB3">
              <w:rPr>
                <w:rFonts w:eastAsia="Times New Roman"/>
                <w:color w:val="000000"/>
                <w:sz w:val="16"/>
                <w:lang w:eastAsia="fr-FR"/>
              </w:rPr>
              <w:t>PRT at 0%</w:t>
            </w:r>
          </w:p>
        </w:tc>
        <w:tc>
          <w:tcPr>
            <w:tcW w:w="0" w:type="auto"/>
            <w:tcBorders>
              <w:top w:val="nil"/>
              <w:left w:val="nil"/>
              <w:bottom w:val="nil"/>
              <w:right w:val="nil"/>
            </w:tcBorders>
            <w:shd w:val="clear" w:color="auto" w:fill="auto"/>
            <w:noWrap/>
            <w:vAlign w:val="center"/>
            <w:hideMark/>
          </w:tcPr>
          <w:p w14:paraId="00B0200C" w14:textId="77777777" w:rsidR="008F47D1" w:rsidRPr="00595CB3" w:rsidRDefault="008F47D1" w:rsidP="003E0B8B">
            <w:pPr>
              <w:keepNext/>
              <w:jc w:val="right"/>
              <w:rPr>
                <w:rFonts w:eastAsia="Times New Roman"/>
                <w:color w:val="000000"/>
                <w:sz w:val="16"/>
                <w:lang w:eastAsia="fr-FR"/>
              </w:rPr>
            </w:pPr>
            <w:r w:rsidRPr="00595CB3">
              <w:rPr>
                <w:rFonts w:eastAsia="Times New Roman"/>
                <w:color w:val="000000"/>
                <w:sz w:val="16"/>
                <w:lang w:eastAsia="fr-FR"/>
              </w:rPr>
              <w:t>£0</w:t>
            </w:r>
          </w:p>
        </w:tc>
      </w:tr>
      <w:tr w:rsidR="008F47D1" w:rsidRPr="00595CB3" w14:paraId="24AB306A" w14:textId="77777777" w:rsidTr="00F75EF8">
        <w:trPr>
          <w:trHeight w:val="283"/>
        </w:trPr>
        <w:tc>
          <w:tcPr>
            <w:tcW w:w="0" w:type="auto"/>
            <w:tcBorders>
              <w:top w:val="nil"/>
              <w:left w:val="nil"/>
              <w:bottom w:val="nil"/>
              <w:right w:val="nil"/>
            </w:tcBorders>
            <w:shd w:val="clear" w:color="000000" w:fill="BDD6EE"/>
            <w:noWrap/>
            <w:vAlign w:val="center"/>
            <w:hideMark/>
          </w:tcPr>
          <w:p w14:paraId="099E5620" w14:textId="77777777" w:rsidR="008F47D1" w:rsidRPr="00595CB3" w:rsidRDefault="008F47D1" w:rsidP="003E0B8B">
            <w:pPr>
              <w:keepNext/>
              <w:rPr>
                <w:rFonts w:eastAsia="Times New Roman"/>
                <w:color w:val="000000"/>
                <w:sz w:val="16"/>
                <w:lang w:eastAsia="fr-FR"/>
              </w:rPr>
            </w:pPr>
            <w:r w:rsidRPr="00595CB3">
              <w:rPr>
                <w:rFonts w:eastAsia="Times New Roman"/>
                <w:color w:val="000000"/>
                <w:sz w:val="16"/>
                <w:lang w:eastAsia="fr-FR"/>
              </w:rPr>
              <w:t>Profits after PRT</w:t>
            </w:r>
          </w:p>
        </w:tc>
        <w:tc>
          <w:tcPr>
            <w:tcW w:w="0" w:type="auto"/>
            <w:tcBorders>
              <w:top w:val="nil"/>
              <w:left w:val="nil"/>
              <w:bottom w:val="nil"/>
              <w:right w:val="nil"/>
            </w:tcBorders>
            <w:shd w:val="clear" w:color="000000" w:fill="BDD6EE"/>
            <w:noWrap/>
            <w:vAlign w:val="center"/>
            <w:hideMark/>
          </w:tcPr>
          <w:p w14:paraId="1A5AB3AA" w14:textId="77777777" w:rsidR="008F47D1" w:rsidRPr="00595CB3" w:rsidRDefault="008F47D1" w:rsidP="003E0B8B">
            <w:pPr>
              <w:keepNext/>
              <w:jc w:val="right"/>
              <w:rPr>
                <w:rFonts w:eastAsia="Times New Roman"/>
                <w:color w:val="000000"/>
                <w:sz w:val="16"/>
                <w:lang w:eastAsia="fr-FR"/>
              </w:rPr>
            </w:pPr>
            <w:r w:rsidRPr="00595CB3">
              <w:rPr>
                <w:rFonts w:eastAsia="Times New Roman"/>
                <w:color w:val="000000"/>
                <w:sz w:val="16"/>
                <w:lang w:eastAsia="fr-FR"/>
              </w:rPr>
              <w:t>£1,000</w:t>
            </w:r>
          </w:p>
        </w:tc>
      </w:tr>
      <w:tr w:rsidR="008F47D1" w:rsidRPr="00595CB3" w14:paraId="0394266F" w14:textId="77777777" w:rsidTr="00F75EF8">
        <w:trPr>
          <w:trHeight w:val="283"/>
        </w:trPr>
        <w:tc>
          <w:tcPr>
            <w:tcW w:w="0" w:type="auto"/>
            <w:tcBorders>
              <w:top w:val="nil"/>
              <w:left w:val="nil"/>
              <w:bottom w:val="nil"/>
              <w:right w:val="nil"/>
            </w:tcBorders>
            <w:shd w:val="clear" w:color="auto" w:fill="auto"/>
            <w:noWrap/>
            <w:vAlign w:val="center"/>
            <w:hideMark/>
          </w:tcPr>
          <w:p w14:paraId="566D1A10" w14:textId="77777777" w:rsidR="008F47D1" w:rsidRPr="00595CB3" w:rsidRDefault="008F47D1" w:rsidP="003E0B8B">
            <w:pPr>
              <w:keepNext/>
              <w:rPr>
                <w:rFonts w:eastAsia="Times New Roman"/>
                <w:color w:val="000000"/>
                <w:sz w:val="16"/>
                <w:lang w:eastAsia="fr-FR"/>
              </w:rPr>
            </w:pPr>
            <w:r w:rsidRPr="00595CB3">
              <w:rPr>
                <w:rFonts w:eastAsia="Times New Roman"/>
                <w:color w:val="000000"/>
                <w:sz w:val="16"/>
                <w:lang w:eastAsia="fr-FR"/>
              </w:rPr>
              <w:t>RFCT at 30%</w:t>
            </w:r>
          </w:p>
        </w:tc>
        <w:tc>
          <w:tcPr>
            <w:tcW w:w="0" w:type="auto"/>
            <w:tcBorders>
              <w:top w:val="nil"/>
              <w:left w:val="nil"/>
              <w:bottom w:val="nil"/>
              <w:right w:val="nil"/>
            </w:tcBorders>
            <w:shd w:val="clear" w:color="auto" w:fill="auto"/>
            <w:noWrap/>
            <w:vAlign w:val="center"/>
            <w:hideMark/>
          </w:tcPr>
          <w:p w14:paraId="328DC38F" w14:textId="77777777" w:rsidR="008F47D1" w:rsidRPr="00595CB3" w:rsidRDefault="008F47D1" w:rsidP="003E0B8B">
            <w:pPr>
              <w:keepNext/>
              <w:jc w:val="right"/>
              <w:rPr>
                <w:rFonts w:eastAsia="Times New Roman"/>
                <w:color w:val="000000"/>
                <w:sz w:val="16"/>
                <w:lang w:eastAsia="fr-FR"/>
              </w:rPr>
            </w:pPr>
            <w:r w:rsidRPr="00595CB3">
              <w:rPr>
                <w:rFonts w:eastAsia="Times New Roman"/>
                <w:color w:val="000000"/>
                <w:sz w:val="16"/>
                <w:lang w:eastAsia="fr-FR"/>
              </w:rPr>
              <w:t>£300</w:t>
            </w:r>
          </w:p>
        </w:tc>
      </w:tr>
      <w:tr w:rsidR="008F47D1" w:rsidRPr="00595CB3" w14:paraId="49059A3A" w14:textId="77777777" w:rsidTr="00F75EF8">
        <w:trPr>
          <w:trHeight w:val="283"/>
        </w:trPr>
        <w:tc>
          <w:tcPr>
            <w:tcW w:w="0" w:type="auto"/>
            <w:tcBorders>
              <w:top w:val="nil"/>
              <w:left w:val="nil"/>
              <w:bottom w:val="nil"/>
              <w:right w:val="nil"/>
            </w:tcBorders>
            <w:shd w:val="clear" w:color="000000" w:fill="BDD6EE"/>
            <w:noWrap/>
            <w:vAlign w:val="center"/>
            <w:hideMark/>
          </w:tcPr>
          <w:p w14:paraId="65932FDD" w14:textId="77777777" w:rsidR="008F47D1" w:rsidRPr="00595CB3" w:rsidRDefault="008F47D1" w:rsidP="003E0B8B">
            <w:pPr>
              <w:keepNext/>
              <w:rPr>
                <w:rFonts w:eastAsia="Times New Roman"/>
                <w:color w:val="000000"/>
                <w:sz w:val="16"/>
                <w:lang w:eastAsia="fr-FR"/>
              </w:rPr>
            </w:pPr>
            <w:r w:rsidRPr="00595CB3">
              <w:rPr>
                <w:rFonts w:eastAsia="Times New Roman"/>
                <w:color w:val="000000"/>
                <w:sz w:val="16"/>
                <w:lang w:eastAsia="fr-FR"/>
              </w:rPr>
              <w:t>SC at 10%</w:t>
            </w:r>
          </w:p>
        </w:tc>
        <w:tc>
          <w:tcPr>
            <w:tcW w:w="0" w:type="auto"/>
            <w:tcBorders>
              <w:top w:val="nil"/>
              <w:left w:val="nil"/>
              <w:bottom w:val="nil"/>
              <w:right w:val="nil"/>
            </w:tcBorders>
            <w:shd w:val="clear" w:color="000000" w:fill="BDD6EE"/>
            <w:noWrap/>
            <w:vAlign w:val="center"/>
            <w:hideMark/>
          </w:tcPr>
          <w:p w14:paraId="5AA00C52" w14:textId="77777777" w:rsidR="008F47D1" w:rsidRPr="00595CB3" w:rsidRDefault="008F47D1" w:rsidP="003E0B8B">
            <w:pPr>
              <w:keepNext/>
              <w:jc w:val="right"/>
              <w:rPr>
                <w:rFonts w:eastAsia="Times New Roman"/>
                <w:color w:val="000000"/>
                <w:sz w:val="16"/>
                <w:lang w:eastAsia="fr-FR"/>
              </w:rPr>
            </w:pPr>
            <w:r w:rsidRPr="00595CB3">
              <w:rPr>
                <w:rFonts w:eastAsia="Times New Roman"/>
                <w:color w:val="000000"/>
                <w:sz w:val="16"/>
                <w:lang w:eastAsia="fr-FR"/>
              </w:rPr>
              <w:t>£100</w:t>
            </w:r>
          </w:p>
        </w:tc>
      </w:tr>
      <w:tr w:rsidR="008F47D1" w:rsidRPr="00595CB3" w14:paraId="5F84B9BA" w14:textId="77777777" w:rsidTr="00F75EF8">
        <w:trPr>
          <w:trHeight w:val="283"/>
        </w:trPr>
        <w:tc>
          <w:tcPr>
            <w:tcW w:w="0" w:type="auto"/>
            <w:tcBorders>
              <w:top w:val="nil"/>
              <w:left w:val="nil"/>
              <w:bottom w:val="nil"/>
              <w:right w:val="nil"/>
            </w:tcBorders>
            <w:shd w:val="clear" w:color="000000" w:fill="AEAAAA"/>
            <w:noWrap/>
            <w:vAlign w:val="center"/>
            <w:hideMark/>
          </w:tcPr>
          <w:p w14:paraId="76FA873F" w14:textId="77777777" w:rsidR="008F47D1" w:rsidRPr="00595CB3" w:rsidRDefault="008F47D1" w:rsidP="003E0B8B">
            <w:pPr>
              <w:keepNext/>
              <w:rPr>
                <w:rFonts w:eastAsia="Times New Roman"/>
                <w:b/>
                <w:bCs/>
                <w:sz w:val="16"/>
                <w:lang w:eastAsia="fr-FR"/>
              </w:rPr>
            </w:pPr>
            <w:r w:rsidRPr="00595CB3">
              <w:rPr>
                <w:rFonts w:eastAsia="Times New Roman"/>
                <w:b/>
                <w:bCs/>
                <w:sz w:val="16"/>
                <w:lang w:eastAsia="fr-FR"/>
              </w:rPr>
              <w:t>Total tax (PRT+RFCT+SC)</w:t>
            </w:r>
          </w:p>
        </w:tc>
        <w:tc>
          <w:tcPr>
            <w:tcW w:w="0" w:type="auto"/>
            <w:tcBorders>
              <w:top w:val="nil"/>
              <w:left w:val="nil"/>
              <w:bottom w:val="nil"/>
              <w:right w:val="nil"/>
            </w:tcBorders>
            <w:shd w:val="clear" w:color="000000" w:fill="AEAAAA"/>
            <w:noWrap/>
            <w:vAlign w:val="center"/>
            <w:hideMark/>
          </w:tcPr>
          <w:p w14:paraId="04237679" w14:textId="77777777" w:rsidR="008F47D1" w:rsidRPr="00595CB3" w:rsidRDefault="008F47D1" w:rsidP="003E0B8B">
            <w:pPr>
              <w:keepNext/>
              <w:jc w:val="right"/>
              <w:rPr>
                <w:rFonts w:eastAsia="Times New Roman"/>
                <w:b/>
                <w:bCs/>
                <w:sz w:val="16"/>
                <w:lang w:eastAsia="fr-FR"/>
              </w:rPr>
            </w:pPr>
            <w:r w:rsidRPr="00595CB3">
              <w:rPr>
                <w:rFonts w:eastAsia="Times New Roman"/>
                <w:b/>
                <w:bCs/>
                <w:sz w:val="16"/>
                <w:lang w:eastAsia="fr-FR"/>
              </w:rPr>
              <w:t>(£400)</w:t>
            </w:r>
          </w:p>
        </w:tc>
      </w:tr>
      <w:tr w:rsidR="008F47D1" w:rsidRPr="00595CB3" w14:paraId="0D7AC5CE" w14:textId="77777777" w:rsidTr="00F75EF8">
        <w:trPr>
          <w:trHeight w:val="283"/>
        </w:trPr>
        <w:tc>
          <w:tcPr>
            <w:tcW w:w="0" w:type="auto"/>
            <w:tcBorders>
              <w:top w:val="nil"/>
              <w:left w:val="nil"/>
              <w:bottom w:val="nil"/>
              <w:right w:val="nil"/>
            </w:tcBorders>
            <w:shd w:val="clear" w:color="auto" w:fill="auto"/>
            <w:noWrap/>
            <w:vAlign w:val="center"/>
            <w:hideMark/>
          </w:tcPr>
          <w:p w14:paraId="01D5F023" w14:textId="77777777" w:rsidR="008F47D1" w:rsidRPr="00595CB3" w:rsidRDefault="008F47D1" w:rsidP="003E0B8B">
            <w:pPr>
              <w:keepNext/>
              <w:rPr>
                <w:rFonts w:eastAsia="Times New Roman"/>
                <w:color w:val="000000"/>
                <w:sz w:val="16"/>
                <w:lang w:eastAsia="fr-FR"/>
              </w:rPr>
            </w:pPr>
            <w:r w:rsidRPr="00595CB3">
              <w:rPr>
                <w:rFonts w:eastAsia="Times New Roman"/>
                <w:color w:val="000000"/>
                <w:sz w:val="16"/>
                <w:lang w:eastAsia="fr-FR"/>
              </w:rPr>
              <w:t>Profit after tax</w:t>
            </w:r>
          </w:p>
        </w:tc>
        <w:tc>
          <w:tcPr>
            <w:tcW w:w="0" w:type="auto"/>
            <w:tcBorders>
              <w:top w:val="nil"/>
              <w:left w:val="nil"/>
              <w:bottom w:val="nil"/>
              <w:right w:val="nil"/>
            </w:tcBorders>
            <w:shd w:val="clear" w:color="auto" w:fill="auto"/>
            <w:noWrap/>
            <w:vAlign w:val="center"/>
            <w:hideMark/>
          </w:tcPr>
          <w:p w14:paraId="076A20D8" w14:textId="77777777" w:rsidR="008F47D1" w:rsidRPr="00595CB3" w:rsidRDefault="008F47D1" w:rsidP="003E0B8B">
            <w:pPr>
              <w:keepNext/>
              <w:jc w:val="right"/>
              <w:rPr>
                <w:rFonts w:eastAsia="Times New Roman"/>
                <w:color w:val="000000"/>
                <w:sz w:val="16"/>
                <w:lang w:eastAsia="fr-FR"/>
              </w:rPr>
            </w:pPr>
            <w:r w:rsidRPr="00595CB3">
              <w:rPr>
                <w:rFonts w:eastAsia="Times New Roman"/>
                <w:color w:val="000000"/>
                <w:sz w:val="16"/>
                <w:lang w:eastAsia="fr-FR"/>
              </w:rPr>
              <w:t>£600</w:t>
            </w:r>
          </w:p>
        </w:tc>
      </w:tr>
      <w:tr w:rsidR="008F47D1" w:rsidRPr="00595CB3" w14:paraId="11B55635" w14:textId="77777777" w:rsidTr="00F75EF8">
        <w:trPr>
          <w:trHeight w:val="283"/>
        </w:trPr>
        <w:tc>
          <w:tcPr>
            <w:tcW w:w="0" w:type="auto"/>
            <w:tcBorders>
              <w:top w:val="nil"/>
              <w:left w:val="nil"/>
              <w:bottom w:val="nil"/>
              <w:right w:val="nil"/>
            </w:tcBorders>
            <w:shd w:val="clear" w:color="000000" w:fill="AEAAAA"/>
            <w:noWrap/>
            <w:vAlign w:val="center"/>
            <w:hideMark/>
          </w:tcPr>
          <w:p w14:paraId="3A03374F" w14:textId="77777777" w:rsidR="008F47D1" w:rsidRPr="00595CB3" w:rsidRDefault="008F47D1" w:rsidP="003E0B8B">
            <w:pPr>
              <w:rPr>
                <w:rFonts w:eastAsia="Times New Roman"/>
                <w:b/>
                <w:bCs/>
                <w:sz w:val="16"/>
                <w:lang w:eastAsia="fr-FR"/>
              </w:rPr>
            </w:pPr>
            <w:r w:rsidRPr="00595CB3">
              <w:rPr>
                <w:rFonts w:eastAsia="Times New Roman"/>
                <w:b/>
                <w:bCs/>
                <w:sz w:val="16"/>
                <w:lang w:eastAsia="fr-FR"/>
              </w:rPr>
              <w:t>Tax as a % of pre-tax profit</w:t>
            </w:r>
          </w:p>
        </w:tc>
        <w:tc>
          <w:tcPr>
            <w:tcW w:w="0" w:type="auto"/>
            <w:tcBorders>
              <w:top w:val="nil"/>
              <w:left w:val="nil"/>
              <w:bottom w:val="nil"/>
              <w:right w:val="nil"/>
            </w:tcBorders>
            <w:shd w:val="clear" w:color="000000" w:fill="AEAAAA"/>
            <w:noWrap/>
            <w:vAlign w:val="center"/>
            <w:hideMark/>
          </w:tcPr>
          <w:p w14:paraId="286DA73B" w14:textId="77777777" w:rsidR="008F47D1" w:rsidRPr="00595CB3" w:rsidRDefault="008F47D1" w:rsidP="003E0B8B">
            <w:pPr>
              <w:jc w:val="right"/>
              <w:rPr>
                <w:rFonts w:eastAsia="Times New Roman"/>
                <w:b/>
                <w:bCs/>
                <w:sz w:val="16"/>
                <w:lang w:eastAsia="fr-FR"/>
              </w:rPr>
            </w:pPr>
            <w:r w:rsidRPr="00595CB3">
              <w:rPr>
                <w:rFonts w:eastAsia="Times New Roman"/>
                <w:b/>
                <w:bCs/>
                <w:sz w:val="16"/>
                <w:lang w:eastAsia="fr-FR"/>
              </w:rPr>
              <w:t>40%</w:t>
            </w:r>
          </w:p>
        </w:tc>
      </w:tr>
    </w:tbl>
    <w:p w14:paraId="74B8E593" w14:textId="77777777" w:rsidR="00243255" w:rsidRPr="00C80893" w:rsidRDefault="00243255" w:rsidP="00A46905">
      <w:pPr>
        <w:pStyle w:val="Default"/>
        <w:spacing w:before="180" w:after="180" w:line="276" w:lineRule="auto"/>
        <w:rPr>
          <w:rFonts w:ascii="Arial" w:hAnsi="Arial" w:cs="Arial"/>
          <w:color w:val="auto"/>
        </w:rPr>
      </w:pPr>
      <w:r w:rsidRPr="00C80893">
        <w:rPr>
          <w:rFonts w:ascii="Arial" w:hAnsi="Arial" w:cs="Arial"/>
          <w:color w:val="auto"/>
        </w:rPr>
        <w:t xml:space="preserve">There have been </w:t>
      </w:r>
      <w:r w:rsidR="00C40BC9" w:rsidRPr="00C80893">
        <w:rPr>
          <w:rFonts w:ascii="Arial" w:hAnsi="Arial" w:cs="Arial"/>
          <w:color w:val="auto"/>
        </w:rPr>
        <w:t xml:space="preserve">numerous </w:t>
      </w:r>
      <w:r w:rsidRPr="00C80893">
        <w:rPr>
          <w:rFonts w:ascii="Arial" w:hAnsi="Arial" w:cs="Arial"/>
          <w:color w:val="auto"/>
        </w:rPr>
        <w:t xml:space="preserve">changes to the tax rates for PRT, RFCT and SC. PRT peaked at 75%, was reduced to 50% by Finance Act 1993, and as noted above, was permanently zero-rated at Budget 2016. Mainstream CT rates have been reduced substantially since 2008, but the RFCT rate has remained at 30%, creating a differential between the two. SC has varied between 10% </w:t>
      </w:r>
      <w:r w:rsidR="00BC2C73" w:rsidRPr="00C80893">
        <w:rPr>
          <w:rFonts w:ascii="Arial" w:hAnsi="Arial" w:cs="Arial"/>
          <w:color w:val="auto"/>
        </w:rPr>
        <w:t>and 32% since its introduction.</w:t>
      </w:r>
    </w:p>
    <w:p w14:paraId="744C2CB0" w14:textId="328DAC4F" w:rsidR="00243255" w:rsidRPr="00C80893" w:rsidRDefault="00243255" w:rsidP="00A46905">
      <w:pPr>
        <w:pStyle w:val="Default"/>
        <w:spacing w:after="180" w:line="276" w:lineRule="auto"/>
        <w:rPr>
          <w:rFonts w:ascii="Arial" w:hAnsi="Arial" w:cs="Arial"/>
          <w:color w:val="auto"/>
        </w:rPr>
      </w:pPr>
      <w:r w:rsidRPr="00C80893">
        <w:rPr>
          <w:rFonts w:ascii="Arial" w:hAnsi="Arial" w:cs="Arial"/>
          <w:color w:val="auto"/>
        </w:rPr>
        <w:t xml:space="preserve">Previously, there was also a royalty levied at 12.5% of </w:t>
      </w:r>
      <w:r w:rsidR="00C40BC9" w:rsidRPr="00C80893">
        <w:rPr>
          <w:rFonts w:ascii="Arial" w:hAnsi="Arial" w:cs="Arial"/>
          <w:color w:val="auto"/>
        </w:rPr>
        <w:t xml:space="preserve">the value of petroleum which was generally measured as </w:t>
      </w:r>
      <w:r w:rsidRPr="00C80893">
        <w:rPr>
          <w:rFonts w:ascii="Arial" w:hAnsi="Arial" w:cs="Arial"/>
          <w:color w:val="auto"/>
        </w:rPr>
        <w:t xml:space="preserve">“well head value”. This was abolished </w:t>
      </w:r>
      <w:r w:rsidR="00C40BC9" w:rsidRPr="00C80893">
        <w:rPr>
          <w:rFonts w:ascii="Arial" w:hAnsi="Arial" w:cs="Arial"/>
          <w:color w:val="auto"/>
        </w:rPr>
        <w:t xml:space="preserve">for new fields </w:t>
      </w:r>
      <w:r w:rsidRPr="00C80893">
        <w:rPr>
          <w:rFonts w:ascii="Arial" w:hAnsi="Arial" w:cs="Arial"/>
          <w:color w:val="auto"/>
        </w:rPr>
        <w:t xml:space="preserve">in </w:t>
      </w:r>
      <w:r w:rsidR="00C40BC9" w:rsidRPr="00C80893">
        <w:rPr>
          <w:rFonts w:ascii="Arial" w:hAnsi="Arial" w:cs="Arial"/>
          <w:color w:val="auto"/>
        </w:rPr>
        <w:t xml:space="preserve">phases starting in 1983 with abolition in its entirety with effect from the end of </w:t>
      </w:r>
      <w:r w:rsidRPr="00C80893">
        <w:rPr>
          <w:rFonts w:ascii="Arial" w:hAnsi="Arial" w:cs="Arial"/>
          <w:color w:val="auto"/>
        </w:rPr>
        <w:t xml:space="preserve">2002 as </w:t>
      </w:r>
      <w:proofErr w:type="gramStart"/>
      <w:r w:rsidRPr="00C80893">
        <w:rPr>
          <w:rFonts w:ascii="Arial" w:hAnsi="Arial" w:cs="Arial"/>
          <w:color w:val="auto"/>
        </w:rPr>
        <w:t>it</w:t>
      </w:r>
      <w:proofErr w:type="gramEnd"/>
      <w:r w:rsidRPr="00C80893">
        <w:rPr>
          <w:rFonts w:ascii="Arial" w:hAnsi="Arial" w:cs="Arial"/>
          <w:color w:val="auto"/>
        </w:rPr>
        <w:t xml:space="preserve"> distorted investment incentives. </w:t>
      </w:r>
      <w:r w:rsidR="00C40BC9" w:rsidRPr="00C80893">
        <w:rPr>
          <w:rFonts w:ascii="Arial" w:hAnsi="Arial" w:cs="Arial"/>
          <w:color w:val="auto"/>
        </w:rPr>
        <w:t xml:space="preserve">In addition, a </w:t>
      </w:r>
      <w:r w:rsidRPr="00C80893">
        <w:rPr>
          <w:rFonts w:ascii="Arial" w:hAnsi="Arial" w:cs="Arial"/>
          <w:color w:val="auto"/>
        </w:rPr>
        <w:t xml:space="preserve">Supplementary Petroleum Duty </w:t>
      </w:r>
      <w:r w:rsidR="00526A4B" w:rsidRPr="00C80893">
        <w:rPr>
          <w:rFonts w:ascii="Arial" w:hAnsi="Arial" w:cs="Arial"/>
          <w:color w:val="auto"/>
        </w:rPr>
        <w:t xml:space="preserve">(SPD) </w:t>
      </w:r>
      <w:r w:rsidR="00C40BC9" w:rsidRPr="00C80893">
        <w:rPr>
          <w:rFonts w:ascii="Arial" w:hAnsi="Arial" w:cs="Arial"/>
          <w:color w:val="auto"/>
        </w:rPr>
        <w:t xml:space="preserve">was in place </w:t>
      </w:r>
      <w:r w:rsidRPr="00C80893">
        <w:rPr>
          <w:rFonts w:ascii="Arial" w:hAnsi="Arial" w:cs="Arial"/>
          <w:color w:val="auto"/>
        </w:rPr>
        <w:t>in 1981 and 1982.</w:t>
      </w:r>
    </w:p>
    <w:p w14:paraId="295B588C" w14:textId="77777777" w:rsidR="00243255" w:rsidRPr="00C80893" w:rsidRDefault="00243255" w:rsidP="00BC7065">
      <w:pPr>
        <w:pStyle w:val="Default"/>
        <w:keepNext/>
        <w:spacing w:after="120" w:line="276" w:lineRule="auto"/>
        <w:outlineLvl w:val="0"/>
        <w:rPr>
          <w:rFonts w:ascii="Arial" w:hAnsi="Arial" w:cs="Arial"/>
          <w:b/>
          <w:color w:val="auto"/>
        </w:rPr>
      </w:pPr>
      <w:r w:rsidRPr="00C80893">
        <w:rPr>
          <w:rFonts w:ascii="Arial" w:hAnsi="Arial" w:cs="Arial"/>
          <w:b/>
          <w:color w:val="auto"/>
        </w:rPr>
        <w:t>Allowances</w:t>
      </w:r>
    </w:p>
    <w:p w14:paraId="3060A909" w14:textId="77777777" w:rsidR="00243255" w:rsidRPr="00C80893" w:rsidRDefault="00243255" w:rsidP="00906E90">
      <w:pPr>
        <w:pStyle w:val="Default"/>
        <w:spacing w:after="180" w:line="276" w:lineRule="auto"/>
        <w:rPr>
          <w:rFonts w:ascii="Arial" w:hAnsi="Arial" w:cs="Arial"/>
          <w:color w:val="auto"/>
        </w:rPr>
      </w:pPr>
      <w:r w:rsidRPr="00C80893">
        <w:rPr>
          <w:rFonts w:ascii="Arial" w:hAnsi="Arial" w:cs="Arial"/>
          <w:color w:val="auto"/>
        </w:rPr>
        <w:t xml:space="preserve">There are various allowances that apply to reduce the amount of PRT, RFCT or SC that a company </w:t>
      </w:r>
      <w:proofErr w:type="gramStart"/>
      <w:r w:rsidRPr="00C80893">
        <w:rPr>
          <w:rFonts w:ascii="Arial" w:hAnsi="Arial" w:cs="Arial"/>
          <w:color w:val="auto"/>
        </w:rPr>
        <w:t>has to</w:t>
      </w:r>
      <w:proofErr w:type="gramEnd"/>
      <w:r w:rsidRPr="00C80893">
        <w:rPr>
          <w:rFonts w:ascii="Arial" w:hAnsi="Arial" w:cs="Arial"/>
          <w:color w:val="auto"/>
        </w:rPr>
        <w:t xml:space="preserve"> pay.</w:t>
      </w:r>
    </w:p>
    <w:p w14:paraId="07417E43" w14:textId="77777777" w:rsidR="00243255" w:rsidRPr="00C80893" w:rsidRDefault="00243255" w:rsidP="00BC7065">
      <w:pPr>
        <w:pStyle w:val="Default"/>
        <w:keepNext/>
        <w:spacing w:line="276" w:lineRule="auto"/>
        <w:outlineLvl w:val="0"/>
        <w:rPr>
          <w:rFonts w:ascii="Arial" w:hAnsi="Arial" w:cs="Arial"/>
          <w:b/>
          <w:bCs/>
          <w:color w:val="auto"/>
        </w:rPr>
      </w:pPr>
      <w:r w:rsidRPr="00C80893">
        <w:rPr>
          <w:rFonts w:ascii="Arial" w:hAnsi="Arial" w:cs="Arial"/>
          <w:b/>
          <w:bCs/>
          <w:color w:val="auto"/>
        </w:rPr>
        <w:lastRenderedPageBreak/>
        <w:t>PRT allowances</w:t>
      </w:r>
    </w:p>
    <w:p w14:paraId="76958875" w14:textId="6CEBE291" w:rsidR="00CD0F4F" w:rsidRPr="00C80893" w:rsidRDefault="00243255" w:rsidP="00A46905">
      <w:pPr>
        <w:pStyle w:val="Default"/>
        <w:spacing w:after="180" w:line="276" w:lineRule="auto"/>
        <w:rPr>
          <w:rFonts w:ascii="Arial" w:hAnsi="Arial" w:cs="Arial"/>
          <w:color w:val="auto"/>
        </w:rPr>
      </w:pPr>
      <w:proofErr w:type="gramStart"/>
      <w:r w:rsidRPr="00C80893">
        <w:rPr>
          <w:rFonts w:ascii="Arial" w:hAnsi="Arial" w:cs="Arial"/>
          <w:color w:val="auto"/>
        </w:rPr>
        <w:t>A number of</w:t>
      </w:r>
      <w:proofErr w:type="gramEnd"/>
      <w:r w:rsidRPr="00C80893">
        <w:rPr>
          <w:rFonts w:ascii="Arial" w:hAnsi="Arial" w:cs="Arial"/>
          <w:color w:val="auto"/>
        </w:rPr>
        <w:t xml:space="preserve"> allowances used to be available under the PRT regime to prevent an excessive PRT burden falling on smaller, more economically marginal fields. </w:t>
      </w:r>
      <w:r w:rsidR="00461B44">
        <w:rPr>
          <w:rFonts w:ascii="Arial" w:hAnsi="Arial" w:cs="Arial"/>
          <w:color w:val="auto"/>
        </w:rPr>
        <w:t xml:space="preserve">Oil </w:t>
      </w:r>
      <w:r w:rsidRPr="00C80893">
        <w:rPr>
          <w:rFonts w:ascii="Arial" w:hAnsi="Arial" w:cs="Arial"/>
          <w:color w:val="auto"/>
        </w:rPr>
        <w:t>Allowance was the only one that was still relevant</w:t>
      </w:r>
      <w:r w:rsidR="00431946" w:rsidRPr="00C80893">
        <w:rPr>
          <w:rFonts w:ascii="Arial" w:hAnsi="Arial" w:cs="Arial"/>
          <w:color w:val="auto"/>
        </w:rPr>
        <w:t xml:space="preserve"> to years immediately prior to 2016</w:t>
      </w:r>
      <w:r w:rsidRPr="00C80893">
        <w:rPr>
          <w:rFonts w:ascii="Arial" w:hAnsi="Arial" w:cs="Arial"/>
          <w:color w:val="auto"/>
        </w:rPr>
        <w:t xml:space="preserve">. Oil Allowance ensures that </w:t>
      </w:r>
      <w:r w:rsidR="00431946" w:rsidRPr="00C80893">
        <w:rPr>
          <w:rFonts w:ascii="Arial" w:hAnsi="Arial" w:cs="Arial"/>
          <w:color w:val="auto"/>
        </w:rPr>
        <w:t>many small fields are effectively</w:t>
      </w:r>
      <w:r w:rsidRPr="00C80893">
        <w:rPr>
          <w:rFonts w:ascii="Arial" w:hAnsi="Arial" w:cs="Arial"/>
          <w:color w:val="auto"/>
        </w:rPr>
        <w:t xml:space="preserve"> free from PRT. The available amounts are converted each chargeable period into a “cash equivalent” which then reduces the liability to PRT.</w:t>
      </w:r>
    </w:p>
    <w:p w14:paraId="61A0F294" w14:textId="77777777" w:rsidR="00243255" w:rsidRPr="00C80893" w:rsidRDefault="00243255" w:rsidP="00BC7065">
      <w:pPr>
        <w:pStyle w:val="Default"/>
        <w:keepNext/>
        <w:spacing w:after="180" w:line="276" w:lineRule="auto"/>
        <w:outlineLvl w:val="0"/>
        <w:rPr>
          <w:rFonts w:ascii="Arial" w:hAnsi="Arial" w:cs="Arial"/>
          <w:b/>
          <w:bCs/>
          <w:color w:val="auto"/>
        </w:rPr>
      </w:pPr>
      <w:r w:rsidRPr="00C80893">
        <w:rPr>
          <w:rFonts w:ascii="Arial" w:hAnsi="Arial" w:cs="Arial"/>
          <w:b/>
          <w:bCs/>
          <w:color w:val="auto"/>
        </w:rPr>
        <w:t>RFCT allowances</w:t>
      </w:r>
    </w:p>
    <w:p w14:paraId="7686FE31" w14:textId="77777777" w:rsidR="00243255" w:rsidRPr="00C80893" w:rsidRDefault="00243255" w:rsidP="00BC7065">
      <w:pPr>
        <w:pStyle w:val="Default"/>
        <w:keepNext/>
        <w:spacing w:line="276" w:lineRule="auto"/>
        <w:outlineLvl w:val="0"/>
        <w:rPr>
          <w:rFonts w:ascii="Arial" w:hAnsi="Arial" w:cs="Arial"/>
          <w:bCs/>
          <w:iCs/>
          <w:color w:val="auto"/>
        </w:rPr>
      </w:pPr>
      <w:r w:rsidRPr="00C80893">
        <w:rPr>
          <w:rFonts w:ascii="Arial" w:hAnsi="Arial" w:cs="Arial"/>
          <w:b/>
          <w:bCs/>
          <w:iCs/>
          <w:color w:val="auto"/>
        </w:rPr>
        <w:t>Capital allowances</w:t>
      </w:r>
    </w:p>
    <w:p w14:paraId="33D28341" w14:textId="77777777" w:rsidR="00243255" w:rsidRPr="00C80893" w:rsidRDefault="00243255" w:rsidP="00A46905">
      <w:pPr>
        <w:pStyle w:val="Default"/>
        <w:spacing w:after="180" w:line="276" w:lineRule="auto"/>
        <w:rPr>
          <w:rFonts w:ascii="Arial" w:hAnsi="Arial" w:cs="Arial"/>
          <w:color w:val="auto"/>
        </w:rPr>
      </w:pPr>
      <w:r w:rsidRPr="00C80893">
        <w:rPr>
          <w:rFonts w:ascii="Arial" w:hAnsi="Arial" w:cs="Arial"/>
          <w:color w:val="auto"/>
        </w:rPr>
        <w:t xml:space="preserve">Capital allowances are a feature of </w:t>
      </w:r>
      <w:r w:rsidR="00431946" w:rsidRPr="00C80893">
        <w:rPr>
          <w:rFonts w:ascii="Arial" w:hAnsi="Arial" w:cs="Arial"/>
          <w:color w:val="auto"/>
        </w:rPr>
        <w:t>business taxation in the UK and apply to</w:t>
      </w:r>
      <w:r w:rsidRPr="00C80893">
        <w:rPr>
          <w:rFonts w:ascii="Arial" w:hAnsi="Arial" w:cs="Arial"/>
          <w:color w:val="auto"/>
        </w:rPr>
        <w:t xml:space="preserve"> </w:t>
      </w:r>
      <w:r w:rsidR="00CC6357" w:rsidRPr="00C80893">
        <w:rPr>
          <w:rFonts w:ascii="Arial" w:hAnsi="Arial" w:cs="Arial"/>
          <w:color w:val="auto"/>
        </w:rPr>
        <w:t xml:space="preserve">the </w:t>
      </w:r>
      <w:r w:rsidRPr="00C80893">
        <w:rPr>
          <w:rFonts w:ascii="Arial" w:hAnsi="Arial" w:cs="Arial"/>
          <w:color w:val="auto"/>
        </w:rPr>
        <w:t>mainstream CT regime (</w:t>
      </w:r>
      <w:r w:rsidR="00431946" w:rsidRPr="00C80893">
        <w:rPr>
          <w:rFonts w:ascii="Arial" w:hAnsi="Arial" w:cs="Arial"/>
          <w:color w:val="auto"/>
        </w:rPr>
        <w:t xml:space="preserve">as well as </w:t>
      </w:r>
      <w:r w:rsidRPr="00C80893">
        <w:rPr>
          <w:rFonts w:ascii="Arial" w:hAnsi="Arial" w:cs="Arial"/>
          <w:color w:val="auto"/>
        </w:rPr>
        <w:t>to income tax). For CT purposes, the general rule is that capital expenditure is not allowed as a deduction for tax purposes. This means that profits chargeable to CT cannot be reduced by depreciation or similar expenses. The capital allowance regime exists to provide some relief for capital expenditure incurred.</w:t>
      </w:r>
    </w:p>
    <w:p w14:paraId="2E022C5B" w14:textId="77777777" w:rsidR="00243255" w:rsidRPr="00C80893" w:rsidRDefault="00243255" w:rsidP="00906E90">
      <w:pPr>
        <w:pStyle w:val="Default"/>
        <w:spacing w:after="180" w:line="276" w:lineRule="auto"/>
        <w:rPr>
          <w:rFonts w:ascii="Arial" w:hAnsi="Arial" w:cs="Arial"/>
          <w:color w:val="auto"/>
        </w:rPr>
      </w:pPr>
      <w:r w:rsidRPr="00C80893">
        <w:rPr>
          <w:rFonts w:ascii="Arial" w:hAnsi="Arial" w:cs="Arial"/>
          <w:color w:val="auto"/>
        </w:rPr>
        <w:t xml:space="preserve">There are </w:t>
      </w:r>
      <w:r w:rsidR="008F67D5" w:rsidRPr="00C80893">
        <w:rPr>
          <w:rFonts w:ascii="Arial" w:hAnsi="Arial" w:cs="Arial"/>
          <w:color w:val="auto"/>
        </w:rPr>
        <w:t xml:space="preserve">specific rules and rates of </w:t>
      </w:r>
      <w:r w:rsidRPr="00C80893">
        <w:rPr>
          <w:rFonts w:ascii="Arial" w:hAnsi="Arial" w:cs="Arial"/>
          <w:color w:val="auto"/>
        </w:rPr>
        <w:t>allowances available for companies carrying on a ring fence trade. These allowances mean that in practice, virtually all capital expenditure incurred by oil and gas companies for the purposes of their ring fence trades will qualify.</w:t>
      </w:r>
    </w:p>
    <w:p w14:paraId="246C6D70" w14:textId="19B42860" w:rsidR="00243255" w:rsidRPr="00C80893" w:rsidRDefault="00243255" w:rsidP="00906E90">
      <w:pPr>
        <w:pStyle w:val="Default"/>
        <w:spacing w:after="180" w:line="276" w:lineRule="auto"/>
        <w:rPr>
          <w:rFonts w:ascii="Arial" w:hAnsi="Arial" w:cs="Arial"/>
          <w:color w:val="auto"/>
        </w:rPr>
      </w:pPr>
      <w:r w:rsidRPr="00C80893">
        <w:rPr>
          <w:rFonts w:ascii="Arial" w:hAnsi="Arial" w:cs="Arial"/>
          <w:color w:val="auto"/>
        </w:rPr>
        <w:t xml:space="preserve">There are three types of allowance which are commonly relevant for companies carrying on a ring fence trade. Research and Development Allowance (RDA), Mineral Extraction Allowance (MEA) and Plant and Machinery Allowances (PMA). RDA and MEA </w:t>
      </w:r>
      <w:r w:rsidR="008F67D5" w:rsidRPr="00C80893">
        <w:rPr>
          <w:rFonts w:ascii="Arial" w:hAnsi="Arial" w:cs="Arial"/>
          <w:color w:val="auto"/>
        </w:rPr>
        <w:t>are</w:t>
      </w:r>
      <w:r w:rsidR="00CC6357" w:rsidRPr="00C80893">
        <w:rPr>
          <w:rFonts w:ascii="Arial" w:hAnsi="Arial" w:cs="Arial"/>
          <w:color w:val="auto"/>
        </w:rPr>
        <w:t xml:space="preserve"> primarily </w:t>
      </w:r>
      <w:r w:rsidRPr="00C80893">
        <w:rPr>
          <w:rFonts w:ascii="Arial" w:hAnsi="Arial" w:cs="Arial"/>
          <w:color w:val="auto"/>
        </w:rPr>
        <w:t>relevant to companies incurring capit</w:t>
      </w:r>
      <w:r w:rsidR="00063F0C" w:rsidRPr="00C80893">
        <w:rPr>
          <w:rFonts w:ascii="Arial" w:hAnsi="Arial" w:cs="Arial"/>
          <w:color w:val="auto"/>
        </w:rPr>
        <w:t xml:space="preserve">al expenditure on exploring for, </w:t>
      </w:r>
      <w:r w:rsidRPr="00C80893">
        <w:rPr>
          <w:rFonts w:ascii="Arial" w:hAnsi="Arial" w:cs="Arial"/>
          <w:color w:val="auto"/>
        </w:rPr>
        <w:t>appraising and gaining access to oil and gas during the pre-production phase. PMAs are available on capital expenditure on items of plant or machinery used in the ring fence trade. Mostly these are 100% First Year Allowances (FYAs), which allow the full amount of the expenditure to be written off for tax purposes in the accounting period in which the expenditure is incurred.</w:t>
      </w:r>
      <w:r w:rsidR="00B57BFC">
        <w:rPr>
          <w:rStyle w:val="FootnoteReference"/>
          <w:rFonts w:ascii="Arial" w:hAnsi="Arial" w:cs="Arial"/>
          <w:color w:val="auto"/>
        </w:rPr>
        <w:footnoteReference w:id="40"/>
      </w:r>
    </w:p>
    <w:p w14:paraId="6EAF1503" w14:textId="77777777" w:rsidR="00243255" w:rsidRPr="00C80893" w:rsidRDefault="00243255" w:rsidP="00BC7065">
      <w:pPr>
        <w:pStyle w:val="Default"/>
        <w:keepNext/>
        <w:spacing w:line="276" w:lineRule="auto"/>
        <w:outlineLvl w:val="0"/>
        <w:rPr>
          <w:rFonts w:ascii="Arial" w:hAnsi="Arial" w:cs="Arial"/>
          <w:bCs/>
          <w:iCs/>
          <w:color w:val="auto"/>
        </w:rPr>
      </w:pPr>
      <w:r w:rsidRPr="00C80893">
        <w:rPr>
          <w:rFonts w:ascii="Arial" w:hAnsi="Arial" w:cs="Arial"/>
          <w:b/>
          <w:bCs/>
          <w:iCs/>
          <w:color w:val="auto"/>
        </w:rPr>
        <w:t>Ring Fence Expenditure Supplement (RFES)</w:t>
      </w:r>
    </w:p>
    <w:p w14:paraId="4DC5FE30" w14:textId="4D7D030B" w:rsidR="00243255" w:rsidRPr="00C80893" w:rsidRDefault="00243255" w:rsidP="00A46905">
      <w:pPr>
        <w:pStyle w:val="Default"/>
        <w:spacing w:after="180" w:line="276" w:lineRule="auto"/>
        <w:rPr>
          <w:rFonts w:ascii="Arial" w:hAnsi="Arial" w:cs="Arial"/>
          <w:color w:val="auto"/>
        </w:rPr>
      </w:pPr>
      <w:r w:rsidRPr="00C80893">
        <w:rPr>
          <w:rFonts w:ascii="Arial" w:hAnsi="Arial" w:cs="Arial"/>
          <w:color w:val="auto"/>
        </w:rPr>
        <w:t xml:space="preserve">RFES is designed to assist companies </w:t>
      </w:r>
      <w:r w:rsidR="008A3B61">
        <w:rPr>
          <w:rFonts w:ascii="Arial" w:hAnsi="Arial" w:cs="Arial"/>
          <w:color w:val="auto"/>
        </w:rPr>
        <w:t>that</w:t>
      </w:r>
      <w:r w:rsidR="008A3B61" w:rsidRPr="00C80893">
        <w:rPr>
          <w:rFonts w:ascii="Arial" w:hAnsi="Arial" w:cs="Arial"/>
          <w:color w:val="auto"/>
        </w:rPr>
        <w:t xml:space="preserve"> </w:t>
      </w:r>
      <w:r w:rsidRPr="00C80893">
        <w:rPr>
          <w:rFonts w:ascii="Arial" w:hAnsi="Arial" w:cs="Arial"/>
          <w:color w:val="auto"/>
        </w:rPr>
        <w:t xml:space="preserve">do not yet have </w:t>
      </w:r>
      <w:proofErr w:type="gramStart"/>
      <w:r w:rsidRPr="00C80893">
        <w:rPr>
          <w:rFonts w:ascii="Arial" w:hAnsi="Arial" w:cs="Arial"/>
          <w:color w:val="auto"/>
        </w:rPr>
        <w:t>sufficient</w:t>
      </w:r>
      <w:proofErr w:type="gramEnd"/>
      <w:r w:rsidRPr="00C80893">
        <w:rPr>
          <w:rFonts w:ascii="Arial" w:hAnsi="Arial" w:cs="Arial"/>
          <w:color w:val="auto"/>
        </w:rPr>
        <w:t xml:space="preserve"> RFCT profits against which to set their exploration, appraisal and development costs. The RFES currently increases the value of unused expenditure carried forward from one accounting period to the next by a compound 10% a year for a maximum of 10 years (6 years prior to 2014). The company can elect which periods it wants to claim RFES for. They do not have to be consecutive years.</w:t>
      </w:r>
    </w:p>
    <w:p w14:paraId="3FB55912" w14:textId="77777777" w:rsidR="00243255" w:rsidRPr="00C80893" w:rsidRDefault="00243255" w:rsidP="00BC7065">
      <w:pPr>
        <w:pStyle w:val="Default"/>
        <w:keepNext/>
        <w:spacing w:after="180" w:line="276" w:lineRule="auto"/>
        <w:outlineLvl w:val="0"/>
        <w:rPr>
          <w:rFonts w:ascii="Arial" w:hAnsi="Arial" w:cs="Arial"/>
          <w:color w:val="auto"/>
        </w:rPr>
      </w:pPr>
      <w:r w:rsidRPr="00C80893">
        <w:rPr>
          <w:rFonts w:ascii="Arial" w:hAnsi="Arial" w:cs="Arial"/>
          <w:b/>
          <w:bCs/>
          <w:color w:val="auto"/>
        </w:rPr>
        <w:lastRenderedPageBreak/>
        <w:t>SC allowances</w:t>
      </w:r>
    </w:p>
    <w:p w14:paraId="2B26D504" w14:textId="77777777" w:rsidR="00243255" w:rsidRPr="00C80893" w:rsidRDefault="00243255" w:rsidP="00BC7065">
      <w:pPr>
        <w:pStyle w:val="Default"/>
        <w:keepNext/>
        <w:spacing w:line="276" w:lineRule="auto"/>
        <w:outlineLvl w:val="0"/>
        <w:rPr>
          <w:rFonts w:ascii="Arial" w:hAnsi="Arial" w:cs="Arial"/>
          <w:color w:val="auto"/>
        </w:rPr>
      </w:pPr>
      <w:r w:rsidRPr="00C80893">
        <w:rPr>
          <w:rFonts w:ascii="Arial" w:hAnsi="Arial" w:cs="Arial"/>
          <w:b/>
          <w:bCs/>
          <w:iCs/>
          <w:color w:val="auto"/>
        </w:rPr>
        <w:t>Cluster Area Allowance</w:t>
      </w:r>
    </w:p>
    <w:p w14:paraId="0BC6CD41" w14:textId="4FEAA9DE" w:rsidR="00DA284D" w:rsidRPr="00C80893" w:rsidRDefault="00063F0C" w:rsidP="00A46905">
      <w:pPr>
        <w:pStyle w:val="Default"/>
        <w:spacing w:after="180" w:line="276" w:lineRule="auto"/>
        <w:rPr>
          <w:rFonts w:ascii="Arial" w:hAnsi="Arial" w:cs="Arial"/>
          <w:color w:val="auto"/>
        </w:rPr>
      </w:pPr>
      <w:r w:rsidRPr="00C80893">
        <w:rPr>
          <w:rFonts w:ascii="Arial" w:hAnsi="Arial" w:cs="Arial"/>
          <w:color w:val="auto"/>
        </w:rPr>
        <w:t>Legislation in the Finance Act 2015 introduced a new Cluster Area Allowance, which aims to support large development projects in areas of high pressure and high temperature, encouraging exploration and appraisal in the surrounding area (or “cluster”). The allowance is generated by incurring capital expenditure</w:t>
      </w:r>
      <w:r w:rsidR="00264B18" w:rsidRPr="00C80893">
        <w:rPr>
          <w:rFonts w:ascii="Arial" w:hAnsi="Arial" w:cs="Arial"/>
          <w:color w:val="auto"/>
        </w:rPr>
        <w:t>, and certain types of operating and leasing expenditure</w:t>
      </w:r>
      <w:r w:rsidRPr="00C80893">
        <w:rPr>
          <w:rFonts w:ascii="Arial" w:hAnsi="Arial" w:cs="Arial"/>
          <w:color w:val="auto"/>
        </w:rPr>
        <w:t xml:space="preserve"> within the cluster area. The value of the allowance is 62.5% of the </w:t>
      </w:r>
      <w:r w:rsidR="00461B44">
        <w:rPr>
          <w:rFonts w:ascii="Arial" w:hAnsi="Arial" w:cs="Arial"/>
          <w:color w:val="auto"/>
        </w:rPr>
        <w:t xml:space="preserve">qualifying </w:t>
      </w:r>
      <w:r w:rsidRPr="00C80893">
        <w:rPr>
          <w:rFonts w:ascii="Arial" w:hAnsi="Arial" w:cs="Arial"/>
          <w:color w:val="auto"/>
        </w:rPr>
        <w:t xml:space="preserve">expenditure incurred. Any allowance generated is carried forward year on year until it is activated. Allowance is activated by production income from the cluster area. Once the allowance has been activated it is set against profits subject to the SC, so that any such profits are only subject to RFCT at 30%. Cluster areas are determined as such by the OGA, and the only area determined </w:t>
      </w:r>
      <w:r w:rsidR="00436825">
        <w:rPr>
          <w:rFonts w:ascii="Arial" w:hAnsi="Arial" w:cs="Arial"/>
          <w:color w:val="auto"/>
        </w:rPr>
        <w:t xml:space="preserve">to date </w:t>
      </w:r>
      <w:r w:rsidR="006610B2">
        <w:rPr>
          <w:rFonts w:ascii="Arial" w:hAnsi="Arial" w:cs="Arial"/>
          <w:color w:val="auto"/>
        </w:rPr>
        <w:t xml:space="preserve">is </w:t>
      </w:r>
      <w:r w:rsidRPr="00C80893">
        <w:rPr>
          <w:rFonts w:ascii="Arial" w:hAnsi="Arial" w:cs="Arial"/>
          <w:color w:val="auto"/>
        </w:rPr>
        <w:t xml:space="preserve">the </w:t>
      </w:r>
      <w:proofErr w:type="spellStart"/>
      <w:r w:rsidRPr="00C80893">
        <w:rPr>
          <w:rFonts w:ascii="Arial" w:hAnsi="Arial" w:cs="Arial"/>
          <w:color w:val="auto"/>
        </w:rPr>
        <w:t>Culzean</w:t>
      </w:r>
      <w:proofErr w:type="spellEnd"/>
      <w:r w:rsidRPr="00C80893">
        <w:rPr>
          <w:rFonts w:ascii="Arial" w:hAnsi="Arial" w:cs="Arial"/>
          <w:color w:val="auto"/>
        </w:rPr>
        <w:t xml:space="preserve"> Cluster Area in the </w:t>
      </w:r>
      <w:r w:rsidR="00131C43" w:rsidRPr="00C80893">
        <w:rPr>
          <w:rFonts w:ascii="Arial" w:hAnsi="Arial" w:cs="Arial"/>
          <w:color w:val="auto"/>
        </w:rPr>
        <w:t>C</w:t>
      </w:r>
      <w:r w:rsidR="00131C43">
        <w:rPr>
          <w:rFonts w:ascii="Arial" w:hAnsi="Arial" w:cs="Arial"/>
          <w:color w:val="auto"/>
        </w:rPr>
        <w:t>entral North Sea</w:t>
      </w:r>
      <w:r w:rsidRPr="00C80893">
        <w:rPr>
          <w:rFonts w:ascii="Arial" w:hAnsi="Arial" w:cs="Arial"/>
          <w:color w:val="auto"/>
        </w:rPr>
        <w:t>.</w:t>
      </w:r>
    </w:p>
    <w:p w14:paraId="64BCDF13" w14:textId="77777777" w:rsidR="00243255" w:rsidRPr="00C80893" w:rsidRDefault="00243255" w:rsidP="00BC7065">
      <w:pPr>
        <w:pStyle w:val="Default"/>
        <w:keepNext/>
        <w:spacing w:line="276" w:lineRule="auto"/>
        <w:outlineLvl w:val="0"/>
        <w:rPr>
          <w:rFonts w:ascii="Arial" w:hAnsi="Arial" w:cs="Arial"/>
          <w:color w:val="auto"/>
        </w:rPr>
      </w:pPr>
      <w:r w:rsidRPr="00C80893">
        <w:rPr>
          <w:rFonts w:ascii="Arial" w:hAnsi="Arial" w:cs="Arial"/>
          <w:b/>
          <w:bCs/>
          <w:iCs/>
          <w:color w:val="auto"/>
        </w:rPr>
        <w:t>Onshore Allowance</w:t>
      </w:r>
    </w:p>
    <w:p w14:paraId="3CC6B90A" w14:textId="77777777" w:rsidR="00243255" w:rsidRPr="00C80893" w:rsidRDefault="00243255" w:rsidP="00A46905">
      <w:pPr>
        <w:pStyle w:val="Default"/>
        <w:spacing w:after="180" w:line="276" w:lineRule="auto"/>
        <w:rPr>
          <w:rFonts w:ascii="Arial" w:hAnsi="Arial" w:cs="Arial"/>
          <w:color w:val="auto"/>
        </w:rPr>
      </w:pPr>
      <w:r w:rsidRPr="00C80893">
        <w:rPr>
          <w:rFonts w:ascii="Arial" w:hAnsi="Arial" w:cs="Arial"/>
          <w:color w:val="auto"/>
        </w:rPr>
        <w:t>The Onshore Allowance was introduced in Finance Act 2014 to provide support for the early development of onshore oil and gas projects which were economic but not commercially viable at the prevailing tax rates. The onshore allowance covers both conventional and unconventional hydrocarbons and replaces all existing field allowances for onshore projects. The allowance works in a similar way to Cluster Area Allowance: it is generated by capital expenditure, in an amount equal to 75% of that capital expenditure. Once the allowance is activated by production income in relation to an onshore site, the allowance is used to reduce the adjusted ring fence p</w:t>
      </w:r>
      <w:r w:rsidR="00BC2C73" w:rsidRPr="00C80893">
        <w:rPr>
          <w:rFonts w:ascii="Arial" w:hAnsi="Arial" w:cs="Arial"/>
          <w:color w:val="auto"/>
        </w:rPr>
        <w:t>rofits which are subject to SC.</w:t>
      </w:r>
    </w:p>
    <w:p w14:paraId="2EB58602" w14:textId="77777777" w:rsidR="00243255" w:rsidRPr="00C80893" w:rsidRDefault="00243255" w:rsidP="00BC7065">
      <w:pPr>
        <w:pStyle w:val="Default"/>
        <w:keepNext/>
        <w:spacing w:line="276" w:lineRule="auto"/>
        <w:outlineLvl w:val="0"/>
        <w:rPr>
          <w:rFonts w:ascii="Arial" w:hAnsi="Arial" w:cs="Arial"/>
          <w:color w:val="auto"/>
        </w:rPr>
      </w:pPr>
      <w:r w:rsidRPr="00C80893">
        <w:rPr>
          <w:rFonts w:ascii="Arial" w:hAnsi="Arial" w:cs="Arial"/>
          <w:b/>
          <w:bCs/>
          <w:iCs/>
          <w:color w:val="auto"/>
        </w:rPr>
        <w:t>Investment Allowance</w:t>
      </w:r>
    </w:p>
    <w:p w14:paraId="04E2B83F" w14:textId="4B3DEFE1" w:rsidR="00893535" w:rsidRPr="00C80893" w:rsidRDefault="00893535" w:rsidP="00A46905">
      <w:pPr>
        <w:pStyle w:val="Default"/>
        <w:spacing w:after="180" w:line="276" w:lineRule="auto"/>
        <w:rPr>
          <w:rFonts w:ascii="Arial" w:hAnsi="Arial" w:cs="Arial"/>
          <w:color w:val="auto"/>
        </w:rPr>
      </w:pPr>
      <w:r w:rsidRPr="00C80893">
        <w:rPr>
          <w:rFonts w:ascii="Arial" w:hAnsi="Arial" w:cs="Arial"/>
          <w:color w:val="auto"/>
        </w:rPr>
        <w:t xml:space="preserve">The existing system of offshore field allowances was replaced by a single Investment Allowance in Finance Act 2015. </w:t>
      </w:r>
      <w:proofErr w:type="gramStart"/>
      <w:r w:rsidRPr="00C80893">
        <w:rPr>
          <w:rFonts w:ascii="Arial" w:hAnsi="Arial" w:cs="Arial"/>
          <w:color w:val="auto"/>
        </w:rPr>
        <w:t>Similarly</w:t>
      </w:r>
      <w:proofErr w:type="gramEnd"/>
      <w:r w:rsidRPr="00C80893">
        <w:rPr>
          <w:rFonts w:ascii="Arial" w:hAnsi="Arial" w:cs="Arial"/>
          <w:color w:val="auto"/>
        </w:rPr>
        <w:t xml:space="preserve"> to the Cluster Area and Onshore Allowances, the Investment Allowance is generated by capital expenditure</w:t>
      </w:r>
      <w:r w:rsidR="00063E95" w:rsidRPr="00C80893">
        <w:rPr>
          <w:rFonts w:ascii="Arial" w:hAnsi="Arial" w:cs="Arial"/>
          <w:color w:val="auto"/>
        </w:rPr>
        <w:t>, and certain types of operating and leasing expenditure</w:t>
      </w:r>
      <w:r w:rsidRPr="00C80893">
        <w:rPr>
          <w:rFonts w:ascii="Arial" w:hAnsi="Arial" w:cs="Arial"/>
          <w:color w:val="auto"/>
        </w:rPr>
        <w:t xml:space="preserve"> incurred in relation to a qualifying oil field. The amount of allowance generated is equal to 62.5% of qualifying expenditure. Investment Allowance is activated by production income from the field, unlike Cluster Area Allowances, which can be activated by income from any field in a designated cluster. Once activated, it is used to reduce the adjusted ring fence profits chargeable to the SC.</w:t>
      </w:r>
    </w:p>
    <w:p w14:paraId="08C3013D" w14:textId="77777777" w:rsidR="00243255" w:rsidRPr="00C80893" w:rsidRDefault="00243255" w:rsidP="00BC7065">
      <w:pPr>
        <w:pStyle w:val="Default"/>
        <w:keepNext/>
        <w:spacing w:line="276" w:lineRule="auto"/>
        <w:outlineLvl w:val="0"/>
        <w:rPr>
          <w:rFonts w:ascii="Arial" w:hAnsi="Arial" w:cs="Arial"/>
          <w:color w:val="auto"/>
        </w:rPr>
      </w:pPr>
      <w:r w:rsidRPr="00C80893">
        <w:rPr>
          <w:rFonts w:ascii="Arial" w:hAnsi="Arial" w:cs="Arial"/>
          <w:b/>
          <w:color w:val="auto"/>
        </w:rPr>
        <w:t>Losses</w:t>
      </w:r>
    </w:p>
    <w:p w14:paraId="45813DC9" w14:textId="77777777" w:rsidR="00F8654E" w:rsidRPr="00C80893" w:rsidRDefault="00F8654E" w:rsidP="00F8654E">
      <w:pPr>
        <w:pStyle w:val="Default"/>
        <w:spacing w:after="180" w:line="276" w:lineRule="auto"/>
        <w:rPr>
          <w:rFonts w:ascii="Arial" w:hAnsi="Arial" w:cs="Arial"/>
          <w:color w:val="auto"/>
        </w:rPr>
      </w:pPr>
      <w:r w:rsidRPr="00C80893">
        <w:rPr>
          <w:rFonts w:ascii="Arial" w:hAnsi="Arial" w:cs="Arial"/>
          <w:color w:val="auto"/>
        </w:rPr>
        <w:t xml:space="preserve">When a </w:t>
      </w:r>
      <w:r w:rsidR="008F67D5" w:rsidRPr="00C80893">
        <w:rPr>
          <w:rFonts w:ascii="Arial" w:hAnsi="Arial" w:cs="Arial"/>
          <w:color w:val="auto"/>
        </w:rPr>
        <w:t xml:space="preserve">business </w:t>
      </w:r>
      <w:r w:rsidRPr="00C80893">
        <w:rPr>
          <w:rFonts w:ascii="Arial" w:hAnsi="Arial" w:cs="Arial"/>
          <w:color w:val="auto"/>
        </w:rPr>
        <w:t>makes a loss, it may be able to get relief for that loss through the tax system. Loss relief is not unique to the oil and gas regime: it is a feature of income tax, mainstream CT and other regimes too. Broadly, loss relief works by allowing a loss made in one period to be set off, in certain circumstances, against profits in the same or other periods.</w:t>
      </w:r>
    </w:p>
    <w:p w14:paraId="0A2C2E9A" w14:textId="2DF13865" w:rsidR="00243255" w:rsidRPr="000B3A25" w:rsidRDefault="00243255" w:rsidP="00BC7065">
      <w:pPr>
        <w:pStyle w:val="Default"/>
        <w:keepNext/>
        <w:spacing w:line="276" w:lineRule="auto"/>
        <w:outlineLvl w:val="0"/>
        <w:rPr>
          <w:rFonts w:ascii="Arial" w:hAnsi="Arial" w:cs="Arial"/>
          <w:b/>
          <w:color w:val="auto"/>
        </w:rPr>
      </w:pPr>
      <w:r w:rsidRPr="007A7F7C">
        <w:rPr>
          <w:rFonts w:ascii="Arial" w:hAnsi="Arial" w:cs="Arial"/>
          <w:b/>
          <w:color w:val="auto"/>
        </w:rPr>
        <w:lastRenderedPageBreak/>
        <w:t>PRT</w:t>
      </w:r>
    </w:p>
    <w:p w14:paraId="5C04709B" w14:textId="77777777" w:rsidR="00417A26" w:rsidRPr="00C80893" w:rsidRDefault="00417A26" w:rsidP="00A46905">
      <w:pPr>
        <w:pStyle w:val="Default"/>
        <w:spacing w:after="180" w:line="276" w:lineRule="auto"/>
        <w:rPr>
          <w:rFonts w:ascii="Arial" w:hAnsi="Arial" w:cs="Arial"/>
          <w:color w:val="auto"/>
        </w:rPr>
      </w:pPr>
      <w:r w:rsidRPr="00C80893">
        <w:rPr>
          <w:rFonts w:ascii="Arial" w:hAnsi="Arial" w:cs="Arial"/>
          <w:color w:val="auto"/>
        </w:rPr>
        <w:t>PRT is a field</w:t>
      </w:r>
      <w:r w:rsidR="00F57CC7" w:rsidRPr="00C80893">
        <w:rPr>
          <w:rFonts w:ascii="Arial" w:hAnsi="Arial" w:cs="Arial"/>
          <w:color w:val="auto"/>
        </w:rPr>
        <w:t>-</w:t>
      </w:r>
      <w:r w:rsidR="00C40BC9" w:rsidRPr="00C80893">
        <w:rPr>
          <w:rFonts w:ascii="Arial" w:hAnsi="Arial" w:cs="Arial"/>
          <w:color w:val="auto"/>
        </w:rPr>
        <w:t xml:space="preserve">based </w:t>
      </w:r>
      <w:r w:rsidRPr="00C80893">
        <w:rPr>
          <w:rFonts w:ascii="Arial" w:hAnsi="Arial" w:cs="Arial"/>
          <w:color w:val="auto"/>
        </w:rPr>
        <w:t xml:space="preserve">tax, so loss relief is normally available </w:t>
      </w:r>
      <w:r w:rsidR="00C40BC9" w:rsidRPr="00C80893">
        <w:rPr>
          <w:rFonts w:ascii="Arial" w:hAnsi="Arial" w:cs="Arial"/>
          <w:color w:val="auto"/>
        </w:rPr>
        <w:t xml:space="preserve">only </w:t>
      </w:r>
      <w:r w:rsidRPr="00C80893">
        <w:rPr>
          <w:rFonts w:ascii="Arial" w:hAnsi="Arial" w:cs="Arial"/>
          <w:color w:val="auto"/>
        </w:rPr>
        <w:t xml:space="preserve">against profits from the same field. </w:t>
      </w:r>
      <w:r w:rsidR="00C40BC9" w:rsidRPr="00C80893">
        <w:rPr>
          <w:rFonts w:ascii="Arial" w:hAnsi="Arial" w:cs="Arial"/>
          <w:color w:val="auto"/>
        </w:rPr>
        <w:t xml:space="preserve">A </w:t>
      </w:r>
      <w:r w:rsidRPr="00C80893">
        <w:rPr>
          <w:rFonts w:ascii="Arial" w:hAnsi="Arial" w:cs="Arial"/>
          <w:color w:val="auto"/>
        </w:rPr>
        <w:t>loss can be carried back and set against profits of the field in previous periods, most recent period first, or carried forward to set against future profits, earliest period first. The loss is set against the profit before Oil Allowance. Only once</w:t>
      </w:r>
      <w:r w:rsidR="004B6A62" w:rsidRPr="00C80893">
        <w:rPr>
          <w:rFonts w:ascii="Arial" w:hAnsi="Arial" w:cs="Arial"/>
          <w:color w:val="auto"/>
        </w:rPr>
        <w:t>, following cessation of production,</w:t>
      </w:r>
      <w:r w:rsidRPr="00C80893">
        <w:rPr>
          <w:rFonts w:ascii="Arial" w:hAnsi="Arial" w:cs="Arial"/>
          <w:color w:val="auto"/>
        </w:rPr>
        <w:t xml:space="preserve"> all carry back and carry forward options are exhausted for that participator and there are no further profits against which the loss can be set, can the loss then be relieved against profits of earlier participators in the field. If there are still any unrelieved losses, they can be relieved against profits from another field.</w:t>
      </w:r>
    </w:p>
    <w:p w14:paraId="3160E006" w14:textId="77777777" w:rsidR="003D48FD" w:rsidRPr="00C80893" w:rsidRDefault="003D48FD" w:rsidP="003D48FD">
      <w:pPr>
        <w:pStyle w:val="Default"/>
        <w:spacing w:after="180" w:line="276" w:lineRule="auto"/>
        <w:rPr>
          <w:rFonts w:ascii="Arial" w:hAnsi="Arial" w:cs="Arial"/>
          <w:color w:val="auto"/>
        </w:rPr>
      </w:pPr>
      <w:r w:rsidRPr="00C80893">
        <w:rPr>
          <w:rFonts w:ascii="Arial" w:hAnsi="Arial" w:cs="Arial"/>
          <w:color w:val="auto"/>
        </w:rPr>
        <w:t>Where a field has made an assessable profit, and paid tax in one period, and then has subsequently made a loss and the participator has chosen to carry the loss back, it could generate a repayment of tax.</w:t>
      </w:r>
    </w:p>
    <w:p w14:paraId="6C7F075D" w14:textId="77777777" w:rsidR="00243255" w:rsidRPr="007A7F7C" w:rsidRDefault="00243255" w:rsidP="000B3A25">
      <w:pPr>
        <w:pStyle w:val="Default"/>
        <w:keepNext/>
        <w:spacing w:line="276" w:lineRule="auto"/>
        <w:outlineLvl w:val="0"/>
        <w:rPr>
          <w:rFonts w:ascii="Arial" w:hAnsi="Arial" w:cs="Arial"/>
          <w:b/>
          <w:color w:val="auto"/>
        </w:rPr>
      </w:pPr>
      <w:r w:rsidRPr="007A7F7C">
        <w:rPr>
          <w:rFonts w:ascii="Arial" w:hAnsi="Arial" w:cs="Arial"/>
          <w:b/>
          <w:color w:val="auto"/>
        </w:rPr>
        <w:t>RFCT</w:t>
      </w:r>
    </w:p>
    <w:p w14:paraId="604A7C09" w14:textId="7B9D2F22" w:rsidR="00243255" w:rsidRPr="00C80893" w:rsidRDefault="00243255" w:rsidP="00A46905">
      <w:pPr>
        <w:pStyle w:val="Default"/>
        <w:spacing w:after="180" w:line="276" w:lineRule="auto"/>
        <w:rPr>
          <w:rFonts w:ascii="Arial" w:hAnsi="Arial" w:cs="Arial"/>
          <w:color w:val="auto"/>
        </w:rPr>
      </w:pPr>
      <w:r w:rsidRPr="00C80893">
        <w:rPr>
          <w:rFonts w:ascii="Arial" w:hAnsi="Arial" w:cs="Arial"/>
          <w:color w:val="auto"/>
        </w:rPr>
        <w:t>Where a company makes a loss for RFCT purposes, it can also choose how to treat that loss. The default position is that the loss is carried forward to</w:t>
      </w:r>
      <w:r w:rsidR="005C6D93">
        <w:rPr>
          <w:rFonts w:ascii="Arial" w:hAnsi="Arial" w:cs="Arial"/>
          <w:color w:val="auto"/>
        </w:rPr>
        <w:t xml:space="preserve"> </w:t>
      </w:r>
      <w:r w:rsidRPr="00C80893">
        <w:rPr>
          <w:rFonts w:ascii="Arial" w:hAnsi="Arial" w:cs="Arial"/>
          <w:color w:val="auto"/>
        </w:rPr>
        <w:t>set against future profits of the ring fence trade. However, the loss can also be set off against other (non-ring fence) profits arising in the year, or it can be carried back to set against the profits earned in previous years. Alternatively, where a company is part of a corporate group, it can surrender the loss to another company making a profit in the same period.</w:t>
      </w:r>
    </w:p>
    <w:p w14:paraId="24854BD9" w14:textId="77777777" w:rsidR="00417A26" w:rsidRPr="00C80893" w:rsidRDefault="00417A26" w:rsidP="00417A26">
      <w:pPr>
        <w:pStyle w:val="Default"/>
        <w:spacing w:after="180" w:line="276" w:lineRule="auto"/>
        <w:rPr>
          <w:rFonts w:ascii="Arial" w:hAnsi="Arial" w:cs="Arial"/>
          <w:color w:val="auto"/>
        </w:rPr>
      </w:pPr>
      <w:r w:rsidRPr="00C80893">
        <w:rPr>
          <w:rFonts w:ascii="Arial" w:hAnsi="Arial" w:cs="Arial"/>
          <w:color w:val="auto"/>
        </w:rPr>
        <w:t xml:space="preserve">Under the normal rules, losses can be carried back </w:t>
      </w:r>
      <w:r w:rsidR="00550495" w:rsidRPr="00C80893">
        <w:rPr>
          <w:rFonts w:ascii="Arial" w:hAnsi="Arial" w:cs="Arial"/>
          <w:color w:val="auto"/>
        </w:rPr>
        <w:t xml:space="preserve">only </w:t>
      </w:r>
      <w:r w:rsidRPr="00C80893">
        <w:rPr>
          <w:rFonts w:ascii="Arial" w:hAnsi="Arial" w:cs="Arial"/>
          <w:color w:val="auto"/>
        </w:rPr>
        <w:t>against profits arising in the previous year. However, these time limits are extended where the trade has ceased, in which case the loss may be carried back up to three years. For ring fence trades, this time limit may be extended further where the loss is incurred as a result of decommissioning expenditure. In such situations, the loss may be carried back to any period ending on or after 17 April 2002, regardless of whether trade has ceased.</w:t>
      </w:r>
    </w:p>
    <w:p w14:paraId="28BB90DC" w14:textId="77777777" w:rsidR="00243255" w:rsidRPr="000B3A25" w:rsidRDefault="00243255" w:rsidP="00BC7065">
      <w:pPr>
        <w:pStyle w:val="Default"/>
        <w:keepNext/>
        <w:spacing w:line="276" w:lineRule="auto"/>
        <w:outlineLvl w:val="0"/>
        <w:rPr>
          <w:rFonts w:ascii="Arial" w:hAnsi="Arial" w:cs="Arial"/>
          <w:b/>
          <w:color w:val="auto"/>
        </w:rPr>
      </w:pPr>
      <w:r w:rsidRPr="007A7F7C">
        <w:rPr>
          <w:rFonts w:ascii="Arial" w:hAnsi="Arial" w:cs="Arial"/>
          <w:b/>
          <w:color w:val="auto"/>
        </w:rPr>
        <w:t>SC</w:t>
      </w:r>
    </w:p>
    <w:p w14:paraId="3EB11745" w14:textId="22287883" w:rsidR="00243255" w:rsidRPr="009A52C5" w:rsidRDefault="00243255" w:rsidP="00A46905">
      <w:pPr>
        <w:pStyle w:val="Default"/>
        <w:spacing w:after="180" w:line="276" w:lineRule="auto"/>
        <w:rPr>
          <w:rFonts w:ascii="Arial" w:hAnsi="Arial" w:cs="Arial"/>
          <w:color w:val="auto"/>
        </w:rPr>
      </w:pPr>
      <w:r w:rsidRPr="009A52C5">
        <w:rPr>
          <w:rFonts w:ascii="Arial" w:hAnsi="Arial" w:cs="Arial"/>
          <w:color w:val="auto"/>
        </w:rPr>
        <w:t>SC is calculated on the same basis as RFCT, but with adjustment for finance costs</w:t>
      </w:r>
      <w:r w:rsidR="00042E6F">
        <w:rPr>
          <w:rFonts w:ascii="Arial" w:hAnsi="Arial" w:cs="Arial"/>
          <w:color w:val="auto"/>
        </w:rPr>
        <w:t xml:space="preserve"> resulting in ‘adjusted ring fence </w:t>
      </w:r>
      <w:proofErr w:type="gramStart"/>
      <w:r w:rsidR="00042E6F">
        <w:rPr>
          <w:rFonts w:ascii="Arial" w:hAnsi="Arial" w:cs="Arial"/>
          <w:color w:val="auto"/>
        </w:rPr>
        <w:t>profits’</w:t>
      </w:r>
      <w:proofErr w:type="gramEnd"/>
      <w:r w:rsidRPr="009A52C5">
        <w:rPr>
          <w:rFonts w:ascii="Arial" w:hAnsi="Arial" w:cs="Arial"/>
          <w:color w:val="auto"/>
        </w:rPr>
        <w:t xml:space="preserve">. However, there is no loss relief for SC per se. Rather, if a company makes a RFCT loss, and elects to carry it forward or backward, it will reduce the RFCT profits, and therefore the </w:t>
      </w:r>
      <w:r w:rsidR="00042E6F">
        <w:rPr>
          <w:rFonts w:ascii="Arial" w:hAnsi="Arial" w:cs="Arial"/>
          <w:color w:val="auto"/>
        </w:rPr>
        <w:t xml:space="preserve">adjusted ring fence </w:t>
      </w:r>
      <w:r w:rsidRPr="009A52C5">
        <w:rPr>
          <w:rFonts w:ascii="Arial" w:hAnsi="Arial" w:cs="Arial"/>
          <w:color w:val="auto"/>
        </w:rPr>
        <w:t>profit subject to SC of the subsequent or previous period will also be reduced, potentially to nil</w:t>
      </w:r>
      <w:r w:rsidR="00042E6F">
        <w:rPr>
          <w:rFonts w:ascii="Arial" w:hAnsi="Arial" w:cs="Arial"/>
          <w:color w:val="auto"/>
        </w:rPr>
        <w:t>, generating a repayment of SC where SC has already been paid.</w:t>
      </w:r>
    </w:p>
    <w:p w14:paraId="05D01D4A" w14:textId="77777777" w:rsidR="00243255" w:rsidRPr="009A52C5" w:rsidRDefault="00243255" w:rsidP="00BC7065">
      <w:pPr>
        <w:pStyle w:val="Default"/>
        <w:keepNext/>
        <w:spacing w:line="276" w:lineRule="auto"/>
        <w:outlineLvl w:val="0"/>
        <w:rPr>
          <w:rFonts w:ascii="Arial" w:hAnsi="Arial" w:cs="Arial"/>
          <w:b/>
          <w:bCs/>
          <w:color w:val="auto"/>
        </w:rPr>
      </w:pPr>
      <w:r w:rsidRPr="009A52C5">
        <w:rPr>
          <w:rFonts w:ascii="Arial" w:hAnsi="Arial" w:cs="Arial"/>
          <w:b/>
          <w:bCs/>
          <w:color w:val="auto"/>
        </w:rPr>
        <w:t>Variations in tax payments and repayments</w:t>
      </w:r>
    </w:p>
    <w:p w14:paraId="1C006006" w14:textId="77777777" w:rsidR="00243255" w:rsidRPr="009A52C5" w:rsidRDefault="00243255" w:rsidP="000A2950">
      <w:pPr>
        <w:pStyle w:val="Default"/>
        <w:spacing w:after="180" w:line="276" w:lineRule="auto"/>
        <w:rPr>
          <w:rFonts w:ascii="Arial" w:hAnsi="Arial" w:cs="Arial"/>
          <w:color w:val="auto"/>
        </w:rPr>
      </w:pPr>
      <w:r w:rsidRPr="009A52C5">
        <w:rPr>
          <w:rFonts w:ascii="Arial" w:hAnsi="Arial" w:cs="Arial"/>
          <w:color w:val="auto"/>
        </w:rPr>
        <w:t xml:space="preserve">The amount of tax paid by a company can vary year on year for </w:t>
      </w:r>
      <w:proofErr w:type="gramStart"/>
      <w:r w:rsidRPr="009A52C5">
        <w:rPr>
          <w:rFonts w:ascii="Arial" w:hAnsi="Arial" w:cs="Arial"/>
          <w:color w:val="auto"/>
        </w:rPr>
        <w:t>a number of</w:t>
      </w:r>
      <w:proofErr w:type="gramEnd"/>
      <w:r w:rsidRPr="009A52C5">
        <w:rPr>
          <w:rFonts w:ascii="Arial" w:hAnsi="Arial" w:cs="Arial"/>
          <w:color w:val="auto"/>
        </w:rPr>
        <w:t xml:space="preserve"> reasons. Perhaps most obviously, changes in tax rates will affect the amount of tax paid. In recent </w:t>
      </w:r>
      <w:r w:rsidR="009B2E18" w:rsidRPr="009A52C5">
        <w:rPr>
          <w:rFonts w:ascii="Arial" w:hAnsi="Arial" w:cs="Arial"/>
          <w:color w:val="auto"/>
        </w:rPr>
        <w:t>years,</w:t>
      </w:r>
      <w:r w:rsidRPr="009A52C5">
        <w:rPr>
          <w:rFonts w:ascii="Arial" w:hAnsi="Arial" w:cs="Arial"/>
          <w:color w:val="auto"/>
        </w:rPr>
        <w:t xml:space="preserve"> the rates of PRT and SC have both dropped, reducing the amount payable under these taxes. The level of profits (or losses) made by a company will also vary year on year. Factors such as capital expenditure incurred both on decommissioning and on exploration and investment can reduce profits, and </w:t>
      </w:r>
      <w:r w:rsidRPr="009A52C5">
        <w:rPr>
          <w:rFonts w:ascii="Arial" w:hAnsi="Arial" w:cs="Arial"/>
          <w:color w:val="auto"/>
        </w:rPr>
        <w:lastRenderedPageBreak/>
        <w:t>variations in the oil price will have a substantial impact on trading receipts. Equally, as explained above, while a company may make a profit in a year, if it has a loss to set against that profit, the amount of tax payable may fall, or indeed lead to a repayment of tax.</w:t>
      </w:r>
    </w:p>
    <w:p w14:paraId="55708C3D" w14:textId="2AE21D02" w:rsidR="00C17CD0" w:rsidRPr="009A52C5" w:rsidRDefault="00243255" w:rsidP="009B2E18">
      <w:pPr>
        <w:pStyle w:val="Default"/>
        <w:spacing w:after="180" w:line="276" w:lineRule="auto"/>
        <w:rPr>
          <w:rFonts w:ascii="Arial" w:hAnsi="Arial" w:cs="Arial"/>
          <w:color w:val="auto"/>
        </w:rPr>
      </w:pPr>
      <w:r w:rsidRPr="009A52C5">
        <w:rPr>
          <w:rFonts w:ascii="Arial" w:hAnsi="Arial" w:cs="Arial"/>
          <w:color w:val="auto"/>
        </w:rPr>
        <w:t>Companies are charged PRT for chargeable periods of 6 months, running from 1 January to 30 June, and 1 July to 31 December. Companies’ profits are charged to RFCT and SC for accounting periods (APs). APs normally last for one year, although they can sometimes be shorter. Different companies have different APs, although commonly calendar or financial years are used.</w:t>
      </w:r>
    </w:p>
    <w:p w14:paraId="59C0D3A1" w14:textId="77777777" w:rsidR="00EB147A" w:rsidRPr="009A52C5" w:rsidRDefault="00EB147A" w:rsidP="00BC7065">
      <w:pPr>
        <w:keepNext/>
        <w:autoSpaceDE w:val="0"/>
        <w:autoSpaceDN w:val="0"/>
        <w:adjustRightInd w:val="0"/>
        <w:spacing w:line="276" w:lineRule="auto"/>
        <w:outlineLvl w:val="0"/>
        <w:rPr>
          <w:rFonts w:eastAsia="Calibri"/>
          <w:b/>
          <w:bCs/>
          <w:szCs w:val="24"/>
        </w:rPr>
      </w:pPr>
      <w:r w:rsidRPr="009A52C5">
        <w:rPr>
          <w:rFonts w:eastAsia="Calibri"/>
          <w:b/>
          <w:bCs/>
          <w:szCs w:val="24"/>
        </w:rPr>
        <w:t>PRT payments</w:t>
      </w:r>
    </w:p>
    <w:p w14:paraId="5583AEAA" w14:textId="6E391125" w:rsidR="00EB147A" w:rsidRPr="009A52C5" w:rsidRDefault="00EB147A" w:rsidP="00EB147A">
      <w:pPr>
        <w:autoSpaceDE w:val="0"/>
        <w:autoSpaceDN w:val="0"/>
        <w:adjustRightInd w:val="0"/>
        <w:spacing w:after="180" w:line="276" w:lineRule="auto"/>
        <w:rPr>
          <w:rFonts w:eastAsia="Calibri"/>
          <w:szCs w:val="24"/>
        </w:rPr>
      </w:pPr>
      <w:r w:rsidRPr="009A52C5">
        <w:rPr>
          <w:rFonts w:eastAsia="Calibri"/>
          <w:szCs w:val="24"/>
        </w:rPr>
        <w:t xml:space="preserve">PRT instalments </w:t>
      </w:r>
      <w:r w:rsidR="00E9577A">
        <w:rPr>
          <w:rFonts w:eastAsia="Calibri"/>
          <w:szCs w:val="24"/>
        </w:rPr>
        <w:t>are</w:t>
      </w:r>
      <w:r w:rsidRPr="009A52C5">
        <w:rPr>
          <w:rFonts w:eastAsia="Calibri"/>
          <w:szCs w:val="24"/>
        </w:rPr>
        <w:t xml:space="preserve"> due based on the previous chargeable period. From 2016, as the PRT rate </w:t>
      </w:r>
      <w:r w:rsidR="00E9577A">
        <w:rPr>
          <w:rFonts w:eastAsia="Calibri"/>
          <w:szCs w:val="24"/>
        </w:rPr>
        <w:t>was</w:t>
      </w:r>
      <w:r w:rsidRPr="009A52C5">
        <w:rPr>
          <w:rFonts w:eastAsia="Calibri"/>
          <w:szCs w:val="24"/>
        </w:rPr>
        <w:t xml:space="preserve"> reduced to nil, PRT payments were only made to true up previous year’s liabilities or instalments made prior to the announcement of PRT being zero-rated at the 2016 Budget.</w:t>
      </w:r>
    </w:p>
    <w:p w14:paraId="37D08E2B" w14:textId="77777777" w:rsidR="00243255" w:rsidRPr="009A52C5" w:rsidRDefault="00243255" w:rsidP="00BC7065">
      <w:pPr>
        <w:pStyle w:val="Default"/>
        <w:keepNext/>
        <w:spacing w:line="276" w:lineRule="auto"/>
        <w:outlineLvl w:val="0"/>
        <w:rPr>
          <w:rFonts w:ascii="Arial" w:hAnsi="Arial" w:cs="Arial"/>
          <w:b/>
          <w:bCs/>
          <w:color w:val="auto"/>
        </w:rPr>
      </w:pPr>
      <w:r w:rsidRPr="009A52C5">
        <w:rPr>
          <w:rFonts w:ascii="Arial" w:hAnsi="Arial" w:cs="Arial"/>
          <w:b/>
          <w:bCs/>
          <w:color w:val="auto"/>
        </w:rPr>
        <w:t>RFCT/ SC payments</w:t>
      </w:r>
    </w:p>
    <w:p w14:paraId="56EADC5D" w14:textId="3B96A3E0" w:rsidR="00243255" w:rsidRPr="009A52C5" w:rsidRDefault="00243255" w:rsidP="00286FA1">
      <w:pPr>
        <w:pStyle w:val="Default"/>
        <w:spacing w:after="180" w:line="276" w:lineRule="auto"/>
        <w:rPr>
          <w:rFonts w:ascii="Arial" w:hAnsi="Arial" w:cs="Arial"/>
          <w:color w:val="auto"/>
        </w:rPr>
      </w:pPr>
      <w:r w:rsidRPr="009A52C5">
        <w:rPr>
          <w:rFonts w:ascii="Arial" w:hAnsi="Arial" w:cs="Arial"/>
          <w:color w:val="auto"/>
        </w:rPr>
        <w:t xml:space="preserve">The rules for payment of RFCT and SC differ from the payment rules for mainstream CT. </w:t>
      </w:r>
      <w:r w:rsidR="00D51456">
        <w:rPr>
          <w:rFonts w:ascii="Arial" w:hAnsi="Arial" w:cs="Arial"/>
          <w:color w:val="auto"/>
        </w:rPr>
        <w:t>Payments</w:t>
      </w:r>
      <w:r w:rsidRPr="009A52C5">
        <w:rPr>
          <w:rFonts w:ascii="Arial" w:hAnsi="Arial" w:cs="Arial"/>
          <w:color w:val="auto"/>
        </w:rPr>
        <w:t xml:space="preserve"> </w:t>
      </w:r>
      <w:r w:rsidR="00D51456">
        <w:rPr>
          <w:rFonts w:ascii="Arial" w:hAnsi="Arial" w:cs="Arial"/>
          <w:color w:val="auto"/>
        </w:rPr>
        <w:t xml:space="preserve">of </w:t>
      </w:r>
      <w:r w:rsidRPr="009A52C5">
        <w:rPr>
          <w:rFonts w:ascii="Arial" w:hAnsi="Arial" w:cs="Arial"/>
          <w:color w:val="auto"/>
        </w:rPr>
        <w:t>RFCT and SC</w:t>
      </w:r>
      <w:r w:rsidR="00D51456">
        <w:rPr>
          <w:rFonts w:ascii="Arial" w:hAnsi="Arial" w:cs="Arial"/>
          <w:color w:val="auto"/>
        </w:rPr>
        <w:t xml:space="preserve"> be made </w:t>
      </w:r>
      <w:r w:rsidRPr="009A52C5">
        <w:rPr>
          <w:rFonts w:ascii="Arial" w:hAnsi="Arial" w:cs="Arial"/>
          <w:color w:val="auto"/>
        </w:rPr>
        <w:t xml:space="preserve">in three </w:t>
      </w:r>
      <w:r w:rsidR="00D51456">
        <w:rPr>
          <w:rFonts w:ascii="Arial" w:hAnsi="Arial" w:cs="Arial"/>
          <w:color w:val="auto"/>
        </w:rPr>
        <w:t>equal instalments</w:t>
      </w:r>
      <w:r w:rsidRPr="009A52C5">
        <w:rPr>
          <w:rFonts w:ascii="Arial" w:hAnsi="Arial" w:cs="Arial"/>
          <w:color w:val="auto"/>
        </w:rPr>
        <w:t xml:space="preserve">: 6 months and 13 days from the start of the AP, 3 months </w:t>
      </w:r>
      <w:r w:rsidR="00D51456">
        <w:rPr>
          <w:rFonts w:ascii="Arial" w:hAnsi="Arial" w:cs="Arial"/>
          <w:color w:val="auto"/>
        </w:rPr>
        <w:t xml:space="preserve">from the first instalment due date </w:t>
      </w:r>
      <w:r w:rsidRPr="009A52C5">
        <w:rPr>
          <w:rFonts w:ascii="Arial" w:hAnsi="Arial" w:cs="Arial"/>
          <w:color w:val="auto"/>
        </w:rPr>
        <w:t xml:space="preserve">, and 14 days from the end of the AP. </w:t>
      </w:r>
      <w:r w:rsidR="00D51456">
        <w:rPr>
          <w:rFonts w:ascii="Arial" w:hAnsi="Arial" w:cs="Arial"/>
          <w:color w:val="auto"/>
        </w:rPr>
        <w:t xml:space="preserve">These payments are in addition to non-ring fence CT payments which will remain payable under the quarterly instalment payments (QIPS) regime.  </w:t>
      </w:r>
    </w:p>
    <w:p w14:paraId="37098FF5" w14:textId="77777777" w:rsidR="00243255" w:rsidRPr="009A52C5" w:rsidRDefault="00243255" w:rsidP="00BC7065">
      <w:pPr>
        <w:pStyle w:val="Default"/>
        <w:keepNext/>
        <w:spacing w:line="276" w:lineRule="auto"/>
        <w:outlineLvl w:val="0"/>
        <w:rPr>
          <w:rFonts w:ascii="Arial" w:hAnsi="Arial" w:cs="Arial"/>
          <w:color w:val="auto"/>
        </w:rPr>
      </w:pPr>
      <w:r w:rsidRPr="009A52C5">
        <w:rPr>
          <w:rFonts w:ascii="Arial" w:hAnsi="Arial" w:cs="Arial"/>
          <w:b/>
          <w:color w:val="auto"/>
        </w:rPr>
        <w:t>Decommissioning</w:t>
      </w:r>
    </w:p>
    <w:p w14:paraId="04E4851F" w14:textId="61948E5F" w:rsidR="00243255" w:rsidRPr="009A52C5" w:rsidRDefault="00243255" w:rsidP="000A2950">
      <w:pPr>
        <w:pStyle w:val="Default"/>
        <w:spacing w:after="180" w:line="276" w:lineRule="auto"/>
        <w:rPr>
          <w:rFonts w:ascii="Arial" w:hAnsi="Arial" w:cs="Arial"/>
          <w:color w:val="auto"/>
        </w:rPr>
      </w:pPr>
      <w:r w:rsidRPr="009A52C5">
        <w:rPr>
          <w:rFonts w:ascii="Arial" w:hAnsi="Arial" w:cs="Arial"/>
          <w:color w:val="auto"/>
        </w:rPr>
        <w:t xml:space="preserve">Decommissioning is an inherent cost of doing business in the UKCS. As a result, tax relief is given for decommissioning costs </w:t>
      </w:r>
      <w:r w:rsidR="00EB147A" w:rsidRPr="009A52C5">
        <w:rPr>
          <w:rFonts w:ascii="Arial" w:hAnsi="Arial" w:cs="Arial"/>
          <w:color w:val="auto"/>
        </w:rPr>
        <w:t>but not until</w:t>
      </w:r>
      <w:r w:rsidRPr="009A52C5">
        <w:rPr>
          <w:rFonts w:ascii="Arial" w:hAnsi="Arial" w:cs="Arial"/>
          <w:color w:val="auto"/>
        </w:rPr>
        <w:t xml:space="preserve"> they are </w:t>
      </w:r>
      <w:proofErr w:type="gramStart"/>
      <w:r w:rsidRPr="009A52C5">
        <w:rPr>
          <w:rFonts w:ascii="Arial" w:hAnsi="Arial" w:cs="Arial"/>
          <w:color w:val="auto"/>
        </w:rPr>
        <w:t>incurred</w:t>
      </w:r>
      <w:proofErr w:type="gramEnd"/>
      <w:r w:rsidRPr="009A52C5">
        <w:rPr>
          <w:rFonts w:ascii="Arial" w:hAnsi="Arial" w:cs="Arial"/>
          <w:color w:val="auto"/>
        </w:rPr>
        <w:t xml:space="preserve"> and the decommissioning is carried out</w:t>
      </w:r>
      <w:r w:rsidR="006570FF" w:rsidRPr="009A52C5">
        <w:rPr>
          <w:rFonts w:ascii="Arial" w:hAnsi="Arial" w:cs="Arial"/>
          <w:color w:val="auto"/>
        </w:rPr>
        <w:t xml:space="preserve">. </w:t>
      </w:r>
      <w:r w:rsidR="00791E4B" w:rsidRPr="009A52C5">
        <w:rPr>
          <w:rFonts w:ascii="Arial" w:hAnsi="Arial" w:cs="Arial"/>
          <w:color w:val="auto"/>
        </w:rPr>
        <w:t>F</w:t>
      </w:r>
      <w:r w:rsidRPr="009A52C5">
        <w:rPr>
          <w:rFonts w:ascii="Arial" w:hAnsi="Arial" w:cs="Arial"/>
          <w:color w:val="auto"/>
        </w:rPr>
        <w:t xml:space="preserve">or accounting </w:t>
      </w:r>
      <w:proofErr w:type="gramStart"/>
      <w:r w:rsidRPr="009A52C5">
        <w:rPr>
          <w:rFonts w:ascii="Arial" w:hAnsi="Arial" w:cs="Arial"/>
          <w:color w:val="auto"/>
        </w:rPr>
        <w:t>purposes</w:t>
      </w:r>
      <w:proofErr w:type="gramEnd"/>
      <w:r w:rsidRPr="009A52C5">
        <w:rPr>
          <w:rFonts w:ascii="Arial" w:hAnsi="Arial" w:cs="Arial"/>
          <w:color w:val="auto"/>
        </w:rPr>
        <w:t xml:space="preserve"> a company </w:t>
      </w:r>
      <w:r w:rsidR="006570FF" w:rsidRPr="009A52C5">
        <w:rPr>
          <w:rFonts w:ascii="Arial" w:hAnsi="Arial" w:cs="Arial"/>
          <w:color w:val="auto"/>
        </w:rPr>
        <w:t xml:space="preserve">is required to </w:t>
      </w:r>
      <w:r w:rsidRPr="009A52C5">
        <w:rPr>
          <w:rFonts w:ascii="Arial" w:hAnsi="Arial" w:cs="Arial"/>
          <w:color w:val="auto"/>
        </w:rPr>
        <w:t>make an annual provision</w:t>
      </w:r>
      <w:r w:rsidR="00791E4B" w:rsidRPr="009A52C5">
        <w:rPr>
          <w:rFonts w:ascii="Arial" w:hAnsi="Arial" w:cs="Arial"/>
          <w:color w:val="auto"/>
        </w:rPr>
        <w:t>. However</w:t>
      </w:r>
      <w:r w:rsidR="00130C1D">
        <w:rPr>
          <w:rFonts w:ascii="Arial" w:hAnsi="Arial" w:cs="Arial"/>
          <w:color w:val="auto"/>
        </w:rPr>
        <w:t>,</w:t>
      </w:r>
      <w:r w:rsidRPr="009A52C5">
        <w:rPr>
          <w:rFonts w:ascii="Arial" w:hAnsi="Arial" w:cs="Arial"/>
          <w:color w:val="auto"/>
        </w:rPr>
        <w:t xml:space="preserve"> this cannot be deducted for tax purposes as the cash has yet to be spent</w:t>
      </w:r>
      <w:r w:rsidR="00791E4B" w:rsidRPr="009A52C5">
        <w:rPr>
          <w:rFonts w:ascii="Arial" w:hAnsi="Arial" w:cs="Arial"/>
          <w:color w:val="auto"/>
        </w:rPr>
        <w:t xml:space="preserve">, and the decommissioning has </w:t>
      </w:r>
      <w:r w:rsidR="00BC4203" w:rsidRPr="009A52C5">
        <w:rPr>
          <w:rFonts w:ascii="Arial" w:hAnsi="Arial" w:cs="Arial"/>
          <w:color w:val="auto"/>
        </w:rPr>
        <w:t>not actually happened</w:t>
      </w:r>
      <w:r w:rsidRPr="009A52C5">
        <w:rPr>
          <w:rFonts w:ascii="Arial" w:hAnsi="Arial" w:cs="Arial"/>
          <w:color w:val="auto"/>
        </w:rPr>
        <w:t>.</w:t>
      </w:r>
    </w:p>
    <w:p w14:paraId="4DD3A4F1" w14:textId="1B5A9A95" w:rsidR="00243255" w:rsidRPr="009A52C5" w:rsidRDefault="00243255" w:rsidP="00B43A21">
      <w:pPr>
        <w:pStyle w:val="Default"/>
        <w:spacing w:after="180" w:line="276" w:lineRule="auto"/>
        <w:rPr>
          <w:rFonts w:ascii="Arial" w:hAnsi="Arial" w:cs="Arial"/>
          <w:color w:val="auto"/>
        </w:rPr>
      </w:pPr>
      <w:r w:rsidRPr="009A52C5">
        <w:rPr>
          <w:rFonts w:ascii="Arial" w:hAnsi="Arial" w:cs="Arial"/>
          <w:color w:val="auto"/>
        </w:rPr>
        <w:t xml:space="preserve">If decommissioning expenditure produces an overall loss for a year then, as explained above, the loss may be carried back against previous ring fence profits of that company, as far as 2002 for RFCT and SC, and almost indefinitely against field profits for PRT. </w:t>
      </w:r>
      <w:r w:rsidR="00E9577A">
        <w:rPr>
          <w:rFonts w:ascii="Arial" w:hAnsi="Arial" w:cs="Arial"/>
          <w:color w:val="auto"/>
        </w:rPr>
        <w:t>L</w:t>
      </w:r>
      <w:r w:rsidRPr="009A52C5">
        <w:rPr>
          <w:rFonts w:ascii="Arial" w:hAnsi="Arial" w:cs="Arial"/>
          <w:color w:val="auto"/>
        </w:rPr>
        <w:t xml:space="preserve">osses generated by decommissioning costs and carried back to be offset against previous profits </w:t>
      </w:r>
      <w:r w:rsidR="00E9577A">
        <w:rPr>
          <w:rFonts w:ascii="Arial" w:hAnsi="Arial" w:cs="Arial"/>
          <w:color w:val="auto"/>
        </w:rPr>
        <w:t xml:space="preserve">are </w:t>
      </w:r>
      <w:r w:rsidRPr="009A52C5">
        <w:rPr>
          <w:rFonts w:ascii="Arial" w:hAnsi="Arial" w:cs="Arial"/>
          <w:color w:val="auto"/>
        </w:rPr>
        <w:t xml:space="preserve">relieved at </w:t>
      </w:r>
      <w:r w:rsidR="00D51456">
        <w:rPr>
          <w:rFonts w:ascii="Arial" w:hAnsi="Arial" w:cs="Arial"/>
          <w:color w:val="auto"/>
        </w:rPr>
        <w:t xml:space="preserve">the RFCT and SC rates to which those earlier periods </w:t>
      </w:r>
      <w:r w:rsidR="00F9511B">
        <w:rPr>
          <w:rFonts w:ascii="Arial" w:hAnsi="Arial" w:cs="Arial"/>
          <w:color w:val="auto"/>
        </w:rPr>
        <w:t>were subject to</w:t>
      </w:r>
      <w:r w:rsidR="007C3DD3" w:rsidRPr="009A52C5">
        <w:rPr>
          <w:rFonts w:ascii="Arial" w:hAnsi="Arial" w:cs="Arial"/>
          <w:color w:val="auto"/>
        </w:rPr>
        <w:t>.</w:t>
      </w:r>
      <w:r w:rsidRPr="009A52C5">
        <w:rPr>
          <w:rFonts w:ascii="Arial" w:hAnsi="Arial" w:cs="Arial"/>
          <w:color w:val="auto"/>
        </w:rPr>
        <w:t xml:space="preserve"> </w:t>
      </w:r>
      <w:r w:rsidR="00F9511B">
        <w:rPr>
          <w:rFonts w:ascii="Arial" w:hAnsi="Arial" w:cs="Arial"/>
          <w:color w:val="auto"/>
        </w:rPr>
        <w:t>However, SC relief is subject to a further restriction</w:t>
      </w:r>
      <w:r w:rsidR="00EE49C0">
        <w:rPr>
          <w:rFonts w:ascii="Arial" w:hAnsi="Arial" w:cs="Arial"/>
          <w:color w:val="auto"/>
        </w:rPr>
        <w:t>.</w:t>
      </w:r>
      <w:r w:rsidR="0033667D">
        <w:rPr>
          <w:rStyle w:val="FootnoteReference"/>
          <w:rFonts w:ascii="Arial" w:hAnsi="Arial" w:cs="Arial"/>
          <w:color w:val="auto"/>
        </w:rPr>
        <w:footnoteReference w:id="41"/>
      </w:r>
      <w:r w:rsidR="00F9511B">
        <w:rPr>
          <w:rFonts w:ascii="Arial" w:hAnsi="Arial" w:cs="Arial"/>
          <w:color w:val="auto"/>
        </w:rPr>
        <w:t xml:space="preserve">  </w:t>
      </w:r>
      <w:r w:rsidR="007C3DD3" w:rsidRPr="009A52C5">
        <w:rPr>
          <w:rFonts w:ascii="Arial" w:hAnsi="Arial" w:cs="Arial"/>
          <w:color w:val="auto"/>
        </w:rPr>
        <w:t xml:space="preserve">In most cases, the </w:t>
      </w:r>
      <w:r w:rsidR="00F9511B">
        <w:rPr>
          <w:rFonts w:ascii="Arial" w:hAnsi="Arial" w:cs="Arial"/>
          <w:color w:val="auto"/>
        </w:rPr>
        <w:t>maximum</w:t>
      </w:r>
      <w:r w:rsidR="00F9511B" w:rsidRPr="009A52C5">
        <w:rPr>
          <w:rFonts w:ascii="Arial" w:hAnsi="Arial" w:cs="Arial"/>
          <w:color w:val="auto"/>
        </w:rPr>
        <w:t xml:space="preserve"> </w:t>
      </w:r>
      <w:r w:rsidRPr="009A52C5">
        <w:rPr>
          <w:rFonts w:ascii="Arial" w:hAnsi="Arial" w:cs="Arial"/>
          <w:color w:val="auto"/>
        </w:rPr>
        <w:t xml:space="preserve">rate of </w:t>
      </w:r>
      <w:r w:rsidR="007C3DD3" w:rsidRPr="009A52C5">
        <w:rPr>
          <w:rFonts w:ascii="Arial" w:hAnsi="Arial" w:cs="Arial"/>
          <w:color w:val="auto"/>
        </w:rPr>
        <w:t xml:space="preserve">tax </w:t>
      </w:r>
      <w:r w:rsidRPr="009A52C5">
        <w:rPr>
          <w:rFonts w:ascii="Arial" w:hAnsi="Arial" w:cs="Arial"/>
          <w:color w:val="auto"/>
        </w:rPr>
        <w:t>relief for PRT fields is 75%</w:t>
      </w:r>
      <w:r w:rsidR="00F9511B">
        <w:rPr>
          <w:rFonts w:ascii="Arial" w:hAnsi="Arial" w:cs="Arial"/>
          <w:color w:val="auto"/>
        </w:rPr>
        <w:t>, but again is dependent on the prevailing tax rate in the period the losses are carried back to</w:t>
      </w:r>
      <w:r w:rsidRPr="009A52C5">
        <w:rPr>
          <w:rFonts w:ascii="Arial" w:hAnsi="Arial" w:cs="Arial"/>
          <w:color w:val="auto"/>
        </w:rPr>
        <w:t>. The amount of relief available is limited to the taxable profits of the relevant field/company and in economic terms</w:t>
      </w:r>
      <w:r w:rsidR="00550495" w:rsidRPr="009A52C5">
        <w:rPr>
          <w:rFonts w:ascii="Arial" w:hAnsi="Arial" w:cs="Arial"/>
          <w:color w:val="auto"/>
        </w:rPr>
        <w:t>,</w:t>
      </w:r>
      <w:r w:rsidRPr="009A52C5">
        <w:rPr>
          <w:rFonts w:ascii="Arial" w:hAnsi="Arial" w:cs="Arial"/>
          <w:color w:val="auto"/>
        </w:rPr>
        <w:t xml:space="preserve"> represents a repayment of tax that has been overpaid through the profitable life of the company or field.</w:t>
      </w:r>
    </w:p>
    <w:p w14:paraId="4B6B919C" w14:textId="677F254B" w:rsidR="009F6570" w:rsidRPr="009A52C5" w:rsidRDefault="009F6570" w:rsidP="00B43A21">
      <w:pPr>
        <w:pStyle w:val="Default"/>
        <w:spacing w:after="180" w:line="276" w:lineRule="auto"/>
        <w:rPr>
          <w:rFonts w:ascii="Arial" w:hAnsi="Arial" w:cs="Arial"/>
          <w:color w:val="auto"/>
        </w:rPr>
      </w:pPr>
      <w:r w:rsidRPr="009A52C5">
        <w:rPr>
          <w:rFonts w:ascii="Arial" w:hAnsi="Arial" w:cs="Arial"/>
          <w:color w:val="auto"/>
        </w:rPr>
        <w:lastRenderedPageBreak/>
        <w:t>An estimate of the likely cost to the Exchequer, based on current estimates of decommissioning costs</w:t>
      </w:r>
      <w:r w:rsidR="001677B2">
        <w:rPr>
          <w:rFonts w:ascii="Arial" w:hAnsi="Arial" w:cs="Arial"/>
          <w:color w:val="auto"/>
        </w:rPr>
        <w:t>,</w:t>
      </w:r>
      <w:r w:rsidRPr="009A52C5">
        <w:rPr>
          <w:rFonts w:ascii="Arial" w:hAnsi="Arial" w:cs="Arial"/>
          <w:color w:val="auto"/>
        </w:rPr>
        <w:t xml:space="preserve"> is £</w:t>
      </w:r>
      <w:r w:rsidR="005107E8">
        <w:rPr>
          <w:rFonts w:ascii="Arial" w:hAnsi="Arial" w:cs="Arial"/>
          <w:color w:val="auto"/>
        </w:rPr>
        <w:t>16.8</w:t>
      </w:r>
      <w:r w:rsidRPr="009A52C5">
        <w:rPr>
          <w:rFonts w:ascii="Arial" w:hAnsi="Arial" w:cs="Arial"/>
          <w:color w:val="auto"/>
        </w:rPr>
        <w:t xml:space="preserve"> billion.</w:t>
      </w:r>
      <w:r w:rsidRPr="009A52C5">
        <w:rPr>
          <w:rStyle w:val="FootnoteReference"/>
          <w:rFonts w:ascii="Arial" w:hAnsi="Arial" w:cs="Arial"/>
          <w:color w:val="auto"/>
        </w:rPr>
        <w:footnoteReference w:id="42"/>
      </w:r>
    </w:p>
    <w:p w14:paraId="78BDE243" w14:textId="77777777" w:rsidR="00243255" w:rsidRPr="009A52C5" w:rsidRDefault="00243255" w:rsidP="00BC7065">
      <w:pPr>
        <w:pStyle w:val="Default"/>
        <w:keepNext/>
        <w:spacing w:line="276" w:lineRule="auto"/>
        <w:outlineLvl w:val="0"/>
        <w:rPr>
          <w:rFonts w:ascii="Arial" w:hAnsi="Arial" w:cs="Arial"/>
          <w:b/>
          <w:bCs/>
          <w:color w:val="auto"/>
        </w:rPr>
      </w:pPr>
      <w:r w:rsidRPr="009A52C5">
        <w:rPr>
          <w:rFonts w:ascii="Arial" w:hAnsi="Arial" w:cs="Arial"/>
          <w:b/>
          <w:bCs/>
          <w:color w:val="auto"/>
        </w:rPr>
        <w:t>Decommissioning Relief Deeds (DRDs)</w:t>
      </w:r>
    </w:p>
    <w:p w14:paraId="279E2751" w14:textId="7DE900CB" w:rsidR="00243255" w:rsidRPr="009A52C5" w:rsidRDefault="00243255" w:rsidP="000A2950">
      <w:pPr>
        <w:pStyle w:val="Default"/>
        <w:spacing w:after="180" w:line="276" w:lineRule="auto"/>
        <w:rPr>
          <w:rFonts w:ascii="Arial" w:hAnsi="Arial" w:cs="Arial"/>
          <w:color w:val="auto"/>
        </w:rPr>
      </w:pPr>
      <w:r w:rsidRPr="009A52C5">
        <w:rPr>
          <w:rFonts w:ascii="Arial" w:hAnsi="Arial" w:cs="Arial"/>
          <w:color w:val="auto"/>
        </w:rPr>
        <w:t>In 2013</w:t>
      </w:r>
      <w:r w:rsidR="00E008A6" w:rsidRPr="009A52C5">
        <w:rPr>
          <w:rFonts w:ascii="Arial" w:hAnsi="Arial" w:cs="Arial"/>
          <w:color w:val="auto"/>
        </w:rPr>
        <w:t>,</w:t>
      </w:r>
      <w:r w:rsidRPr="009A52C5">
        <w:rPr>
          <w:rFonts w:ascii="Arial" w:hAnsi="Arial" w:cs="Arial"/>
          <w:color w:val="auto"/>
        </w:rPr>
        <w:t xml:space="preserve"> </w:t>
      </w:r>
      <w:r w:rsidR="00955C26" w:rsidRPr="009A52C5">
        <w:rPr>
          <w:rFonts w:ascii="Arial" w:hAnsi="Arial" w:cs="Arial"/>
          <w:color w:val="auto"/>
        </w:rPr>
        <w:t xml:space="preserve">following </w:t>
      </w:r>
      <w:r w:rsidR="003D26C2" w:rsidRPr="009A52C5">
        <w:rPr>
          <w:rFonts w:ascii="Arial" w:hAnsi="Arial" w:cs="Arial"/>
          <w:color w:val="auto"/>
        </w:rPr>
        <w:t>extensive</w:t>
      </w:r>
      <w:r w:rsidR="00955C26" w:rsidRPr="009A52C5">
        <w:rPr>
          <w:rFonts w:ascii="Arial" w:hAnsi="Arial" w:cs="Arial"/>
          <w:color w:val="auto"/>
        </w:rPr>
        <w:t xml:space="preserve"> discussions with industry, </w:t>
      </w:r>
      <w:r w:rsidRPr="009A52C5">
        <w:rPr>
          <w:rFonts w:ascii="Arial" w:hAnsi="Arial" w:cs="Arial"/>
          <w:color w:val="auto"/>
        </w:rPr>
        <w:t xml:space="preserve">the </w:t>
      </w:r>
      <w:r w:rsidR="00A826CE">
        <w:rPr>
          <w:rFonts w:ascii="Arial" w:hAnsi="Arial" w:cs="Arial"/>
          <w:color w:val="auto"/>
        </w:rPr>
        <w:t>G</w:t>
      </w:r>
      <w:r w:rsidRPr="009A52C5">
        <w:rPr>
          <w:rFonts w:ascii="Arial" w:hAnsi="Arial" w:cs="Arial"/>
          <w:color w:val="auto"/>
        </w:rPr>
        <w:t xml:space="preserve">overnment introduced legislation giving it the statutory authority to sign contracts (DRDs) with companies operating in the UKCS. The aim of the DRD is to provide certainty over </w:t>
      </w:r>
      <w:r w:rsidR="00E008A6" w:rsidRPr="009A52C5">
        <w:rPr>
          <w:rFonts w:ascii="Arial" w:hAnsi="Arial" w:cs="Arial"/>
          <w:color w:val="auto"/>
        </w:rPr>
        <w:t xml:space="preserve">the availability of </w:t>
      </w:r>
      <w:r w:rsidRPr="009A52C5">
        <w:rPr>
          <w:rFonts w:ascii="Arial" w:hAnsi="Arial" w:cs="Arial"/>
          <w:color w:val="auto"/>
        </w:rPr>
        <w:t>decommissioning tax relief</w:t>
      </w:r>
      <w:r w:rsidR="006570FF" w:rsidRPr="009A52C5">
        <w:rPr>
          <w:rFonts w:ascii="Arial" w:hAnsi="Arial" w:cs="Arial"/>
          <w:color w:val="auto"/>
        </w:rPr>
        <w:t xml:space="preserve"> for the purposes of putting up security against the risk of default.</w:t>
      </w:r>
    </w:p>
    <w:p w14:paraId="79571561" w14:textId="13C69B6B" w:rsidR="00243255" w:rsidRPr="009A52C5" w:rsidRDefault="00243255" w:rsidP="000A2950">
      <w:pPr>
        <w:pStyle w:val="Default"/>
        <w:spacing w:after="180" w:line="276" w:lineRule="auto"/>
        <w:rPr>
          <w:rFonts w:ascii="Arial" w:hAnsi="Arial" w:cs="Arial"/>
          <w:color w:val="auto"/>
        </w:rPr>
      </w:pPr>
      <w:r w:rsidRPr="009A52C5">
        <w:rPr>
          <w:rFonts w:ascii="Arial" w:hAnsi="Arial" w:cs="Arial"/>
          <w:color w:val="auto"/>
        </w:rPr>
        <w:t>The DRD works by guaranteeing the tax relief due on decommissioning expenditure, based on the relief available at Finance Act 2013</w:t>
      </w:r>
      <w:r w:rsidR="00371023" w:rsidRPr="009A52C5">
        <w:rPr>
          <w:rFonts w:ascii="Arial" w:hAnsi="Arial" w:cs="Arial"/>
          <w:color w:val="auto"/>
        </w:rPr>
        <w:t xml:space="preserve"> (FA13)</w:t>
      </w:r>
      <w:r w:rsidRPr="009A52C5">
        <w:rPr>
          <w:rFonts w:ascii="Arial" w:hAnsi="Arial" w:cs="Arial"/>
          <w:color w:val="auto"/>
        </w:rPr>
        <w:t xml:space="preserve">. It </w:t>
      </w:r>
      <w:r w:rsidR="00B85D04" w:rsidRPr="009A52C5">
        <w:rPr>
          <w:rFonts w:ascii="Arial" w:hAnsi="Arial" w:cs="Arial"/>
          <w:color w:val="auto"/>
        </w:rPr>
        <w:t xml:space="preserve">allows </w:t>
      </w:r>
      <w:r w:rsidRPr="009A52C5">
        <w:rPr>
          <w:rFonts w:ascii="Arial" w:hAnsi="Arial" w:cs="Arial"/>
          <w:color w:val="auto"/>
        </w:rPr>
        <w:t>a</w:t>
      </w:r>
      <w:r w:rsidR="00B85D04" w:rsidRPr="009A52C5">
        <w:rPr>
          <w:rFonts w:ascii="Arial" w:hAnsi="Arial" w:cs="Arial"/>
          <w:color w:val="auto"/>
        </w:rPr>
        <w:t xml:space="preserve"> company to claim a</w:t>
      </w:r>
      <w:r w:rsidRPr="009A52C5">
        <w:rPr>
          <w:rFonts w:ascii="Arial" w:hAnsi="Arial" w:cs="Arial"/>
          <w:color w:val="auto"/>
        </w:rPr>
        <w:t xml:space="preserve"> payment from the Exchequer</w:t>
      </w:r>
      <w:r w:rsidR="00371023" w:rsidRPr="009A52C5">
        <w:rPr>
          <w:rFonts w:ascii="Arial" w:hAnsi="Arial" w:cs="Arial"/>
          <w:color w:val="auto"/>
        </w:rPr>
        <w:t xml:space="preserve"> if</w:t>
      </w:r>
      <w:r w:rsidR="002E2753" w:rsidRPr="009A52C5">
        <w:rPr>
          <w:rFonts w:ascii="Arial" w:hAnsi="Arial" w:cs="Arial"/>
          <w:color w:val="auto"/>
        </w:rPr>
        <w:t xml:space="preserve">, as a result of </w:t>
      </w:r>
      <w:r w:rsidRPr="009A52C5">
        <w:rPr>
          <w:rFonts w:ascii="Arial" w:hAnsi="Arial" w:cs="Arial"/>
          <w:color w:val="auto"/>
        </w:rPr>
        <w:t xml:space="preserve">changes to the tax </w:t>
      </w:r>
      <w:r w:rsidR="002E2753" w:rsidRPr="009A52C5">
        <w:rPr>
          <w:rFonts w:ascii="Arial" w:hAnsi="Arial" w:cs="Arial"/>
          <w:color w:val="auto"/>
        </w:rPr>
        <w:t xml:space="preserve">system, the </w:t>
      </w:r>
      <w:r w:rsidRPr="009A52C5">
        <w:rPr>
          <w:rFonts w:ascii="Arial" w:hAnsi="Arial" w:cs="Arial"/>
          <w:color w:val="auto"/>
        </w:rPr>
        <w:t>relief available</w:t>
      </w:r>
      <w:r w:rsidR="002E2753" w:rsidRPr="009A52C5">
        <w:rPr>
          <w:rFonts w:ascii="Arial" w:hAnsi="Arial" w:cs="Arial"/>
          <w:color w:val="auto"/>
        </w:rPr>
        <w:t xml:space="preserve"> to the company on its</w:t>
      </w:r>
      <w:r w:rsidRPr="009A52C5">
        <w:rPr>
          <w:rFonts w:ascii="Arial" w:hAnsi="Arial" w:cs="Arial"/>
          <w:color w:val="auto"/>
        </w:rPr>
        <w:t xml:space="preserve"> decommissioning expenditure</w:t>
      </w:r>
      <w:r w:rsidR="002E2753" w:rsidRPr="009A52C5">
        <w:rPr>
          <w:rFonts w:ascii="Arial" w:hAnsi="Arial" w:cs="Arial"/>
          <w:color w:val="auto"/>
        </w:rPr>
        <w:t xml:space="preserve"> is less than that which would have been due </w:t>
      </w:r>
      <w:r w:rsidR="00D202DC" w:rsidRPr="009A52C5">
        <w:rPr>
          <w:rFonts w:ascii="Arial" w:hAnsi="Arial" w:cs="Arial"/>
          <w:color w:val="auto"/>
        </w:rPr>
        <w:t xml:space="preserve">under the rules as </w:t>
      </w:r>
      <w:r w:rsidR="002E2753" w:rsidRPr="009A52C5">
        <w:rPr>
          <w:rFonts w:ascii="Arial" w:hAnsi="Arial" w:cs="Arial"/>
          <w:color w:val="auto"/>
        </w:rPr>
        <w:t>at FA13</w:t>
      </w:r>
      <w:r w:rsidRPr="009A52C5">
        <w:rPr>
          <w:rFonts w:ascii="Arial" w:hAnsi="Arial" w:cs="Arial"/>
          <w:color w:val="auto"/>
        </w:rPr>
        <w:t xml:space="preserve"> (</w:t>
      </w:r>
      <w:r w:rsidR="007434BC">
        <w:rPr>
          <w:rFonts w:ascii="Arial" w:hAnsi="Arial" w:cs="Arial"/>
          <w:color w:val="auto"/>
        </w:rPr>
        <w:t>h</w:t>
      </w:r>
      <w:r w:rsidR="002E2753" w:rsidRPr="009A52C5">
        <w:rPr>
          <w:rFonts w:ascii="Arial" w:hAnsi="Arial" w:cs="Arial"/>
          <w:color w:val="auto"/>
        </w:rPr>
        <w:t xml:space="preserve">owever, this does not apply if the relief is less </w:t>
      </w:r>
      <w:r w:rsidRPr="009A52C5">
        <w:rPr>
          <w:rFonts w:ascii="Arial" w:hAnsi="Arial" w:cs="Arial"/>
          <w:color w:val="auto"/>
        </w:rPr>
        <w:t>due to changes in tax rates</w:t>
      </w:r>
      <w:r w:rsidR="00371023" w:rsidRPr="009A52C5">
        <w:rPr>
          <w:rFonts w:ascii="Arial" w:hAnsi="Arial" w:cs="Arial"/>
          <w:color w:val="auto"/>
        </w:rPr>
        <w:t>.</w:t>
      </w:r>
      <w:r w:rsidRPr="009A52C5">
        <w:rPr>
          <w:rFonts w:ascii="Arial" w:hAnsi="Arial" w:cs="Arial"/>
          <w:color w:val="auto"/>
        </w:rPr>
        <w:t>) The DRD will also pay out to a company that picks up the decommissioning liabilities of another company that has defaulted under its Petroleum Act 1988 obligations</w:t>
      </w:r>
      <w:r w:rsidR="00D202DC" w:rsidRPr="009A52C5">
        <w:rPr>
          <w:rFonts w:ascii="Arial" w:hAnsi="Arial" w:cs="Arial"/>
          <w:color w:val="auto"/>
        </w:rPr>
        <w:t xml:space="preserve"> –</w:t>
      </w:r>
      <w:r w:rsidR="008F37BC" w:rsidRPr="009A52C5">
        <w:rPr>
          <w:rFonts w:ascii="Arial" w:hAnsi="Arial" w:cs="Arial"/>
          <w:color w:val="auto"/>
        </w:rPr>
        <w:t xml:space="preserve"> for example if the company becomes insolvent</w:t>
      </w:r>
      <w:r w:rsidRPr="009A52C5">
        <w:rPr>
          <w:rFonts w:ascii="Arial" w:hAnsi="Arial" w:cs="Arial"/>
          <w:color w:val="auto"/>
        </w:rPr>
        <w:t xml:space="preserve"> </w:t>
      </w:r>
      <w:r w:rsidR="00D202DC" w:rsidRPr="009A52C5">
        <w:rPr>
          <w:rFonts w:ascii="Arial" w:hAnsi="Arial" w:cs="Arial"/>
          <w:color w:val="auto"/>
        </w:rPr>
        <w:t xml:space="preserve">– </w:t>
      </w:r>
      <w:r w:rsidRPr="009A52C5">
        <w:rPr>
          <w:rFonts w:ascii="Arial" w:hAnsi="Arial" w:cs="Arial"/>
          <w:color w:val="auto"/>
        </w:rPr>
        <w:t xml:space="preserve">to ensure </w:t>
      </w:r>
      <w:r w:rsidR="00D202DC" w:rsidRPr="009A52C5">
        <w:rPr>
          <w:rFonts w:ascii="Arial" w:hAnsi="Arial" w:cs="Arial"/>
          <w:color w:val="auto"/>
        </w:rPr>
        <w:t xml:space="preserve">that </w:t>
      </w:r>
      <w:r w:rsidRPr="009A52C5">
        <w:rPr>
          <w:rFonts w:ascii="Arial" w:hAnsi="Arial" w:cs="Arial"/>
          <w:color w:val="auto"/>
        </w:rPr>
        <w:t xml:space="preserve">the company incurring the default expenditure is able to get relief. This provides industry with certainty over the availability of decommissioning tax relief in future years and has unlocked additional </w:t>
      </w:r>
      <w:r w:rsidR="00B43A21" w:rsidRPr="009A52C5">
        <w:rPr>
          <w:rFonts w:ascii="Arial" w:hAnsi="Arial" w:cs="Arial"/>
          <w:color w:val="auto"/>
        </w:rPr>
        <w:t>investment capital in the UKCS</w:t>
      </w:r>
      <w:r w:rsidR="008F37BC" w:rsidRPr="009A52C5">
        <w:rPr>
          <w:rFonts w:ascii="Arial" w:hAnsi="Arial" w:cs="Arial"/>
          <w:color w:val="auto"/>
        </w:rPr>
        <w:t xml:space="preserve"> by allowing companies to provide </w:t>
      </w:r>
      <w:r w:rsidR="002D47B9" w:rsidRPr="009A52C5">
        <w:rPr>
          <w:rFonts w:ascii="Arial" w:hAnsi="Arial" w:cs="Arial"/>
          <w:color w:val="auto"/>
        </w:rPr>
        <w:t xml:space="preserve">security </w:t>
      </w:r>
      <w:r w:rsidR="008F37BC" w:rsidRPr="009A52C5">
        <w:rPr>
          <w:rFonts w:ascii="Arial" w:hAnsi="Arial" w:cs="Arial"/>
          <w:color w:val="auto"/>
        </w:rPr>
        <w:t>for their decommissioning liabilities on a post-tax basis</w:t>
      </w:r>
      <w:r w:rsidR="00B43A21" w:rsidRPr="009A52C5">
        <w:rPr>
          <w:rFonts w:ascii="Arial" w:hAnsi="Arial" w:cs="Arial"/>
          <w:color w:val="auto"/>
        </w:rPr>
        <w:t>.</w:t>
      </w:r>
    </w:p>
    <w:p w14:paraId="1CDC2AF8" w14:textId="4DEFAC33" w:rsidR="008F37BC" w:rsidRPr="009A52C5" w:rsidRDefault="002D47B9" w:rsidP="00B43A21">
      <w:pPr>
        <w:pStyle w:val="Default"/>
        <w:spacing w:after="180" w:line="276" w:lineRule="auto"/>
        <w:rPr>
          <w:rFonts w:ascii="Arial" w:hAnsi="Arial" w:cs="Arial"/>
          <w:color w:val="auto"/>
        </w:rPr>
      </w:pPr>
      <w:r w:rsidRPr="009A52C5">
        <w:rPr>
          <w:rFonts w:ascii="Arial" w:hAnsi="Arial" w:cs="Arial"/>
          <w:color w:val="auto"/>
        </w:rPr>
        <w:t xml:space="preserve">Each </w:t>
      </w:r>
      <w:r w:rsidR="008F37BC" w:rsidRPr="009A52C5">
        <w:rPr>
          <w:rFonts w:ascii="Arial" w:hAnsi="Arial" w:cs="Arial"/>
          <w:color w:val="auto"/>
        </w:rPr>
        <w:t xml:space="preserve">year the Treasury reports to Parliament the number of </w:t>
      </w:r>
      <w:r w:rsidRPr="009A52C5">
        <w:rPr>
          <w:rFonts w:ascii="Arial" w:hAnsi="Arial" w:cs="Arial"/>
          <w:color w:val="auto"/>
        </w:rPr>
        <w:t xml:space="preserve">Deeds </w:t>
      </w:r>
      <w:r w:rsidR="008F37BC" w:rsidRPr="009A52C5">
        <w:rPr>
          <w:rFonts w:ascii="Arial" w:hAnsi="Arial" w:cs="Arial"/>
          <w:color w:val="auto"/>
        </w:rPr>
        <w:t xml:space="preserve">it has entered into that year, the total number of DRDs in force, the number </w:t>
      </w:r>
      <w:r w:rsidR="00277187" w:rsidRPr="009A52C5">
        <w:rPr>
          <w:rFonts w:ascii="Arial" w:hAnsi="Arial" w:cs="Arial"/>
          <w:color w:val="auto"/>
        </w:rPr>
        <w:t xml:space="preserve">and amounts </w:t>
      </w:r>
      <w:r w:rsidRPr="009A52C5">
        <w:rPr>
          <w:rFonts w:ascii="Arial" w:hAnsi="Arial" w:cs="Arial"/>
          <w:color w:val="auto"/>
        </w:rPr>
        <w:t xml:space="preserve">of any payments </w:t>
      </w:r>
      <w:r w:rsidR="00277187" w:rsidRPr="009A52C5">
        <w:rPr>
          <w:rFonts w:ascii="Arial" w:hAnsi="Arial" w:cs="Arial"/>
          <w:color w:val="auto"/>
        </w:rPr>
        <w:t>made</w:t>
      </w:r>
      <w:r w:rsidRPr="009A52C5">
        <w:rPr>
          <w:rFonts w:ascii="Arial" w:hAnsi="Arial" w:cs="Arial"/>
          <w:color w:val="auto"/>
        </w:rPr>
        <w:t xml:space="preserve"> under the Deeds</w:t>
      </w:r>
      <w:r w:rsidR="00277187" w:rsidRPr="009A52C5">
        <w:rPr>
          <w:rFonts w:ascii="Arial" w:hAnsi="Arial" w:cs="Arial"/>
          <w:color w:val="auto"/>
        </w:rPr>
        <w:t xml:space="preserve"> and an estimate of the maximum amount liable to be paid</w:t>
      </w:r>
      <w:r w:rsidR="00D11E74">
        <w:rPr>
          <w:rFonts w:ascii="Arial" w:hAnsi="Arial" w:cs="Arial"/>
          <w:color w:val="auto"/>
        </w:rPr>
        <w:t>.</w:t>
      </w:r>
      <w:r w:rsidR="003E506E" w:rsidRPr="009A52C5">
        <w:rPr>
          <w:rStyle w:val="FootnoteReference"/>
          <w:rFonts w:ascii="Arial" w:hAnsi="Arial" w:cs="Arial"/>
          <w:color w:val="auto"/>
        </w:rPr>
        <w:footnoteReference w:id="43"/>
      </w:r>
    </w:p>
    <w:p w14:paraId="4D909FE5" w14:textId="77777777" w:rsidR="00757319" w:rsidRDefault="00243255" w:rsidP="00BC7065">
      <w:pPr>
        <w:pStyle w:val="Default"/>
        <w:keepNext/>
        <w:spacing w:line="276" w:lineRule="auto"/>
        <w:outlineLvl w:val="0"/>
        <w:rPr>
          <w:rFonts w:ascii="Arial" w:hAnsi="Arial" w:cs="Arial"/>
          <w:b/>
          <w:bCs/>
          <w:color w:val="auto"/>
        </w:rPr>
      </w:pPr>
      <w:r w:rsidRPr="009A52C5">
        <w:rPr>
          <w:rFonts w:ascii="Arial" w:hAnsi="Arial" w:cs="Arial"/>
          <w:b/>
          <w:bCs/>
          <w:color w:val="auto"/>
        </w:rPr>
        <w:t xml:space="preserve">Looking </w:t>
      </w:r>
      <w:r w:rsidR="006C752F" w:rsidRPr="009A52C5">
        <w:rPr>
          <w:rFonts w:ascii="Arial" w:hAnsi="Arial" w:cs="Arial"/>
          <w:b/>
          <w:bCs/>
          <w:color w:val="auto"/>
        </w:rPr>
        <w:t>ahead</w:t>
      </w:r>
    </w:p>
    <w:p w14:paraId="19160BF0" w14:textId="4545244C" w:rsidR="00293D7A" w:rsidRDefault="002918D9" w:rsidP="00867B96">
      <w:pPr>
        <w:pStyle w:val="Default"/>
        <w:keepNext/>
        <w:spacing w:line="276" w:lineRule="auto"/>
        <w:outlineLvl w:val="0"/>
        <w:rPr>
          <w:rFonts w:ascii="Arial" w:hAnsi="Arial" w:cs="Arial"/>
          <w:color w:val="auto"/>
        </w:rPr>
      </w:pPr>
      <w:r>
        <w:rPr>
          <w:rFonts w:ascii="Arial" w:hAnsi="Arial" w:cs="Arial"/>
          <w:color w:val="auto"/>
        </w:rPr>
        <w:t>T</w:t>
      </w:r>
      <w:r w:rsidR="00293D7A" w:rsidRPr="00293D7A">
        <w:rPr>
          <w:rFonts w:ascii="Arial" w:hAnsi="Arial" w:cs="Arial"/>
          <w:color w:val="auto"/>
        </w:rPr>
        <w:t>he</w:t>
      </w:r>
      <w:r w:rsidR="00293D7A">
        <w:rPr>
          <w:rFonts w:ascii="Arial" w:hAnsi="Arial" w:cs="Arial"/>
          <w:color w:val="auto"/>
        </w:rPr>
        <w:t xml:space="preserve"> UK</w:t>
      </w:r>
      <w:r w:rsidR="00293D7A" w:rsidRPr="00293D7A">
        <w:rPr>
          <w:rFonts w:ascii="Arial" w:hAnsi="Arial" w:cs="Arial"/>
          <w:color w:val="auto"/>
        </w:rPr>
        <w:t xml:space="preserve"> Government is committed to having a</w:t>
      </w:r>
      <w:r w:rsidR="00293D7A">
        <w:rPr>
          <w:rFonts w:ascii="Arial" w:hAnsi="Arial" w:cs="Arial"/>
          <w:color w:val="auto"/>
        </w:rPr>
        <w:t>n oil and gas</w:t>
      </w:r>
      <w:r w:rsidR="00293D7A" w:rsidRPr="00293D7A">
        <w:rPr>
          <w:rFonts w:ascii="Arial" w:hAnsi="Arial" w:cs="Arial"/>
          <w:color w:val="auto"/>
        </w:rPr>
        <w:t xml:space="preserve"> tax regime that is internationally competitive in order to encourage investment in the UK, while at the same time ensuring a fair return for the nation.</w:t>
      </w:r>
    </w:p>
    <w:p w14:paraId="0FDCA084" w14:textId="77777777" w:rsidR="007C336A" w:rsidRDefault="007C336A" w:rsidP="00867B96">
      <w:pPr>
        <w:pStyle w:val="Default"/>
        <w:keepNext/>
        <w:spacing w:line="276" w:lineRule="auto"/>
        <w:outlineLvl w:val="0"/>
        <w:rPr>
          <w:rFonts w:ascii="Arial" w:hAnsi="Arial" w:cs="Arial"/>
          <w:color w:val="auto"/>
        </w:rPr>
      </w:pPr>
    </w:p>
    <w:p w14:paraId="75ACB721" w14:textId="53E54DBE" w:rsidR="00867B96" w:rsidRDefault="00757319" w:rsidP="00867B96">
      <w:pPr>
        <w:pStyle w:val="Default"/>
        <w:keepNext/>
        <w:spacing w:line="276" w:lineRule="auto"/>
        <w:outlineLvl w:val="0"/>
        <w:rPr>
          <w:rFonts w:ascii="Arial" w:hAnsi="Arial" w:cs="Arial"/>
          <w:color w:val="auto"/>
        </w:rPr>
      </w:pPr>
      <w:r w:rsidRPr="00757319">
        <w:rPr>
          <w:rFonts w:ascii="Arial" w:hAnsi="Arial" w:cs="Arial"/>
          <w:color w:val="auto"/>
        </w:rPr>
        <w:t>Finance Act 2019 introduced Transferable Tax History</w:t>
      </w:r>
      <w:r w:rsidR="00867B96">
        <w:rPr>
          <w:rFonts w:ascii="Arial" w:hAnsi="Arial" w:cs="Arial"/>
          <w:color w:val="auto"/>
        </w:rPr>
        <w:t xml:space="preserve"> (TTH)</w:t>
      </w:r>
      <w:r w:rsidRPr="00757319">
        <w:rPr>
          <w:rFonts w:ascii="Arial" w:hAnsi="Arial" w:cs="Arial"/>
          <w:color w:val="auto"/>
        </w:rPr>
        <w:t xml:space="preserve">, which is designed to incentivise new investment and activity in the </w:t>
      </w:r>
      <w:r w:rsidR="00E54654">
        <w:rPr>
          <w:rFonts w:ascii="Arial" w:hAnsi="Arial" w:cs="Arial"/>
          <w:color w:val="auto"/>
        </w:rPr>
        <w:t>UKCS</w:t>
      </w:r>
      <w:r w:rsidRPr="00757319">
        <w:rPr>
          <w:rFonts w:ascii="Arial" w:hAnsi="Arial" w:cs="Arial"/>
          <w:color w:val="auto"/>
        </w:rPr>
        <w:t xml:space="preserve"> as it matures.</w:t>
      </w:r>
      <w:r w:rsidR="00867B96">
        <w:rPr>
          <w:rFonts w:ascii="Arial" w:hAnsi="Arial" w:cs="Arial"/>
          <w:color w:val="auto"/>
        </w:rPr>
        <w:t xml:space="preserve"> TTH</w:t>
      </w:r>
      <w:r w:rsidR="00867B96" w:rsidRPr="00867B96">
        <w:rPr>
          <w:rFonts w:ascii="Arial" w:hAnsi="Arial" w:cs="Arial"/>
          <w:color w:val="auto"/>
        </w:rPr>
        <w:t xml:space="preserve"> allow</w:t>
      </w:r>
      <w:r w:rsidR="0052171F">
        <w:rPr>
          <w:rFonts w:ascii="Arial" w:hAnsi="Arial" w:cs="Arial"/>
          <w:color w:val="auto"/>
        </w:rPr>
        <w:t>s</w:t>
      </w:r>
      <w:r w:rsidR="00867B96" w:rsidRPr="00867B96">
        <w:rPr>
          <w:rFonts w:ascii="Arial" w:hAnsi="Arial" w:cs="Arial"/>
          <w:color w:val="auto"/>
        </w:rPr>
        <w:t xml:space="preserve"> companies selling </w:t>
      </w:r>
      <w:r w:rsidR="00E54654">
        <w:rPr>
          <w:rFonts w:ascii="Arial" w:hAnsi="Arial" w:cs="Arial"/>
          <w:color w:val="auto"/>
        </w:rPr>
        <w:t>UKCS</w:t>
      </w:r>
      <w:r w:rsidR="00867B96" w:rsidRPr="00867B96">
        <w:rPr>
          <w:rFonts w:ascii="Arial" w:hAnsi="Arial" w:cs="Arial"/>
          <w:color w:val="auto"/>
        </w:rPr>
        <w:t xml:space="preserve"> oil and gas fields to transfer some of their tax payment </w:t>
      </w:r>
      <w:r w:rsidR="00867B96" w:rsidRPr="00867B96">
        <w:rPr>
          <w:rFonts w:ascii="Arial" w:hAnsi="Arial" w:cs="Arial"/>
          <w:color w:val="auto"/>
        </w:rPr>
        <w:lastRenderedPageBreak/>
        <w:t xml:space="preserve">history to the buyers of those fields. The buyers </w:t>
      </w:r>
      <w:r w:rsidR="0052171F">
        <w:rPr>
          <w:rFonts w:ascii="Arial" w:hAnsi="Arial" w:cs="Arial"/>
          <w:color w:val="auto"/>
        </w:rPr>
        <w:t>are then</w:t>
      </w:r>
      <w:r w:rsidR="00867B96" w:rsidRPr="00867B96">
        <w:rPr>
          <w:rFonts w:ascii="Arial" w:hAnsi="Arial" w:cs="Arial"/>
          <w:color w:val="auto"/>
        </w:rPr>
        <w:t xml:space="preserve"> able to set the costs of decommissioning the fields at the end of their lives against the TTH.</w:t>
      </w:r>
    </w:p>
    <w:p w14:paraId="0C756D0D" w14:textId="77777777" w:rsidR="008D5DC5" w:rsidRPr="00867B96" w:rsidRDefault="008D5DC5" w:rsidP="00867B96">
      <w:pPr>
        <w:pStyle w:val="Default"/>
        <w:keepNext/>
        <w:spacing w:line="276" w:lineRule="auto"/>
        <w:outlineLvl w:val="0"/>
        <w:rPr>
          <w:rFonts w:ascii="Arial" w:hAnsi="Arial" w:cs="Arial"/>
          <w:color w:val="auto"/>
        </w:rPr>
      </w:pPr>
    </w:p>
    <w:p w14:paraId="456921F8" w14:textId="337ADC13" w:rsidR="00243255" w:rsidRPr="009A52C5" w:rsidRDefault="00867B96" w:rsidP="00867B96">
      <w:pPr>
        <w:pStyle w:val="Default"/>
        <w:keepNext/>
        <w:spacing w:line="276" w:lineRule="auto"/>
        <w:outlineLvl w:val="0"/>
        <w:rPr>
          <w:rFonts w:ascii="Arial" w:hAnsi="Arial" w:cs="Arial"/>
          <w:color w:val="auto"/>
        </w:rPr>
      </w:pPr>
      <w:r w:rsidRPr="00867B96">
        <w:rPr>
          <w:rFonts w:ascii="Arial" w:hAnsi="Arial" w:cs="Arial"/>
          <w:color w:val="auto"/>
        </w:rPr>
        <w:t>This level</w:t>
      </w:r>
      <w:r w:rsidR="0052171F">
        <w:rPr>
          <w:rFonts w:ascii="Arial" w:hAnsi="Arial" w:cs="Arial"/>
          <w:color w:val="auto"/>
        </w:rPr>
        <w:t>s</w:t>
      </w:r>
      <w:r w:rsidRPr="00867B96">
        <w:rPr>
          <w:rFonts w:ascii="Arial" w:hAnsi="Arial" w:cs="Arial"/>
          <w:color w:val="auto"/>
        </w:rPr>
        <w:t xml:space="preserve"> the playing field between buyers and sellers of oil and gas fields, providing new investors in the UK Continental Shelf with certainty on the tax relief available for the decommissioning costs.</w:t>
      </w:r>
    </w:p>
    <w:p w14:paraId="0FE4474B" w14:textId="77777777" w:rsidR="000932E4" w:rsidRPr="0059555C" w:rsidRDefault="00C2480F" w:rsidP="00E0694A">
      <w:pPr>
        <w:pStyle w:val="Heading2"/>
        <w:keepLines w:val="0"/>
        <w:numPr>
          <w:ilvl w:val="1"/>
          <w:numId w:val="43"/>
        </w:numPr>
        <w:shd w:val="clear" w:color="auto" w:fill="BFBFBF"/>
        <w:tabs>
          <w:tab w:val="clear" w:pos="567"/>
        </w:tabs>
        <w:spacing w:after="180" w:line="276" w:lineRule="auto"/>
        <w:ind w:left="567" w:hanging="567"/>
        <w:rPr>
          <w:szCs w:val="24"/>
        </w:rPr>
      </w:pPr>
      <w:r w:rsidRPr="0059555C">
        <w:rPr>
          <w:rFonts w:cs="Arial"/>
          <w:szCs w:val="24"/>
        </w:rPr>
        <w:t>The OGA Levy</w:t>
      </w:r>
    </w:p>
    <w:p w14:paraId="438FCBAF" w14:textId="4470CDAF" w:rsidR="00D06FA4" w:rsidRPr="00906EBE" w:rsidRDefault="00D06FA4" w:rsidP="000A2950">
      <w:pPr>
        <w:pStyle w:val="Default"/>
        <w:spacing w:after="180" w:line="276" w:lineRule="auto"/>
        <w:rPr>
          <w:rFonts w:ascii="Arial" w:hAnsi="Arial" w:cs="Arial"/>
        </w:rPr>
      </w:pPr>
      <w:r w:rsidRPr="00906EBE">
        <w:rPr>
          <w:rFonts w:ascii="Arial" w:hAnsi="Arial" w:cs="Arial"/>
        </w:rPr>
        <w:t xml:space="preserve">The OGA </w:t>
      </w:r>
      <w:r w:rsidR="00D11E74">
        <w:rPr>
          <w:rFonts w:ascii="Arial" w:hAnsi="Arial" w:cs="Arial"/>
        </w:rPr>
        <w:t xml:space="preserve">is a </w:t>
      </w:r>
      <w:r w:rsidRPr="00906EBE">
        <w:rPr>
          <w:rFonts w:ascii="Arial" w:hAnsi="Arial" w:cs="Arial"/>
        </w:rPr>
        <w:t xml:space="preserve">Government-owned not-for-profit company largely funded by fees </w:t>
      </w:r>
      <w:r w:rsidR="00C2480F" w:rsidRPr="00906EBE">
        <w:rPr>
          <w:rFonts w:ascii="Arial" w:hAnsi="Arial" w:cs="Arial"/>
        </w:rPr>
        <w:t xml:space="preserve">for specific activities </w:t>
      </w:r>
      <w:r w:rsidRPr="00906EBE">
        <w:rPr>
          <w:rFonts w:ascii="Arial" w:hAnsi="Arial" w:cs="Arial"/>
        </w:rPr>
        <w:t xml:space="preserve">and </w:t>
      </w:r>
      <w:r w:rsidR="00C2480F" w:rsidRPr="00906EBE">
        <w:rPr>
          <w:rFonts w:ascii="Arial" w:hAnsi="Arial" w:cs="Arial"/>
        </w:rPr>
        <w:t xml:space="preserve">by </w:t>
      </w:r>
      <w:r w:rsidRPr="00906EBE">
        <w:rPr>
          <w:rFonts w:ascii="Arial" w:hAnsi="Arial" w:cs="Arial"/>
        </w:rPr>
        <w:t xml:space="preserve">a </w:t>
      </w:r>
      <w:r w:rsidR="00C2480F" w:rsidRPr="00906EBE">
        <w:rPr>
          <w:rFonts w:ascii="Arial" w:hAnsi="Arial" w:cs="Arial"/>
        </w:rPr>
        <w:t xml:space="preserve">per-licence </w:t>
      </w:r>
      <w:r w:rsidRPr="00906EBE">
        <w:rPr>
          <w:rFonts w:ascii="Arial" w:hAnsi="Arial" w:cs="Arial"/>
        </w:rPr>
        <w:t xml:space="preserve">levy, known as the OGA Levy, on </w:t>
      </w:r>
      <w:r w:rsidR="00B57213" w:rsidRPr="00906EBE">
        <w:rPr>
          <w:rFonts w:ascii="Arial" w:hAnsi="Arial" w:cs="Arial"/>
        </w:rPr>
        <w:t>offshore licence holders apportioned between in-production (89%) and pre-production (11%) licence holders</w:t>
      </w:r>
      <w:r w:rsidRPr="00906EBE">
        <w:rPr>
          <w:rFonts w:ascii="Arial" w:hAnsi="Arial" w:cs="Arial"/>
        </w:rPr>
        <w:t>. The OGA Levy was introduced with effect from 1 October 2015</w:t>
      </w:r>
      <w:r w:rsidR="00D11E74">
        <w:rPr>
          <w:rFonts w:ascii="Arial" w:hAnsi="Arial" w:cs="Arial"/>
        </w:rPr>
        <w:t>.</w:t>
      </w:r>
      <w:r w:rsidRPr="00906EBE">
        <w:rPr>
          <w:rStyle w:val="FootnoteReference"/>
          <w:rFonts w:ascii="Arial" w:hAnsi="Arial" w:cs="Arial"/>
        </w:rPr>
        <w:footnoteReference w:id="44"/>
      </w:r>
      <w:r w:rsidRPr="00906EBE">
        <w:rPr>
          <w:rFonts w:ascii="Arial" w:hAnsi="Arial" w:cs="Arial"/>
        </w:rPr>
        <w:t xml:space="preserve"> </w:t>
      </w:r>
      <w:r w:rsidR="00156EC6">
        <w:rPr>
          <w:rFonts w:ascii="Arial" w:hAnsi="Arial" w:cs="Arial"/>
        </w:rPr>
        <w:t>The OGA reports on Levy income in its annual accounts.</w:t>
      </w:r>
    </w:p>
    <w:p w14:paraId="7E85C9D5" w14:textId="24832FDC" w:rsidR="000932E4" w:rsidRPr="00DE1059" w:rsidRDefault="000932E4" w:rsidP="00E0694A">
      <w:pPr>
        <w:pStyle w:val="Heading2"/>
        <w:keepLines w:val="0"/>
        <w:numPr>
          <w:ilvl w:val="1"/>
          <w:numId w:val="43"/>
        </w:numPr>
        <w:shd w:val="clear" w:color="auto" w:fill="BFBFBF"/>
        <w:tabs>
          <w:tab w:val="clear" w:pos="567"/>
        </w:tabs>
        <w:spacing w:after="180" w:line="276" w:lineRule="auto"/>
        <w:ind w:left="567" w:hanging="567"/>
        <w:rPr>
          <w:szCs w:val="24"/>
        </w:rPr>
      </w:pPr>
      <w:r w:rsidRPr="0059555C">
        <w:rPr>
          <w:rFonts w:cs="Arial"/>
          <w:szCs w:val="24"/>
        </w:rPr>
        <w:t xml:space="preserve">Payments to </w:t>
      </w:r>
      <w:r w:rsidR="000E7763" w:rsidRPr="0059555C">
        <w:rPr>
          <w:rFonts w:cs="Arial"/>
          <w:szCs w:val="24"/>
        </w:rPr>
        <w:t>The Crown Estate</w:t>
      </w:r>
      <w:r w:rsidR="005774C4" w:rsidRPr="0059555C">
        <w:rPr>
          <w:rFonts w:cs="Arial"/>
          <w:szCs w:val="24"/>
        </w:rPr>
        <w:t xml:space="preserve"> (TCE)</w:t>
      </w:r>
      <w:r w:rsidR="005C6313">
        <w:rPr>
          <w:rFonts w:cs="Arial"/>
          <w:szCs w:val="24"/>
        </w:rPr>
        <w:t xml:space="preserve"> and Crown Estate Scotland (CES)</w:t>
      </w:r>
    </w:p>
    <w:p w14:paraId="6D9CDD06" w14:textId="6ED07490" w:rsidR="000932E4" w:rsidRPr="00906EBE" w:rsidRDefault="005774C4" w:rsidP="000932E4">
      <w:pPr>
        <w:spacing w:after="180" w:line="276" w:lineRule="auto"/>
        <w:rPr>
          <w:szCs w:val="24"/>
        </w:rPr>
      </w:pPr>
      <w:r w:rsidRPr="00906EBE">
        <w:rPr>
          <w:szCs w:val="24"/>
        </w:rPr>
        <w:t>Oil and gas companies make payments to TCE</w:t>
      </w:r>
      <w:r w:rsidR="005C6313">
        <w:rPr>
          <w:szCs w:val="24"/>
        </w:rPr>
        <w:t xml:space="preserve"> and CES</w:t>
      </w:r>
      <w:r w:rsidRPr="00906EBE">
        <w:rPr>
          <w:szCs w:val="24"/>
        </w:rPr>
        <w:t xml:space="preserve"> for pipeline </w:t>
      </w:r>
      <w:r w:rsidR="00855165">
        <w:rPr>
          <w:szCs w:val="24"/>
        </w:rPr>
        <w:t>rights</w:t>
      </w:r>
      <w:r w:rsidR="000932E4" w:rsidRPr="00906EBE">
        <w:rPr>
          <w:szCs w:val="24"/>
        </w:rPr>
        <w:t>.</w:t>
      </w:r>
    </w:p>
    <w:p w14:paraId="167FB19E" w14:textId="51667528" w:rsidR="0030523C" w:rsidRDefault="0030523C" w:rsidP="00AD33C7">
      <w:pPr>
        <w:rPr>
          <w:sz w:val="2"/>
          <w:szCs w:val="22"/>
          <w:highlight w:val="yellow"/>
          <w:lang w:bidi="ar-TN"/>
        </w:rPr>
      </w:pPr>
    </w:p>
    <w:p w14:paraId="6108722F" w14:textId="0EE3F645" w:rsidR="006D63E2" w:rsidRDefault="006D63E2" w:rsidP="006D63E2">
      <w:pPr>
        <w:pStyle w:val="Default"/>
        <w:spacing w:after="180" w:line="276" w:lineRule="auto"/>
        <w:rPr>
          <w:rFonts w:ascii="Arial" w:hAnsi="Arial" w:cs="Arial"/>
          <w:color w:val="auto"/>
        </w:rPr>
      </w:pPr>
    </w:p>
    <w:p w14:paraId="5089E144" w14:textId="5493D481" w:rsidR="0019687F" w:rsidRDefault="0019687F" w:rsidP="006D63E2">
      <w:pPr>
        <w:pStyle w:val="Default"/>
        <w:spacing w:after="180" w:line="276" w:lineRule="auto"/>
        <w:rPr>
          <w:rFonts w:ascii="Arial" w:hAnsi="Arial" w:cs="Arial"/>
          <w:color w:val="auto"/>
        </w:rPr>
      </w:pPr>
    </w:p>
    <w:p w14:paraId="75786718" w14:textId="77777777" w:rsidR="0019687F" w:rsidRPr="008B6862" w:rsidRDefault="0019687F" w:rsidP="0019687F">
      <w:pPr>
        <w:pStyle w:val="Heading1"/>
        <w:keepNext w:val="0"/>
        <w:keepLines w:val="0"/>
        <w:pageBreakBefore/>
        <w:shd w:val="clear" w:color="auto" w:fill="1F4E79"/>
        <w:tabs>
          <w:tab w:val="clear" w:pos="567"/>
        </w:tabs>
        <w:spacing w:line="276" w:lineRule="auto"/>
        <w:rPr>
          <w:rFonts w:cs="Arial"/>
          <w:color w:val="FFFFFF" w:themeColor="background1"/>
          <w:szCs w:val="24"/>
          <w:lang w:val="en-GB"/>
        </w:rPr>
      </w:pPr>
      <w:r w:rsidRPr="008B6862">
        <w:rPr>
          <w:rFonts w:cs="Arial"/>
          <w:color w:val="FFFFFF" w:themeColor="background1"/>
          <w:szCs w:val="24"/>
          <w:lang w:val="en-GB"/>
        </w:rPr>
        <w:lastRenderedPageBreak/>
        <w:t>Glossary of abbreviations FOR OIL AND GAS BACKGROUND INFORMATION</w:t>
      </w:r>
    </w:p>
    <w:p w14:paraId="2717EC65" w14:textId="77777777" w:rsidR="0019687F" w:rsidRDefault="0019687F" w:rsidP="0019687F">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5"/>
      </w:tblGrid>
      <w:tr w:rsidR="00085C8A" w:rsidRPr="00085C8A" w14:paraId="54F08FD6" w14:textId="77777777" w:rsidTr="00085C8A">
        <w:trPr>
          <w:trHeight w:val="340"/>
        </w:trPr>
        <w:tc>
          <w:tcPr>
            <w:tcW w:w="577" w:type="pct"/>
            <w:tcBorders>
              <w:top w:val="nil"/>
              <w:left w:val="nil"/>
              <w:bottom w:val="nil"/>
              <w:right w:val="nil"/>
            </w:tcBorders>
            <w:shd w:val="clear" w:color="000000" w:fill="BDD7EE"/>
            <w:vAlign w:val="center"/>
            <w:hideMark/>
          </w:tcPr>
          <w:p w14:paraId="6B907D47"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AP</w:t>
            </w:r>
          </w:p>
        </w:tc>
        <w:tc>
          <w:tcPr>
            <w:tcW w:w="4423" w:type="pct"/>
            <w:tcBorders>
              <w:top w:val="nil"/>
              <w:left w:val="nil"/>
              <w:bottom w:val="nil"/>
              <w:right w:val="nil"/>
            </w:tcBorders>
            <w:shd w:val="clear" w:color="000000" w:fill="BDD7EE"/>
            <w:vAlign w:val="center"/>
            <w:hideMark/>
          </w:tcPr>
          <w:p w14:paraId="2122F3D2"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Accounting</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Period</w:t>
            </w:r>
            <w:proofErr w:type="spellEnd"/>
          </w:p>
        </w:tc>
      </w:tr>
      <w:tr w:rsidR="00085C8A" w:rsidRPr="00085C8A" w14:paraId="1FBE281B" w14:textId="77777777" w:rsidTr="00085C8A">
        <w:trPr>
          <w:trHeight w:val="340"/>
        </w:trPr>
        <w:tc>
          <w:tcPr>
            <w:tcW w:w="577" w:type="pct"/>
            <w:tcBorders>
              <w:top w:val="nil"/>
              <w:left w:val="nil"/>
              <w:bottom w:val="nil"/>
              <w:right w:val="nil"/>
            </w:tcBorders>
            <w:shd w:val="clear" w:color="auto" w:fill="auto"/>
            <w:vAlign w:val="center"/>
            <w:hideMark/>
          </w:tcPr>
          <w:p w14:paraId="2BCAE8B3"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APRT</w:t>
            </w:r>
          </w:p>
        </w:tc>
        <w:tc>
          <w:tcPr>
            <w:tcW w:w="4423" w:type="pct"/>
            <w:tcBorders>
              <w:top w:val="nil"/>
              <w:left w:val="nil"/>
              <w:bottom w:val="nil"/>
              <w:right w:val="nil"/>
            </w:tcBorders>
            <w:shd w:val="clear" w:color="auto" w:fill="auto"/>
            <w:vAlign w:val="center"/>
            <w:hideMark/>
          </w:tcPr>
          <w:p w14:paraId="224DDA58"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Advance Petroleum Revenue Tax</w:t>
            </w:r>
          </w:p>
        </w:tc>
      </w:tr>
      <w:tr w:rsidR="001A1CEF" w:rsidRPr="00085C8A" w14:paraId="54B98904" w14:textId="77777777" w:rsidTr="00085C8A">
        <w:trPr>
          <w:trHeight w:val="340"/>
        </w:trPr>
        <w:tc>
          <w:tcPr>
            <w:tcW w:w="577" w:type="pct"/>
            <w:tcBorders>
              <w:top w:val="nil"/>
              <w:left w:val="nil"/>
              <w:bottom w:val="nil"/>
              <w:right w:val="nil"/>
            </w:tcBorders>
            <w:shd w:val="clear" w:color="000000" w:fill="BDD7EE"/>
            <w:vAlign w:val="center"/>
          </w:tcPr>
          <w:p w14:paraId="73FED57F" w14:textId="3666EAE4" w:rsidR="001A1CEF" w:rsidRPr="00085C8A" w:rsidRDefault="001A1CEF" w:rsidP="00085C8A">
            <w:pPr>
              <w:rPr>
                <w:rFonts w:eastAsia="Times New Roman"/>
                <w:color w:val="000000"/>
                <w:sz w:val="18"/>
                <w:szCs w:val="18"/>
                <w:lang w:val="fr-FR" w:eastAsia="fr-FR"/>
              </w:rPr>
            </w:pPr>
            <w:r>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tcPr>
          <w:p w14:paraId="125151BD" w14:textId="621D6482" w:rsidR="001A1CEF" w:rsidRPr="00085C8A" w:rsidRDefault="001A1CEF" w:rsidP="00085C8A">
            <w:pPr>
              <w:rPr>
                <w:rFonts w:eastAsia="Times New Roman"/>
                <w:color w:val="000000"/>
                <w:sz w:val="18"/>
                <w:szCs w:val="18"/>
                <w:lang w:val="fr-FR" w:eastAsia="fr-FR"/>
              </w:rPr>
            </w:pPr>
            <w:proofErr w:type="spellStart"/>
            <w:r>
              <w:rPr>
                <w:rFonts w:eastAsia="Times New Roman"/>
                <w:color w:val="000000"/>
                <w:sz w:val="18"/>
                <w:szCs w:val="18"/>
                <w:lang w:val="fr-FR" w:eastAsia="fr-FR"/>
              </w:rPr>
              <w:t>Department</w:t>
            </w:r>
            <w:proofErr w:type="spellEnd"/>
            <w:r>
              <w:rPr>
                <w:rFonts w:eastAsia="Times New Roman"/>
                <w:color w:val="000000"/>
                <w:sz w:val="18"/>
                <w:szCs w:val="18"/>
                <w:lang w:val="fr-FR" w:eastAsia="fr-FR"/>
              </w:rPr>
              <w:t xml:space="preserve"> for</w:t>
            </w:r>
            <w:r w:rsidR="00D41F99">
              <w:rPr>
                <w:rFonts w:eastAsia="Times New Roman"/>
                <w:color w:val="000000"/>
                <w:sz w:val="18"/>
                <w:szCs w:val="18"/>
                <w:lang w:val="fr-FR" w:eastAsia="fr-FR"/>
              </w:rPr>
              <w:t xml:space="preserve"> Business, Energy and Industrial Strategy</w:t>
            </w:r>
          </w:p>
        </w:tc>
      </w:tr>
      <w:tr w:rsidR="00085C8A" w:rsidRPr="00085C8A" w14:paraId="2FD4B951" w14:textId="77777777" w:rsidTr="007362D5">
        <w:trPr>
          <w:trHeight w:val="340"/>
        </w:trPr>
        <w:tc>
          <w:tcPr>
            <w:tcW w:w="577" w:type="pct"/>
            <w:tcBorders>
              <w:top w:val="nil"/>
              <w:left w:val="nil"/>
              <w:bottom w:val="nil"/>
              <w:right w:val="nil"/>
            </w:tcBorders>
            <w:shd w:val="clear" w:color="auto" w:fill="auto"/>
            <w:vAlign w:val="center"/>
            <w:hideMark/>
          </w:tcPr>
          <w:p w14:paraId="5D1547E2"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BGS</w:t>
            </w:r>
          </w:p>
        </w:tc>
        <w:tc>
          <w:tcPr>
            <w:tcW w:w="4423" w:type="pct"/>
            <w:tcBorders>
              <w:top w:val="nil"/>
              <w:left w:val="nil"/>
              <w:bottom w:val="nil"/>
              <w:right w:val="nil"/>
            </w:tcBorders>
            <w:shd w:val="clear" w:color="auto" w:fill="auto"/>
            <w:vAlign w:val="center"/>
            <w:hideMark/>
          </w:tcPr>
          <w:p w14:paraId="14738C29"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British </w:t>
            </w:r>
            <w:proofErr w:type="spellStart"/>
            <w:r w:rsidRPr="00085C8A">
              <w:rPr>
                <w:rFonts w:eastAsia="Times New Roman"/>
                <w:color w:val="000000"/>
                <w:sz w:val="18"/>
                <w:szCs w:val="18"/>
                <w:lang w:val="fr-FR" w:eastAsia="fr-FR"/>
              </w:rPr>
              <w:t>Geological</w:t>
            </w:r>
            <w:proofErr w:type="spellEnd"/>
            <w:r w:rsidRPr="00085C8A">
              <w:rPr>
                <w:rFonts w:eastAsia="Times New Roman"/>
                <w:color w:val="000000"/>
                <w:sz w:val="18"/>
                <w:szCs w:val="18"/>
                <w:lang w:val="fr-FR" w:eastAsia="fr-FR"/>
              </w:rPr>
              <w:t xml:space="preserve"> Survey</w:t>
            </w:r>
          </w:p>
        </w:tc>
      </w:tr>
      <w:tr w:rsidR="00085C8A" w:rsidRPr="0055406F" w14:paraId="6A38A6D6" w14:textId="77777777" w:rsidTr="00085C8A">
        <w:trPr>
          <w:trHeight w:val="340"/>
        </w:trPr>
        <w:tc>
          <w:tcPr>
            <w:tcW w:w="577" w:type="pct"/>
            <w:tcBorders>
              <w:top w:val="nil"/>
              <w:left w:val="nil"/>
              <w:bottom w:val="nil"/>
              <w:right w:val="nil"/>
            </w:tcBorders>
            <w:shd w:val="clear" w:color="auto" w:fill="auto"/>
            <w:vAlign w:val="center"/>
            <w:hideMark/>
          </w:tcPr>
          <w:p w14:paraId="0ED629A7" w14:textId="77777777" w:rsidR="00085C8A" w:rsidRPr="00085C8A" w:rsidRDefault="00085C8A" w:rsidP="00085C8A">
            <w:pPr>
              <w:rPr>
                <w:rFonts w:eastAsia="Times New Roman"/>
                <w:color w:val="000000"/>
                <w:sz w:val="18"/>
                <w:szCs w:val="18"/>
                <w:lang w:val="fr-FR" w:eastAsia="fr-FR"/>
              </w:rPr>
            </w:pPr>
            <w:proofErr w:type="spellStart"/>
            <w:proofErr w:type="gramStart"/>
            <w:r w:rsidRPr="00085C8A">
              <w:rPr>
                <w:rFonts w:eastAsia="Times New Roman"/>
                <w:color w:val="000000"/>
                <w:sz w:val="18"/>
                <w:szCs w:val="18"/>
                <w:lang w:val="fr-FR" w:eastAsia="fr-FR"/>
              </w:rPr>
              <w:t>boe</w:t>
            </w:r>
            <w:proofErr w:type="spellEnd"/>
            <w:proofErr w:type="gramEnd"/>
          </w:p>
        </w:tc>
        <w:tc>
          <w:tcPr>
            <w:tcW w:w="4423" w:type="pct"/>
            <w:tcBorders>
              <w:top w:val="nil"/>
              <w:left w:val="nil"/>
              <w:bottom w:val="nil"/>
              <w:right w:val="nil"/>
            </w:tcBorders>
            <w:shd w:val="clear" w:color="auto" w:fill="auto"/>
            <w:vAlign w:val="center"/>
            <w:hideMark/>
          </w:tcPr>
          <w:p w14:paraId="49089B3F"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Barrel(s) of </w:t>
            </w:r>
            <w:proofErr w:type="spellStart"/>
            <w:r w:rsidRPr="00085C8A">
              <w:rPr>
                <w:rFonts w:eastAsia="Times New Roman"/>
                <w:color w:val="000000"/>
                <w:sz w:val="18"/>
                <w:szCs w:val="18"/>
                <w:lang w:val="fr-FR" w:eastAsia="fr-FR"/>
              </w:rPr>
              <w:t>oil</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equivalent</w:t>
            </w:r>
            <w:proofErr w:type="spellEnd"/>
          </w:p>
        </w:tc>
      </w:tr>
      <w:tr w:rsidR="00085C8A" w:rsidRPr="00085C8A" w14:paraId="4EDA5FB7" w14:textId="77777777" w:rsidTr="00085C8A">
        <w:trPr>
          <w:trHeight w:val="567"/>
        </w:trPr>
        <w:tc>
          <w:tcPr>
            <w:tcW w:w="577" w:type="pct"/>
            <w:tcBorders>
              <w:top w:val="nil"/>
              <w:left w:val="nil"/>
              <w:bottom w:val="nil"/>
              <w:right w:val="nil"/>
            </w:tcBorders>
            <w:shd w:val="clear" w:color="000000" w:fill="BDD7EE"/>
            <w:vAlign w:val="center"/>
            <w:hideMark/>
          </w:tcPr>
          <w:p w14:paraId="1A654F9D"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Brent</w:t>
            </w:r>
          </w:p>
        </w:tc>
        <w:tc>
          <w:tcPr>
            <w:tcW w:w="4423" w:type="pct"/>
            <w:tcBorders>
              <w:top w:val="nil"/>
              <w:left w:val="nil"/>
              <w:bottom w:val="nil"/>
              <w:right w:val="nil"/>
            </w:tcBorders>
            <w:shd w:val="clear" w:color="000000" w:fill="BDD7EE"/>
            <w:vAlign w:val="center"/>
            <w:hideMark/>
          </w:tcPr>
          <w:p w14:paraId="3BABF4C8" w14:textId="77777777" w:rsidR="00085C8A" w:rsidRPr="00085C8A" w:rsidRDefault="00085C8A" w:rsidP="00085C8A">
            <w:pPr>
              <w:rPr>
                <w:rFonts w:eastAsia="Times New Roman"/>
                <w:color w:val="000000"/>
                <w:sz w:val="18"/>
                <w:szCs w:val="18"/>
                <w:lang w:val="fr-FR" w:eastAsia="fr-FR"/>
              </w:rPr>
            </w:pPr>
            <w:proofErr w:type="gramStart"/>
            <w:r w:rsidRPr="00085C8A">
              <w:rPr>
                <w:rFonts w:eastAsia="Times New Roman"/>
                <w:color w:val="000000"/>
                <w:sz w:val="18"/>
                <w:szCs w:val="18"/>
                <w:lang w:val="fr-FR" w:eastAsia="fr-FR"/>
              </w:rPr>
              <w:t>as</w:t>
            </w:r>
            <w:proofErr w:type="gram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applied</w:t>
            </w:r>
            <w:proofErr w:type="spellEnd"/>
            <w:r w:rsidRPr="00085C8A">
              <w:rPr>
                <w:rFonts w:eastAsia="Times New Roman"/>
                <w:color w:val="000000"/>
                <w:sz w:val="18"/>
                <w:szCs w:val="18"/>
                <w:lang w:val="fr-FR" w:eastAsia="fr-FR"/>
              </w:rPr>
              <w:t xml:space="preserve"> to trading, the standard </w:t>
            </w:r>
            <w:proofErr w:type="spellStart"/>
            <w:r w:rsidRPr="00085C8A">
              <w:rPr>
                <w:rFonts w:eastAsia="Times New Roman"/>
                <w:color w:val="000000"/>
                <w:sz w:val="18"/>
                <w:szCs w:val="18"/>
                <w:lang w:val="fr-FR" w:eastAsia="fr-FR"/>
              </w:rPr>
              <w:t>quality</w:t>
            </w:r>
            <w:proofErr w:type="spellEnd"/>
            <w:r w:rsidRPr="00085C8A">
              <w:rPr>
                <w:rFonts w:eastAsia="Times New Roman"/>
                <w:color w:val="000000"/>
                <w:sz w:val="18"/>
                <w:szCs w:val="18"/>
                <w:lang w:val="fr-FR" w:eastAsia="fr-FR"/>
              </w:rPr>
              <w:t xml:space="preserve"> of </w:t>
            </w:r>
            <w:proofErr w:type="spellStart"/>
            <w:r w:rsidRPr="00085C8A">
              <w:rPr>
                <w:rFonts w:eastAsia="Times New Roman"/>
                <w:color w:val="000000"/>
                <w:sz w:val="18"/>
                <w:szCs w:val="18"/>
                <w:lang w:val="fr-FR" w:eastAsia="fr-FR"/>
              </w:rPr>
              <w:t>oil</w:t>
            </w:r>
            <w:proofErr w:type="spellEnd"/>
            <w:r w:rsidRPr="00085C8A">
              <w:rPr>
                <w:rFonts w:eastAsia="Times New Roman"/>
                <w:color w:val="000000"/>
                <w:sz w:val="18"/>
                <w:szCs w:val="18"/>
                <w:lang w:val="fr-FR" w:eastAsia="fr-FR"/>
              </w:rPr>
              <w:t xml:space="preserve"> in Europe and </w:t>
            </w:r>
            <w:proofErr w:type="spellStart"/>
            <w:r w:rsidRPr="00085C8A">
              <w:rPr>
                <w:rFonts w:eastAsia="Times New Roman"/>
                <w:color w:val="000000"/>
                <w:sz w:val="18"/>
                <w:szCs w:val="18"/>
                <w:lang w:val="fr-FR" w:eastAsia="fr-FR"/>
              </w:rPr>
              <w:t>elsewhere</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comprising</w:t>
            </w:r>
            <w:proofErr w:type="spellEnd"/>
            <w:r w:rsidRPr="00085C8A">
              <w:rPr>
                <w:rFonts w:eastAsia="Times New Roman"/>
                <w:color w:val="000000"/>
                <w:sz w:val="18"/>
                <w:szCs w:val="18"/>
                <w:lang w:val="fr-FR" w:eastAsia="fr-FR"/>
              </w:rPr>
              <w:t xml:space="preserve"> a </w:t>
            </w:r>
            <w:proofErr w:type="spellStart"/>
            <w:r w:rsidRPr="00085C8A">
              <w:rPr>
                <w:rFonts w:eastAsia="Times New Roman"/>
                <w:color w:val="000000"/>
                <w:sz w:val="18"/>
                <w:szCs w:val="18"/>
                <w:lang w:val="fr-FR" w:eastAsia="fr-FR"/>
              </w:rPr>
              <w:t>blend</w:t>
            </w:r>
            <w:proofErr w:type="spellEnd"/>
            <w:r w:rsidRPr="00085C8A">
              <w:rPr>
                <w:rFonts w:eastAsia="Times New Roman"/>
                <w:color w:val="000000"/>
                <w:sz w:val="18"/>
                <w:szCs w:val="18"/>
                <w:lang w:val="fr-FR" w:eastAsia="fr-FR"/>
              </w:rPr>
              <w:t xml:space="preserve"> of four North </w:t>
            </w:r>
            <w:proofErr w:type="spellStart"/>
            <w:r w:rsidRPr="00085C8A">
              <w:rPr>
                <w:rFonts w:eastAsia="Times New Roman"/>
                <w:color w:val="000000"/>
                <w:sz w:val="18"/>
                <w:szCs w:val="18"/>
                <w:lang w:val="fr-FR" w:eastAsia="fr-FR"/>
              </w:rPr>
              <w:t>Sea</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crudes</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from</w:t>
            </w:r>
            <w:proofErr w:type="spellEnd"/>
            <w:r w:rsidRPr="00085C8A">
              <w:rPr>
                <w:rFonts w:eastAsia="Times New Roman"/>
                <w:color w:val="000000"/>
                <w:sz w:val="18"/>
                <w:szCs w:val="18"/>
                <w:lang w:val="fr-FR" w:eastAsia="fr-FR"/>
              </w:rPr>
              <w:t xml:space="preserve"> the Brent, </w:t>
            </w:r>
            <w:proofErr w:type="spellStart"/>
            <w:r w:rsidRPr="00085C8A">
              <w:rPr>
                <w:rFonts w:eastAsia="Times New Roman"/>
                <w:color w:val="000000"/>
                <w:sz w:val="18"/>
                <w:szCs w:val="18"/>
                <w:lang w:val="fr-FR" w:eastAsia="fr-FR"/>
              </w:rPr>
              <w:t>Ekofisk</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Forties</w:t>
            </w:r>
            <w:proofErr w:type="spellEnd"/>
            <w:r w:rsidRPr="00085C8A">
              <w:rPr>
                <w:rFonts w:eastAsia="Times New Roman"/>
                <w:color w:val="000000"/>
                <w:sz w:val="18"/>
                <w:szCs w:val="18"/>
                <w:lang w:val="fr-FR" w:eastAsia="fr-FR"/>
              </w:rPr>
              <w:t xml:space="preserve"> and </w:t>
            </w:r>
            <w:proofErr w:type="spellStart"/>
            <w:r w:rsidRPr="00085C8A">
              <w:rPr>
                <w:rFonts w:eastAsia="Times New Roman"/>
                <w:color w:val="000000"/>
                <w:sz w:val="18"/>
                <w:szCs w:val="18"/>
                <w:lang w:val="fr-FR" w:eastAsia="fr-FR"/>
              </w:rPr>
              <w:t>Oseberg</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fields</w:t>
            </w:r>
            <w:proofErr w:type="spellEnd"/>
          </w:p>
        </w:tc>
      </w:tr>
      <w:tr w:rsidR="00085C8A" w:rsidRPr="00085C8A" w14:paraId="41128671" w14:textId="77777777" w:rsidTr="00085C8A">
        <w:trPr>
          <w:trHeight w:val="340"/>
        </w:trPr>
        <w:tc>
          <w:tcPr>
            <w:tcW w:w="577" w:type="pct"/>
            <w:tcBorders>
              <w:top w:val="nil"/>
              <w:left w:val="nil"/>
              <w:bottom w:val="nil"/>
              <w:right w:val="nil"/>
            </w:tcBorders>
            <w:shd w:val="clear" w:color="auto" w:fill="auto"/>
            <w:vAlign w:val="center"/>
            <w:hideMark/>
          </w:tcPr>
          <w:p w14:paraId="2A96DF20"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CES</w:t>
            </w:r>
          </w:p>
        </w:tc>
        <w:tc>
          <w:tcPr>
            <w:tcW w:w="4423" w:type="pct"/>
            <w:tcBorders>
              <w:top w:val="nil"/>
              <w:left w:val="nil"/>
              <w:bottom w:val="nil"/>
              <w:right w:val="nil"/>
            </w:tcBorders>
            <w:shd w:val="clear" w:color="auto" w:fill="auto"/>
            <w:vAlign w:val="center"/>
            <w:hideMark/>
          </w:tcPr>
          <w:p w14:paraId="78FA9AD3"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Crown </w:t>
            </w:r>
            <w:proofErr w:type="spellStart"/>
            <w:r w:rsidRPr="00085C8A">
              <w:rPr>
                <w:rFonts w:eastAsia="Times New Roman"/>
                <w:color w:val="000000"/>
                <w:sz w:val="18"/>
                <w:szCs w:val="18"/>
                <w:lang w:val="fr-FR" w:eastAsia="fr-FR"/>
              </w:rPr>
              <w:t>Estate</w:t>
            </w:r>
            <w:proofErr w:type="spellEnd"/>
            <w:r w:rsidRPr="00085C8A">
              <w:rPr>
                <w:rFonts w:eastAsia="Times New Roman"/>
                <w:color w:val="000000"/>
                <w:sz w:val="18"/>
                <w:szCs w:val="18"/>
                <w:lang w:val="fr-FR" w:eastAsia="fr-FR"/>
              </w:rPr>
              <w:t xml:space="preserve"> Scotland</w:t>
            </w:r>
          </w:p>
        </w:tc>
      </w:tr>
      <w:tr w:rsidR="00085C8A" w:rsidRPr="00085C8A" w14:paraId="7AC69BD7" w14:textId="77777777" w:rsidTr="00085C8A">
        <w:trPr>
          <w:trHeight w:val="340"/>
        </w:trPr>
        <w:tc>
          <w:tcPr>
            <w:tcW w:w="577" w:type="pct"/>
            <w:tcBorders>
              <w:top w:val="nil"/>
              <w:left w:val="nil"/>
              <w:bottom w:val="nil"/>
              <w:right w:val="nil"/>
            </w:tcBorders>
            <w:shd w:val="clear" w:color="000000" w:fill="BDD7EE"/>
            <w:vAlign w:val="center"/>
            <w:hideMark/>
          </w:tcPr>
          <w:p w14:paraId="7EBC6534"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CNS</w:t>
            </w:r>
          </w:p>
        </w:tc>
        <w:tc>
          <w:tcPr>
            <w:tcW w:w="4423" w:type="pct"/>
            <w:tcBorders>
              <w:top w:val="nil"/>
              <w:left w:val="nil"/>
              <w:bottom w:val="nil"/>
              <w:right w:val="nil"/>
            </w:tcBorders>
            <w:shd w:val="clear" w:color="000000" w:fill="BDD7EE"/>
            <w:vAlign w:val="center"/>
            <w:hideMark/>
          </w:tcPr>
          <w:p w14:paraId="1C837906"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Central North </w:t>
            </w:r>
            <w:proofErr w:type="spellStart"/>
            <w:r w:rsidRPr="00085C8A">
              <w:rPr>
                <w:rFonts w:eastAsia="Times New Roman"/>
                <w:color w:val="000000"/>
                <w:sz w:val="18"/>
                <w:szCs w:val="18"/>
                <w:lang w:val="fr-FR" w:eastAsia="fr-FR"/>
              </w:rPr>
              <w:t>Sea</w:t>
            </w:r>
            <w:proofErr w:type="spellEnd"/>
          </w:p>
        </w:tc>
      </w:tr>
      <w:tr w:rsidR="00085C8A" w:rsidRPr="00085C8A" w14:paraId="14762850" w14:textId="77777777" w:rsidTr="00085C8A">
        <w:trPr>
          <w:trHeight w:val="340"/>
        </w:trPr>
        <w:tc>
          <w:tcPr>
            <w:tcW w:w="577" w:type="pct"/>
            <w:tcBorders>
              <w:top w:val="nil"/>
              <w:left w:val="nil"/>
              <w:bottom w:val="nil"/>
              <w:right w:val="nil"/>
            </w:tcBorders>
            <w:shd w:val="clear" w:color="auto" w:fill="auto"/>
            <w:vAlign w:val="center"/>
            <w:hideMark/>
          </w:tcPr>
          <w:p w14:paraId="30557DF1"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CT</w:t>
            </w:r>
          </w:p>
        </w:tc>
        <w:tc>
          <w:tcPr>
            <w:tcW w:w="4423" w:type="pct"/>
            <w:tcBorders>
              <w:top w:val="nil"/>
              <w:left w:val="nil"/>
              <w:bottom w:val="nil"/>
              <w:right w:val="nil"/>
            </w:tcBorders>
            <w:shd w:val="clear" w:color="auto" w:fill="auto"/>
            <w:vAlign w:val="center"/>
            <w:hideMark/>
          </w:tcPr>
          <w:p w14:paraId="5ACD63AF"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Corporation Tax</w:t>
            </w:r>
          </w:p>
        </w:tc>
      </w:tr>
      <w:tr w:rsidR="00085C8A" w:rsidRPr="00085C8A" w14:paraId="25ED4093" w14:textId="77777777" w:rsidTr="00085C8A">
        <w:trPr>
          <w:trHeight w:val="340"/>
        </w:trPr>
        <w:tc>
          <w:tcPr>
            <w:tcW w:w="577" w:type="pct"/>
            <w:tcBorders>
              <w:top w:val="nil"/>
              <w:left w:val="nil"/>
              <w:bottom w:val="nil"/>
              <w:right w:val="nil"/>
            </w:tcBorders>
            <w:shd w:val="clear" w:color="000000" w:fill="BDD7EE"/>
            <w:vAlign w:val="center"/>
            <w:hideMark/>
          </w:tcPr>
          <w:p w14:paraId="13F54295"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DECC</w:t>
            </w:r>
          </w:p>
        </w:tc>
        <w:tc>
          <w:tcPr>
            <w:tcW w:w="4423" w:type="pct"/>
            <w:tcBorders>
              <w:top w:val="nil"/>
              <w:left w:val="nil"/>
              <w:bottom w:val="nil"/>
              <w:right w:val="nil"/>
            </w:tcBorders>
            <w:shd w:val="clear" w:color="000000" w:fill="BDD7EE"/>
            <w:vAlign w:val="center"/>
            <w:hideMark/>
          </w:tcPr>
          <w:p w14:paraId="4308067A"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Department</w:t>
            </w:r>
            <w:proofErr w:type="spellEnd"/>
            <w:r w:rsidRPr="00085C8A">
              <w:rPr>
                <w:rFonts w:eastAsia="Times New Roman"/>
                <w:color w:val="000000"/>
                <w:sz w:val="18"/>
                <w:szCs w:val="18"/>
                <w:lang w:val="fr-FR" w:eastAsia="fr-FR"/>
              </w:rPr>
              <w:t xml:space="preserve"> of Energy &amp; </w:t>
            </w:r>
            <w:proofErr w:type="spellStart"/>
            <w:r w:rsidRPr="00085C8A">
              <w:rPr>
                <w:rFonts w:eastAsia="Times New Roman"/>
                <w:color w:val="000000"/>
                <w:sz w:val="18"/>
                <w:szCs w:val="18"/>
                <w:lang w:val="fr-FR" w:eastAsia="fr-FR"/>
              </w:rPr>
              <w:t>Climate</w:t>
            </w:r>
            <w:proofErr w:type="spellEnd"/>
            <w:r w:rsidRPr="00085C8A">
              <w:rPr>
                <w:rFonts w:eastAsia="Times New Roman"/>
                <w:color w:val="000000"/>
                <w:sz w:val="18"/>
                <w:szCs w:val="18"/>
                <w:lang w:val="fr-FR" w:eastAsia="fr-FR"/>
              </w:rPr>
              <w:t xml:space="preserve"> Change (</w:t>
            </w:r>
            <w:proofErr w:type="spellStart"/>
            <w:r w:rsidRPr="00085C8A">
              <w:rPr>
                <w:rFonts w:eastAsia="Times New Roman"/>
                <w:color w:val="000000"/>
                <w:sz w:val="18"/>
                <w:szCs w:val="18"/>
                <w:lang w:val="fr-FR" w:eastAsia="fr-FR"/>
              </w:rPr>
              <w:t>now</w:t>
            </w:r>
            <w:proofErr w:type="spellEnd"/>
            <w:r w:rsidRPr="00085C8A">
              <w:rPr>
                <w:rFonts w:eastAsia="Times New Roman"/>
                <w:color w:val="000000"/>
                <w:sz w:val="18"/>
                <w:szCs w:val="18"/>
                <w:lang w:val="fr-FR" w:eastAsia="fr-FR"/>
              </w:rPr>
              <w:t xml:space="preserve"> part of BEIS)</w:t>
            </w:r>
          </w:p>
        </w:tc>
      </w:tr>
      <w:tr w:rsidR="00085C8A" w:rsidRPr="00085C8A" w14:paraId="4A39AA3A" w14:textId="77777777" w:rsidTr="00085C8A">
        <w:trPr>
          <w:trHeight w:val="340"/>
        </w:trPr>
        <w:tc>
          <w:tcPr>
            <w:tcW w:w="577" w:type="pct"/>
            <w:tcBorders>
              <w:top w:val="nil"/>
              <w:left w:val="nil"/>
              <w:bottom w:val="nil"/>
              <w:right w:val="nil"/>
            </w:tcBorders>
            <w:shd w:val="clear" w:color="auto" w:fill="auto"/>
            <w:vAlign w:val="center"/>
            <w:hideMark/>
          </w:tcPr>
          <w:p w14:paraId="19D32178"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DfE</w:t>
            </w:r>
            <w:proofErr w:type="spellEnd"/>
          </w:p>
        </w:tc>
        <w:tc>
          <w:tcPr>
            <w:tcW w:w="4423" w:type="pct"/>
            <w:tcBorders>
              <w:top w:val="nil"/>
              <w:left w:val="nil"/>
              <w:bottom w:val="nil"/>
              <w:right w:val="nil"/>
            </w:tcBorders>
            <w:shd w:val="clear" w:color="auto" w:fill="auto"/>
            <w:vAlign w:val="center"/>
            <w:hideMark/>
          </w:tcPr>
          <w:p w14:paraId="53B7B8CE"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Department</w:t>
            </w:r>
            <w:proofErr w:type="spellEnd"/>
            <w:r w:rsidRPr="00085C8A">
              <w:rPr>
                <w:rFonts w:eastAsia="Times New Roman"/>
                <w:color w:val="000000"/>
                <w:sz w:val="18"/>
                <w:szCs w:val="18"/>
                <w:lang w:val="fr-FR" w:eastAsia="fr-FR"/>
              </w:rPr>
              <w:t xml:space="preserve"> for the Economy</w:t>
            </w:r>
          </w:p>
        </w:tc>
      </w:tr>
      <w:tr w:rsidR="00085C8A" w:rsidRPr="00085C8A" w14:paraId="01920C20" w14:textId="77777777" w:rsidTr="00085C8A">
        <w:trPr>
          <w:trHeight w:val="340"/>
        </w:trPr>
        <w:tc>
          <w:tcPr>
            <w:tcW w:w="577" w:type="pct"/>
            <w:tcBorders>
              <w:top w:val="nil"/>
              <w:left w:val="nil"/>
              <w:bottom w:val="nil"/>
              <w:right w:val="nil"/>
            </w:tcBorders>
            <w:shd w:val="clear" w:color="000000" w:fill="BDD7EE"/>
            <w:vAlign w:val="center"/>
            <w:hideMark/>
          </w:tcPr>
          <w:p w14:paraId="2144426C"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DRD</w:t>
            </w:r>
          </w:p>
        </w:tc>
        <w:tc>
          <w:tcPr>
            <w:tcW w:w="4423" w:type="pct"/>
            <w:tcBorders>
              <w:top w:val="nil"/>
              <w:left w:val="nil"/>
              <w:bottom w:val="nil"/>
              <w:right w:val="nil"/>
            </w:tcBorders>
            <w:shd w:val="clear" w:color="000000" w:fill="BDD7EE"/>
            <w:vAlign w:val="center"/>
            <w:hideMark/>
          </w:tcPr>
          <w:p w14:paraId="52B4EA6C"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Decommissioning</w:t>
            </w:r>
            <w:proofErr w:type="spellEnd"/>
            <w:r w:rsidRPr="00085C8A">
              <w:rPr>
                <w:rFonts w:eastAsia="Times New Roman"/>
                <w:color w:val="000000"/>
                <w:sz w:val="18"/>
                <w:szCs w:val="18"/>
                <w:lang w:val="fr-FR" w:eastAsia="fr-FR"/>
              </w:rPr>
              <w:t xml:space="preserve"> Relief </w:t>
            </w:r>
            <w:proofErr w:type="spellStart"/>
            <w:r w:rsidRPr="00085C8A">
              <w:rPr>
                <w:rFonts w:eastAsia="Times New Roman"/>
                <w:color w:val="000000"/>
                <w:sz w:val="18"/>
                <w:szCs w:val="18"/>
                <w:lang w:val="fr-FR" w:eastAsia="fr-FR"/>
              </w:rPr>
              <w:t>Deed</w:t>
            </w:r>
            <w:proofErr w:type="spellEnd"/>
          </w:p>
        </w:tc>
      </w:tr>
      <w:tr w:rsidR="009555CE" w:rsidRPr="00085C8A" w14:paraId="16A69035" w14:textId="77777777" w:rsidTr="00085C8A">
        <w:trPr>
          <w:trHeight w:val="340"/>
        </w:trPr>
        <w:tc>
          <w:tcPr>
            <w:tcW w:w="577" w:type="pct"/>
            <w:tcBorders>
              <w:top w:val="nil"/>
              <w:left w:val="nil"/>
              <w:bottom w:val="nil"/>
              <w:right w:val="nil"/>
            </w:tcBorders>
            <w:shd w:val="clear" w:color="auto" w:fill="auto"/>
            <w:vAlign w:val="center"/>
          </w:tcPr>
          <w:p w14:paraId="0EE9F6EC" w14:textId="3C2E2CBC" w:rsidR="009555CE" w:rsidRPr="00085C8A" w:rsidRDefault="009555CE" w:rsidP="00085C8A">
            <w:pPr>
              <w:rPr>
                <w:rFonts w:eastAsia="Times New Roman"/>
                <w:color w:val="000000"/>
                <w:sz w:val="18"/>
                <w:szCs w:val="18"/>
                <w:lang w:val="fr-FR" w:eastAsia="fr-FR"/>
              </w:rPr>
            </w:pPr>
            <w:r>
              <w:rPr>
                <w:rFonts w:eastAsia="Times New Roman"/>
                <w:color w:val="000000"/>
                <w:sz w:val="18"/>
                <w:szCs w:val="18"/>
                <w:lang w:val="fr-FR" w:eastAsia="fr-FR"/>
              </w:rPr>
              <w:t>DUKES</w:t>
            </w:r>
          </w:p>
        </w:tc>
        <w:tc>
          <w:tcPr>
            <w:tcW w:w="4423" w:type="pct"/>
            <w:tcBorders>
              <w:top w:val="nil"/>
              <w:left w:val="nil"/>
              <w:bottom w:val="nil"/>
              <w:right w:val="nil"/>
            </w:tcBorders>
            <w:shd w:val="clear" w:color="auto" w:fill="auto"/>
            <w:vAlign w:val="center"/>
          </w:tcPr>
          <w:p w14:paraId="40B263AC" w14:textId="64C05677" w:rsidR="009555CE" w:rsidRPr="00085C8A" w:rsidRDefault="009B4646" w:rsidP="00085C8A">
            <w:pPr>
              <w:rPr>
                <w:rFonts w:eastAsia="Times New Roman"/>
                <w:color w:val="000000"/>
                <w:sz w:val="18"/>
                <w:szCs w:val="18"/>
                <w:lang w:val="fr-FR" w:eastAsia="fr-FR"/>
              </w:rPr>
            </w:pPr>
            <w:r>
              <w:rPr>
                <w:rFonts w:eastAsia="Times New Roman"/>
                <w:color w:val="000000"/>
                <w:sz w:val="18"/>
                <w:szCs w:val="18"/>
                <w:lang w:val="fr-FR" w:eastAsia="fr-FR"/>
              </w:rPr>
              <w:t xml:space="preserve">Digest of UK Energy </w:t>
            </w:r>
            <w:proofErr w:type="spellStart"/>
            <w:r>
              <w:rPr>
                <w:rFonts w:eastAsia="Times New Roman"/>
                <w:color w:val="000000"/>
                <w:sz w:val="18"/>
                <w:szCs w:val="18"/>
                <w:lang w:val="fr-FR" w:eastAsia="fr-FR"/>
              </w:rPr>
              <w:t>Stat</w:t>
            </w:r>
            <w:r w:rsidR="007C7C6C">
              <w:rPr>
                <w:rFonts w:eastAsia="Times New Roman"/>
                <w:color w:val="000000"/>
                <w:sz w:val="18"/>
                <w:szCs w:val="18"/>
                <w:lang w:val="fr-FR" w:eastAsia="fr-FR"/>
              </w:rPr>
              <w:t>istics</w:t>
            </w:r>
            <w:proofErr w:type="spellEnd"/>
          </w:p>
        </w:tc>
      </w:tr>
      <w:tr w:rsidR="00085C8A" w:rsidRPr="00085C8A" w14:paraId="2983B947" w14:textId="77777777" w:rsidTr="00085C8A">
        <w:trPr>
          <w:trHeight w:val="340"/>
        </w:trPr>
        <w:tc>
          <w:tcPr>
            <w:tcW w:w="577" w:type="pct"/>
            <w:tcBorders>
              <w:top w:val="nil"/>
              <w:left w:val="nil"/>
              <w:bottom w:val="nil"/>
              <w:right w:val="nil"/>
            </w:tcBorders>
            <w:shd w:val="clear" w:color="auto" w:fill="auto"/>
            <w:vAlign w:val="center"/>
            <w:hideMark/>
          </w:tcPr>
          <w:p w14:paraId="5AE7E7C3"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EITI</w:t>
            </w:r>
          </w:p>
        </w:tc>
        <w:tc>
          <w:tcPr>
            <w:tcW w:w="4423" w:type="pct"/>
            <w:tcBorders>
              <w:top w:val="nil"/>
              <w:left w:val="nil"/>
              <w:bottom w:val="nil"/>
              <w:right w:val="nil"/>
            </w:tcBorders>
            <w:shd w:val="clear" w:color="auto" w:fill="auto"/>
            <w:vAlign w:val="center"/>
            <w:hideMark/>
          </w:tcPr>
          <w:p w14:paraId="0DB31044"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Extractive Industries Transparency Initiative</w:t>
            </w:r>
          </w:p>
        </w:tc>
      </w:tr>
      <w:tr w:rsidR="005F3197" w:rsidRPr="00085C8A" w14:paraId="6879B9B9" w14:textId="77777777" w:rsidTr="00085C8A">
        <w:trPr>
          <w:trHeight w:val="340"/>
        </w:trPr>
        <w:tc>
          <w:tcPr>
            <w:tcW w:w="577" w:type="pct"/>
            <w:tcBorders>
              <w:top w:val="nil"/>
              <w:left w:val="nil"/>
              <w:bottom w:val="nil"/>
              <w:right w:val="nil"/>
            </w:tcBorders>
            <w:shd w:val="clear" w:color="auto" w:fill="auto"/>
            <w:vAlign w:val="center"/>
          </w:tcPr>
          <w:p w14:paraId="30C87D9C" w14:textId="6D23CABE" w:rsidR="005F3197" w:rsidRPr="00085C8A" w:rsidRDefault="005F3197" w:rsidP="00085C8A">
            <w:pPr>
              <w:rPr>
                <w:rFonts w:eastAsia="Times New Roman"/>
                <w:color w:val="000000"/>
                <w:sz w:val="18"/>
                <w:szCs w:val="18"/>
                <w:lang w:val="fr-FR" w:eastAsia="fr-FR"/>
              </w:rPr>
            </w:pPr>
            <w:r>
              <w:rPr>
                <w:rFonts w:eastAsia="Times New Roman"/>
                <w:color w:val="000000"/>
                <w:sz w:val="18"/>
                <w:szCs w:val="18"/>
                <w:lang w:val="fr-FR" w:eastAsia="fr-FR"/>
              </w:rPr>
              <w:t>EU</w:t>
            </w:r>
          </w:p>
        </w:tc>
        <w:tc>
          <w:tcPr>
            <w:tcW w:w="4423" w:type="pct"/>
            <w:tcBorders>
              <w:top w:val="nil"/>
              <w:left w:val="nil"/>
              <w:bottom w:val="nil"/>
              <w:right w:val="nil"/>
            </w:tcBorders>
            <w:shd w:val="clear" w:color="auto" w:fill="auto"/>
            <w:vAlign w:val="center"/>
          </w:tcPr>
          <w:p w14:paraId="16878804" w14:textId="3FD104D8" w:rsidR="005F3197" w:rsidRPr="00085C8A" w:rsidRDefault="005F3197" w:rsidP="00085C8A">
            <w:pPr>
              <w:rPr>
                <w:rFonts w:eastAsia="Times New Roman"/>
                <w:color w:val="000000"/>
                <w:sz w:val="18"/>
                <w:szCs w:val="18"/>
                <w:lang w:val="fr-FR" w:eastAsia="fr-FR"/>
              </w:rPr>
            </w:pPr>
            <w:proofErr w:type="spellStart"/>
            <w:r>
              <w:rPr>
                <w:rFonts w:eastAsia="Times New Roman"/>
                <w:color w:val="000000"/>
                <w:sz w:val="18"/>
                <w:szCs w:val="18"/>
                <w:lang w:val="fr-FR" w:eastAsia="fr-FR"/>
              </w:rPr>
              <w:t>European</w:t>
            </w:r>
            <w:proofErr w:type="spellEnd"/>
            <w:r>
              <w:rPr>
                <w:rFonts w:eastAsia="Times New Roman"/>
                <w:color w:val="000000"/>
                <w:sz w:val="18"/>
                <w:szCs w:val="18"/>
                <w:lang w:val="fr-FR" w:eastAsia="fr-FR"/>
              </w:rPr>
              <w:t xml:space="preserve"> Union</w:t>
            </w:r>
          </w:p>
        </w:tc>
      </w:tr>
      <w:tr w:rsidR="00085C8A" w:rsidRPr="00085C8A" w14:paraId="14B2FE4A" w14:textId="77777777" w:rsidTr="00085C8A">
        <w:trPr>
          <w:trHeight w:val="340"/>
        </w:trPr>
        <w:tc>
          <w:tcPr>
            <w:tcW w:w="577" w:type="pct"/>
            <w:tcBorders>
              <w:top w:val="nil"/>
              <w:left w:val="nil"/>
              <w:bottom w:val="nil"/>
              <w:right w:val="nil"/>
            </w:tcBorders>
            <w:shd w:val="clear" w:color="000000" w:fill="BDD7EE"/>
            <w:vAlign w:val="center"/>
            <w:hideMark/>
          </w:tcPr>
          <w:p w14:paraId="3D679197"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FA</w:t>
            </w:r>
          </w:p>
        </w:tc>
        <w:tc>
          <w:tcPr>
            <w:tcW w:w="4423" w:type="pct"/>
            <w:tcBorders>
              <w:top w:val="nil"/>
              <w:left w:val="nil"/>
              <w:bottom w:val="nil"/>
              <w:right w:val="nil"/>
            </w:tcBorders>
            <w:shd w:val="clear" w:color="000000" w:fill="BDD7EE"/>
            <w:vAlign w:val="center"/>
            <w:hideMark/>
          </w:tcPr>
          <w:p w14:paraId="49491B8E"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Finance </w:t>
            </w:r>
            <w:proofErr w:type="spellStart"/>
            <w:r w:rsidRPr="00085C8A">
              <w:rPr>
                <w:rFonts w:eastAsia="Times New Roman"/>
                <w:color w:val="000000"/>
                <w:sz w:val="18"/>
                <w:szCs w:val="18"/>
                <w:lang w:val="fr-FR" w:eastAsia="fr-FR"/>
              </w:rPr>
              <w:t>Act</w:t>
            </w:r>
            <w:proofErr w:type="spellEnd"/>
          </w:p>
        </w:tc>
      </w:tr>
      <w:tr w:rsidR="00085C8A" w:rsidRPr="00085C8A" w14:paraId="317E0B3E" w14:textId="77777777" w:rsidTr="00085C8A">
        <w:trPr>
          <w:trHeight w:val="340"/>
        </w:trPr>
        <w:tc>
          <w:tcPr>
            <w:tcW w:w="577" w:type="pct"/>
            <w:tcBorders>
              <w:top w:val="nil"/>
              <w:left w:val="nil"/>
              <w:bottom w:val="nil"/>
              <w:right w:val="nil"/>
            </w:tcBorders>
            <w:shd w:val="clear" w:color="auto" w:fill="auto"/>
            <w:vAlign w:val="center"/>
            <w:hideMark/>
          </w:tcPr>
          <w:p w14:paraId="31D21F58"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FYAs</w:t>
            </w:r>
            <w:proofErr w:type="spellEnd"/>
          </w:p>
        </w:tc>
        <w:tc>
          <w:tcPr>
            <w:tcW w:w="4423" w:type="pct"/>
            <w:tcBorders>
              <w:top w:val="nil"/>
              <w:left w:val="nil"/>
              <w:bottom w:val="nil"/>
              <w:right w:val="nil"/>
            </w:tcBorders>
            <w:shd w:val="clear" w:color="auto" w:fill="auto"/>
            <w:vAlign w:val="center"/>
            <w:hideMark/>
          </w:tcPr>
          <w:p w14:paraId="6509513A"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First </w:t>
            </w:r>
            <w:proofErr w:type="spellStart"/>
            <w:r w:rsidRPr="00085C8A">
              <w:rPr>
                <w:rFonts w:eastAsia="Times New Roman"/>
                <w:color w:val="000000"/>
                <w:sz w:val="18"/>
                <w:szCs w:val="18"/>
                <w:lang w:val="fr-FR" w:eastAsia="fr-FR"/>
              </w:rPr>
              <w:t>Year</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Allowances</w:t>
            </w:r>
            <w:proofErr w:type="spellEnd"/>
          </w:p>
        </w:tc>
      </w:tr>
      <w:tr w:rsidR="008A3AAE" w:rsidRPr="00085C8A" w14:paraId="634978D2" w14:textId="77777777" w:rsidTr="00085C8A">
        <w:trPr>
          <w:trHeight w:val="340"/>
        </w:trPr>
        <w:tc>
          <w:tcPr>
            <w:tcW w:w="577" w:type="pct"/>
            <w:tcBorders>
              <w:top w:val="nil"/>
              <w:left w:val="nil"/>
              <w:bottom w:val="nil"/>
              <w:right w:val="nil"/>
            </w:tcBorders>
            <w:shd w:val="clear" w:color="000000" w:fill="BDD7EE"/>
            <w:vAlign w:val="center"/>
          </w:tcPr>
          <w:p w14:paraId="5413006F" w14:textId="0E6F997E" w:rsidR="008A3AAE" w:rsidRPr="00085C8A" w:rsidRDefault="008A3AAE" w:rsidP="00085C8A">
            <w:pPr>
              <w:rPr>
                <w:rFonts w:eastAsia="Times New Roman"/>
                <w:color w:val="000000"/>
                <w:sz w:val="18"/>
                <w:szCs w:val="18"/>
                <w:lang w:val="fr-FR" w:eastAsia="fr-FR"/>
              </w:rPr>
            </w:pPr>
            <w:r>
              <w:rPr>
                <w:rFonts w:eastAsia="Times New Roman"/>
                <w:color w:val="000000"/>
                <w:sz w:val="18"/>
                <w:szCs w:val="18"/>
                <w:lang w:val="fr-FR" w:eastAsia="fr-FR"/>
              </w:rPr>
              <w:t>HMRC</w:t>
            </w:r>
          </w:p>
        </w:tc>
        <w:tc>
          <w:tcPr>
            <w:tcW w:w="4423" w:type="pct"/>
            <w:tcBorders>
              <w:top w:val="nil"/>
              <w:left w:val="nil"/>
              <w:bottom w:val="nil"/>
              <w:right w:val="nil"/>
            </w:tcBorders>
            <w:shd w:val="clear" w:color="000000" w:fill="BDD7EE"/>
            <w:vAlign w:val="center"/>
          </w:tcPr>
          <w:p w14:paraId="78049809" w14:textId="479520A3" w:rsidR="008A3AAE" w:rsidRPr="00085C8A" w:rsidRDefault="008A3AAE" w:rsidP="00085C8A">
            <w:pPr>
              <w:rPr>
                <w:rFonts w:eastAsia="Times New Roman"/>
                <w:color w:val="000000"/>
                <w:sz w:val="18"/>
                <w:szCs w:val="18"/>
                <w:lang w:val="fr-FR" w:eastAsia="fr-FR"/>
              </w:rPr>
            </w:pPr>
            <w:r>
              <w:rPr>
                <w:rFonts w:eastAsia="Times New Roman"/>
                <w:color w:val="000000"/>
                <w:sz w:val="18"/>
                <w:szCs w:val="18"/>
                <w:lang w:val="fr-FR" w:eastAsia="fr-FR"/>
              </w:rPr>
              <w:t xml:space="preserve">Her </w:t>
            </w:r>
            <w:proofErr w:type="spellStart"/>
            <w:r>
              <w:rPr>
                <w:rFonts w:eastAsia="Times New Roman"/>
                <w:color w:val="000000"/>
                <w:sz w:val="18"/>
                <w:szCs w:val="18"/>
                <w:lang w:val="fr-FR" w:eastAsia="fr-FR"/>
              </w:rPr>
              <w:t>Majesty’s</w:t>
            </w:r>
            <w:proofErr w:type="spellEnd"/>
            <w:r>
              <w:rPr>
                <w:rFonts w:eastAsia="Times New Roman"/>
                <w:color w:val="000000"/>
                <w:sz w:val="18"/>
                <w:szCs w:val="18"/>
                <w:lang w:val="fr-FR" w:eastAsia="fr-FR"/>
              </w:rPr>
              <w:t xml:space="preserve"> Revenue and Customs</w:t>
            </w:r>
          </w:p>
        </w:tc>
      </w:tr>
      <w:tr w:rsidR="00085C8A" w:rsidRPr="00085C8A" w14:paraId="4B44EF77" w14:textId="77777777" w:rsidTr="00085C8A">
        <w:trPr>
          <w:trHeight w:val="340"/>
        </w:trPr>
        <w:tc>
          <w:tcPr>
            <w:tcW w:w="577" w:type="pct"/>
            <w:tcBorders>
              <w:top w:val="nil"/>
              <w:left w:val="nil"/>
              <w:bottom w:val="nil"/>
              <w:right w:val="nil"/>
            </w:tcBorders>
            <w:shd w:val="clear" w:color="000000" w:fill="BDD7EE"/>
            <w:vAlign w:val="center"/>
            <w:hideMark/>
          </w:tcPr>
          <w:p w14:paraId="4B8215F3"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LNG</w:t>
            </w:r>
          </w:p>
        </w:tc>
        <w:tc>
          <w:tcPr>
            <w:tcW w:w="4423" w:type="pct"/>
            <w:tcBorders>
              <w:top w:val="nil"/>
              <w:left w:val="nil"/>
              <w:bottom w:val="nil"/>
              <w:right w:val="nil"/>
            </w:tcBorders>
            <w:shd w:val="clear" w:color="000000" w:fill="BDD7EE"/>
            <w:vAlign w:val="center"/>
            <w:hideMark/>
          </w:tcPr>
          <w:p w14:paraId="5890EF9B"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Liquefied</w:t>
            </w:r>
            <w:proofErr w:type="spellEnd"/>
            <w:r w:rsidRPr="00085C8A">
              <w:rPr>
                <w:rFonts w:eastAsia="Times New Roman"/>
                <w:color w:val="000000"/>
                <w:sz w:val="18"/>
                <w:szCs w:val="18"/>
                <w:lang w:val="fr-FR" w:eastAsia="fr-FR"/>
              </w:rPr>
              <w:t xml:space="preserve"> Natural Gas </w:t>
            </w:r>
          </w:p>
        </w:tc>
      </w:tr>
      <w:tr w:rsidR="00085C8A" w:rsidRPr="00085C8A" w14:paraId="5D8435D9" w14:textId="77777777" w:rsidTr="00085C8A">
        <w:trPr>
          <w:trHeight w:val="340"/>
        </w:trPr>
        <w:tc>
          <w:tcPr>
            <w:tcW w:w="577" w:type="pct"/>
            <w:tcBorders>
              <w:top w:val="nil"/>
              <w:left w:val="nil"/>
              <w:bottom w:val="nil"/>
              <w:right w:val="nil"/>
            </w:tcBorders>
            <w:shd w:val="clear" w:color="auto" w:fill="auto"/>
            <w:vAlign w:val="center"/>
            <w:hideMark/>
          </w:tcPr>
          <w:p w14:paraId="2EA3801F"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MEA</w:t>
            </w:r>
          </w:p>
        </w:tc>
        <w:tc>
          <w:tcPr>
            <w:tcW w:w="4423" w:type="pct"/>
            <w:tcBorders>
              <w:top w:val="nil"/>
              <w:left w:val="nil"/>
              <w:bottom w:val="nil"/>
              <w:right w:val="nil"/>
            </w:tcBorders>
            <w:shd w:val="clear" w:color="auto" w:fill="auto"/>
            <w:vAlign w:val="center"/>
            <w:hideMark/>
          </w:tcPr>
          <w:p w14:paraId="51770193"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Mineral</w:t>
            </w:r>
            <w:proofErr w:type="spellEnd"/>
            <w:r w:rsidRPr="00085C8A">
              <w:rPr>
                <w:rFonts w:eastAsia="Times New Roman"/>
                <w:color w:val="000000"/>
                <w:sz w:val="18"/>
                <w:szCs w:val="18"/>
                <w:lang w:val="fr-FR" w:eastAsia="fr-FR"/>
              </w:rPr>
              <w:t xml:space="preserve"> Extraction </w:t>
            </w:r>
            <w:proofErr w:type="spellStart"/>
            <w:r w:rsidRPr="00085C8A">
              <w:rPr>
                <w:rFonts w:eastAsia="Times New Roman"/>
                <w:color w:val="000000"/>
                <w:sz w:val="18"/>
                <w:szCs w:val="18"/>
                <w:lang w:val="fr-FR" w:eastAsia="fr-FR"/>
              </w:rPr>
              <w:t>Allowance</w:t>
            </w:r>
            <w:proofErr w:type="spellEnd"/>
          </w:p>
        </w:tc>
      </w:tr>
      <w:tr w:rsidR="00085C8A" w:rsidRPr="00085C8A" w14:paraId="3E19CC1A" w14:textId="77777777" w:rsidTr="00085C8A">
        <w:trPr>
          <w:trHeight w:val="340"/>
        </w:trPr>
        <w:tc>
          <w:tcPr>
            <w:tcW w:w="577" w:type="pct"/>
            <w:tcBorders>
              <w:top w:val="nil"/>
              <w:left w:val="nil"/>
              <w:bottom w:val="nil"/>
              <w:right w:val="nil"/>
            </w:tcBorders>
            <w:shd w:val="clear" w:color="000000" w:fill="BDD7EE"/>
            <w:vAlign w:val="center"/>
            <w:hideMark/>
          </w:tcPr>
          <w:p w14:paraId="3412B0AE"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NBP</w:t>
            </w:r>
          </w:p>
        </w:tc>
        <w:tc>
          <w:tcPr>
            <w:tcW w:w="4423" w:type="pct"/>
            <w:tcBorders>
              <w:top w:val="nil"/>
              <w:left w:val="nil"/>
              <w:bottom w:val="nil"/>
              <w:right w:val="nil"/>
            </w:tcBorders>
            <w:shd w:val="clear" w:color="000000" w:fill="BDD7EE"/>
            <w:vAlign w:val="center"/>
            <w:hideMark/>
          </w:tcPr>
          <w:p w14:paraId="4C10DDCD"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National Balancing Point</w:t>
            </w:r>
          </w:p>
        </w:tc>
      </w:tr>
      <w:tr w:rsidR="008E286E" w:rsidRPr="00085C8A" w14:paraId="035E6E97" w14:textId="77777777" w:rsidTr="00553168">
        <w:trPr>
          <w:trHeight w:val="340"/>
        </w:trPr>
        <w:tc>
          <w:tcPr>
            <w:tcW w:w="577" w:type="pct"/>
            <w:tcBorders>
              <w:top w:val="nil"/>
              <w:left w:val="nil"/>
              <w:bottom w:val="nil"/>
              <w:right w:val="nil"/>
            </w:tcBorders>
            <w:shd w:val="clear" w:color="auto" w:fill="auto"/>
            <w:vAlign w:val="center"/>
            <w:hideMark/>
          </w:tcPr>
          <w:p w14:paraId="38D82727" w14:textId="77777777" w:rsidR="008E286E" w:rsidRPr="00085C8A" w:rsidRDefault="008E286E" w:rsidP="00553168">
            <w:pPr>
              <w:rPr>
                <w:rFonts w:eastAsia="Times New Roman"/>
                <w:color w:val="000000"/>
                <w:sz w:val="18"/>
                <w:szCs w:val="18"/>
                <w:lang w:val="fr-FR" w:eastAsia="fr-FR"/>
              </w:rPr>
            </w:pPr>
            <w:proofErr w:type="spellStart"/>
            <w:r>
              <w:rPr>
                <w:rFonts w:eastAsia="Times New Roman"/>
                <w:color w:val="000000"/>
                <w:sz w:val="18"/>
                <w:szCs w:val="18"/>
                <w:lang w:val="fr-FR" w:eastAsia="fr-FR"/>
              </w:rPr>
              <w:t>NGLs</w:t>
            </w:r>
            <w:proofErr w:type="spellEnd"/>
          </w:p>
        </w:tc>
        <w:tc>
          <w:tcPr>
            <w:tcW w:w="4423" w:type="pct"/>
            <w:tcBorders>
              <w:top w:val="nil"/>
              <w:left w:val="nil"/>
              <w:bottom w:val="nil"/>
              <w:right w:val="nil"/>
            </w:tcBorders>
            <w:shd w:val="clear" w:color="auto" w:fill="auto"/>
            <w:vAlign w:val="center"/>
            <w:hideMark/>
          </w:tcPr>
          <w:p w14:paraId="5762C64D" w14:textId="77777777" w:rsidR="008E286E" w:rsidRPr="00085C8A" w:rsidRDefault="008E286E" w:rsidP="00553168">
            <w:pPr>
              <w:rPr>
                <w:rFonts w:eastAsia="Times New Roman"/>
                <w:color w:val="000000"/>
                <w:sz w:val="18"/>
                <w:szCs w:val="18"/>
                <w:lang w:val="fr-FR" w:eastAsia="fr-FR"/>
              </w:rPr>
            </w:pPr>
            <w:r>
              <w:rPr>
                <w:rFonts w:eastAsia="Times New Roman"/>
                <w:color w:val="000000"/>
                <w:sz w:val="18"/>
                <w:szCs w:val="18"/>
                <w:lang w:val="fr-FR" w:eastAsia="fr-FR"/>
              </w:rPr>
              <w:t xml:space="preserve">Natural Gas </w:t>
            </w:r>
            <w:proofErr w:type="spellStart"/>
            <w:r>
              <w:rPr>
                <w:rFonts w:eastAsia="Times New Roman"/>
                <w:color w:val="000000"/>
                <w:sz w:val="18"/>
                <w:szCs w:val="18"/>
                <w:lang w:val="fr-FR" w:eastAsia="fr-FR"/>
              </w:rPr>
              <w:t>Liquids</w:t>
            </w:r>
            <w:proofErr w:type="spellEnd"/>
          </w:p>
        </w:tc>
      </w:tr>
      <w:tr w:rsidR="00085C8A" w:rsidRPr="00085C8A" w14:paraId="25716B27" w14:textId="77777777" w:rsidTr="00085C8A">
        <w:trPr>
          <w:trHeight w:val="340"/>
        </w:trPr>
        <w:tc>
          <w:tcPr>
            <w:tcW w:w="577" w:type="pct"/>
            <w:tcBorders>
              <w:top w:val="nil"/>
              <w:left w:val="nil"/>
              <w:bottom w:val="nil"/>
              <w:right w:val="nil"/>
            </w:tcBorders>
            <w:shd w:val="clear" w:color="auto" w:fill="auto"/>
            <w:vAlign w:val="center"/>
            <w:hideMark/>
          </w:tcPr>
          <w:p w14:paraId="7EB7D7FC"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6DE5D6E1"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Office for Budget </w:t>
            </w:r>
            <w:proofErr w:type="spellStart"/>
            <w:r w:rsidRPr="00085C8A">
              <w:rPr>
                <w:rFonts w:eastAsia="Times New Roman"/>
                <w:color w:val="000000"/>
                <w:sz w:val="18"/>
                <w:szCs w:val="18"/>
                <w:lang w:val="fr-FR" w:eastAsia="fr-FR"/>
              </w:rPr>
              <w:t>Responsibility</w:t>
            </w:r>
            <w:proofErr w:type="spellEnd"/>
          </w:p>
        </w:tc>
      </w:tr>
      <w:tr w:rsidR="00085C8A" w:rsidRPr="00085C8A" w14:paraId="4A851E00" w14:textId="77777777" w:rsidTr="00085C8A">
        <w:trPr>
          <w:trHeight w:val="340"/>
        </w:trPr>
        <w:tc>
          <w:tcPr>
            <w:tcW w:w="577" w:type="pct"/>
            <w:tcBorders>
              <w:top w:val="nil"/>
              <w:left w:val="nil"/>
              <w:bottom w:val="nil"/>
              <w:right w:val="nil"/>
            </w:tcBorders>
            <w:shd w:val="clear" w:color="000000" w:fill="BDD7EE"/>
            <w:vAlign w:val="center"/>
            <w:hideMark/>
          </w:tcPr>
          <w:p w14:paraId="0B2882ED"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2C3363B7"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Oil and Gas Authority</w:t>
            </w:r>
          </w:p>
        </w:tc>
      </w:tr>
      <w:tr w:rsidR="00361999" w:rsidRPr="00085C8A" w14:paraId="43FF57F8" w14:textId="77777777" w:rsidTr="00085C8A">
        <w:trPr>
          <w:trHeight w:val="340"/>
        </w:trPr>
        <w:tc>
          <w:tcPr>
            <w:tcW w:w="577" w:type="pct"/>
            <w:tcBorders>
              <w:top w:val="nil"/>
              <w:left w:val="nil"/>
              <w:bottom w:val="nil"/>
              <w:right w:val="nil"/>
            </w:tcBorders>
            <w:shd w:val="clear" w:color="auto" w:fill="auto"/>
            <w:vAlign w:val="center"/>
          </w:tcPr>
          <w:p w14:paraId="6FD5D97E" w14:textId="656EA1EF" w:rsidR="00361999" w:rsidRPr="00085C8A" w:rsidRDefault="00361999" w:rsidP="00085C8A">
            <w:pPr>
              <w:rPr>
                <w:rFonts w:eastAsia="Times New Roman"/>
                <w:color w:val="000000"/>
                <w:sz w:val="18"/>
                <w:szCs w:val="18"/>
                <w:lang w:val="fr-FR" w:eastAsia="fr-FR"/>
              </w:rPr>
            </w:pPr>
            <w:r>
              <w:rPr>
                <w:rFonts w:eastAsia="Times New Roman"/>
                <w:color w:val="000000"/>
                <w:sz w:val="18"/>
                <w:szCs w:val="18"/>
                <w:lang w:val="fr-FR" w:eastAsia="fr-FR"/>
              </w:rPr>
              <w:t>ONS</w:t>
            </w:r>
          </w:p>
        </w:tc>
        <w:tc>
          <w:tcPr>
            <w:tcW w:w="4423" w:type="pct"/>
            <w:tcBorders>
              <w:top w:val="nil"/>
              <w:left w:val="nil"/>
              <w:bottom w:val="nil"/>
              <w:right w:val="nil"/>
            </w:tcBorders>
            <w:shd w:val="clear" w:color="auto" w:fill="auto"/>
            <w:vAlign w:val="center"/>
          </w:tcPr>
          <w:p w14:paraId="7A059A5A" w14:textId="33059F87" w:rsidR="00361999" w:rsidRPr="00085C8A" w:rsidRDefault="00361999" w:rsidP="00085C8A">
            <w:pPr>
              <w:rPr>
                <w:rFonts w:eastAsia="Times New Roman"/>
                <w:color w:val="000000"/>
                <w:sz w:val="18"/>
                <w:szCs w:val="18"/>
                <w:lang w:val="fr-FR" w:eastAsia="fr-FR"/>
              </w:rPr>
            </w:pPr>
            <w:r>
              <w:rPr>
                <w:rFonts w:eastAsia="Times New Roman"/>
                <w:color w:val="000000"/>
                <w:sz w:val="18"/>
                <w:szCs w:val="18"/>
                <w:lang w:val="fr-FR" w:eastAsia="fr-FR"/>
              </w:rPr>
              <w:t xml:space="preserve">Office of National </w:t>
            </w:r>
            <w:proofErr w:type="spellStart"/>
            <w:r>
              <w:rPr>
                <w:rFonts w:eastAsia="Times New Roman"/>
                <w:color w:val="000000"/>
                <w:sz w:val="18"/>
                <w:szCs w:val="18"/>
                <w:lang w:val="fr-FR" w:eastAsia="fr-FR"/>
              </w:rPr>
              <w:t>Statistics</w:t>
            </w:r>
            <w:proofErr w:type="spellEnd"/>
          </w:p>
        </w:tc>
      </w:tr>
      <w:tr w:rsidR="00085C8A" w:rsidRPr="00085C8A" w14:paraId="62AA8985" w14:textId="77777777" w:rsidTr="00085C8A">
        <w:trPr>
          <w:trHeight w:val="340"/>
        </w:trPr>
        <w:tc>
          <w:tcPr>
            <w:tcW w:w="577" w:type="pct"/>
            <w:tcBorders>
              <w:top w:val="nil"/>
              <w:left w:val="nil"/>
              <w:bottom w:val="nil"/>
              <w:right w:val="nil"/>
            </w:tcBorders>
            <w:shd w:val="clear" w:color="auto" w:fill="auto"/>
            <w:vAlign w:val="center"/>
            <w:hideMark/>
          </w:tcPr>
          <w:p w14:paraId="6FDCBA84"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PEDL</w:t>
            </w:r>
          </w:p>
        </w:tc>
        <w:tc>
          <w:tcPr>
            <w:tcW w:w="4423" w:type="pct"/>
            <w:tcBorders>
              <w:top w:val="nil"/>
              <w:left w:val="nil"/>
              <w:bottom w:val="nil"/>
              <w:right w:val="nil"/>
            </w:tcBorders>
            <w:shd w:val="clear" w:color="auto" w:fill="auto"/>
            <w:vAlign w:val="center"/>
            <w:hideMark/>
          </w:tcPr>
          <w:p w14:paraId="01EC55F7"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Petroleum Exploration and Development Licence</w:t>
            </w:r>
          </w:p>
        </w:tc>
      </w:tr>
      <w:tr w:rsidR="00085C8A" w:rsidRPr="00085C8A" w14:paraId="771FAD30" w14:textId="77777777" w:rsidTr="00085C8A">
        <w:trPr>
          <w:trHeight w:val="340"/>
        </w:trPr>
        <w:tc>
          <w:tcPr>
            <w:tcW w:w="577" w:type="pct"/>
            <w:tcBorders>
              <w:top w:val="nil"/>
              <w:left w:val="nil"/>
              <w:bottom w:val="nil"/>
              <w:right w:val="nil"/>
            </w:tcBorders>
            <w:shd w:val="clear" w:color="000000" w:fill="BDD7EE"/>
            <w:vAlign w:val="center"/>
            <w:hideMark/>
          </w:tcPr>
          <w:p w14:paraId="436A9447"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PMA</w:t>
            </w:r>
          </w:p>
        </w:tc>
        <w:tc>
          <w:tcPr>
            <w:tcW w:w="4423" w:type="pct"/>
            <w:tcBorders>
              <w:top w:val="nil"/>
              <w:left w:val="nil"/>
              <w:bottom w:val="nil"/>
              <w:right w:val="nil"/>
            </w:tcBorders>
            <w:shd w:val="clear" w:color="000000" w:fill="BDD7EE"/>
            <w:vAlign w:val="center"/>
            <w:hideMark/>
          </w:tcPr>
          <w:p w14:paraId="6AC733EB"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Plant and </w:t>
            </w:r>
            <w:proofErr w:type="spellStart"/>
            <w:r w:rsidRPr="00085C8A">
              <w:rPr>
                <w:rFonts w:eastAsia="Times New Roman"/>
                <w:color w:val="000000"/>
                <w:sz w:val="18"/>
                <w:szCs w:val="18"/>
                <w:lang w:val="fr-FR" w:eastAsia="fr-FR"/>
              </w:rPr>
              <w:t>Machinery</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Allowances</w:t>
            </w:r>
            <w:proofErr w:type="spellEnd"/>
          </w:p>
        </w:tc>
      </w:tr>
      <w:tr w:rsidR="00085C8A" w:rsidRPr="00085C8A" w14:paraId="5EF86730" w14:textId="77777777" w:rsidTr="00085C8A">
        <w:trPr>
          <w:trHeight w:val="340"/>
        </w:trPr>
        <w:tc>
          <w:tcPr>
            <w:tcW w:w="577" w:type="pct"/>
            <w:tcBorders>
              <w:top w:val="nil"/>
              <w:left w:val="nil"/>
              <w:bottom w:val="nil"/>
              <w:right w:val="nil"/>
            </w:tcBorders>
            <w:shd w:val="clear" w:color="auto" w:fill="auto"/>
            <w:vAlign w:val="center"/>
            <w:hideMark/>
          </w:tcPr>
          <w:p w14:paraId="1543FD28"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PRT</w:t>
            </w:r>
          </w:p>
        </w:tc>
        <w:tc>
          <w:tcPr>
            <w:tcW w:w="4423" w:type="pct"/>
            <w:tcBorders>
              <w:top w:val="nil"/>
              <w:left w:val="nil"/>
              <w:bottom w:val="nil"/>
              <w:right w:val="nil"/>
            </w:tcBorders>
            <w:shd w:val="clear" w:color="auto" w:fill="auto"/>
            <w:vAlign w:val="center"/>
            <w:hideMark/>
          </w:tcPr>
          <w:p w14:paraId="6C539E9A"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Petroleum Revenue Tax</w:t>
            </w:r>
          </w:p>
        </w:tc>
      </w:tr>
      <w:tr w:rsidR="00085C8A" w:rsidRPr="00085C8A" w14:paraId="5FE8DEF9" w14:textId="77777777" w:rsidTr="00085C8A">
        <w:trPr>
          <w:trHeight w:val="340"/>
        </w:trPr>
        <w:tc>
          <w:tcPr>
            <w:tcW w:w="577" w:type="pct"/>
            <w:tcBorders>
              <w:top w:val="nil"/>
              <w:left w:val="nil"/>
              <w:bottom w:val="nil"/>
              <w:right w:val="nil"/>
            </w:tcBorders>
            <w:shd w:val="clear" w:color="000000" w:fill="BDD7EE"/>
            <w:vAlign w:val="center"/>
            <w:hideMark/>
          </w:tcPr>
          <w:p w14:paraId="7A9B9658"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QIP</w:t>
            </w:r>
          </w:p>
        </w:tc>
        <w:tc>
          <w:tcPr>
            <w:tcW w:w="4423" w:type="pct"/>
            <w:tcBorders>
              <w:top w:val="nil"/>
              <w:left w:val="nil"/>
              <w:bottom w:val="nil"/>
              <w:right w:val="nil"/>
            </w:tcBorders>
            <w:shd w:val="clear" w:color="000000" w:fill="BDD7EE"/>
            <w:vAlign w:val="center"/>
            <w:hideMark/>
          </w:tcPr>
          <w:p w14:paraId="3DE39C1D"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Quarterly</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Instalment</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Payment</w:t>
            </w:r>
            <w:proofErr w:type="spellEnd"/>
          </w:p>
        </w:tc>
      </w:tr>
      <w:tr w:rsidR="00085C8A" w:rsidRPr="00085C8A" w14:paraId="06F7151A" w14:textId="77777777" w:rsidTr="00085C8A">
        <w:trPr>
          <w:trHeight w:val="340"/>
        </w:trPr>
        <w:tc>
          <w:tcPr>
            <w:tcW w:w="577" w:type="pct"/>
            <w:tcBorders>
              <w:top w:val="nil"/>
              <w:left w:val="nil"/>
              <w:bottom w:val="nil"/>
              <w:right w:val="nil"/>
            </w:tcBorders>
            <w:shd w:val="clear" w:color="auto" w:fill="auto"/>
            <w:vAlign w:val="center"/>
            <w:hideMark/>
          </w:tcPr>
          <w:p w14:paraId="03BED984"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RDA</w:t>
            </w:r>
          </w:p>
        </w:tc>
        <w:tc>
          <w:tcPr>
            <w:tcW w:w="4423" w:type="pct"/>
            <w:tcBorders>
              <w:top w:val="nil"/>
              <w:left w:val="nil"/>
              <w:bottom w:val="nil"/>
              <w:right w:val="nil"/>
            </w:tcBorders>
            <w:shd w:val="clear" w:color="auto" w:fill="auto"/>
            <w:vAlign w:val="center"/>
            <w:hideMark/>
          </w:tcPr>
          <w:p w14:paraId="4BAB5560"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Research</w:t>
            </w:r>
            <w:proofErr w:type="spellEnd"/>
            <w:r w:rsidRPr="00085C8A">
              <w:rPr>
                <w:rFonts w:eastAsia="Times New Roman"/>
                <w:color w:val="000000"/>
                <w:sz w:val="18"/>
                <w:szCs w:val="18"/>
                <w:lang w:val="fr-FR" w:eastAsia="fr-FR"/>
              </w:rPr>
              <w:t xml:space="preserve"> and Development </w:t>
            </w:r>
            <w:proofErr w:type="spellStart"/>
            <w:r w:rsidRPr="00085C8A">
              <w:rPr>
                <w:rFonts w:eastAsia="Times New Roman"/>
                <w:color w:val="000000"/>
                <w:sz w:val="18"/>
                <w:szCs w:val="18"/>
                <w:lang w:val="fr-FR" w:eastAsia="fr-FR"/>
              </w:rPr>
              <w:t>Allowance</w:t>
            </w:r>
            <w:proofErr w:type="spellEnd"/>
          </w:p>
        </w:tc>
      </w:tr>
      <w:tr w:rsidR="00085C8A" w:rsidRPr="00085C8A" w14:paraId="1EC4C0DC" w14:textId="77777777" w:rsidTr="00085C8A">
        <w:trPr>
          <w:trHeight w:val="340"/>
        </w:trPr>
        <w:tc>
          <w:tcPr>
            <w:tcW w:w="577" w:type="pct"/>
            <w:tcBorders>
              <w:top w:val="nil"/>
              <w:left w:val="nil"/>
              <w:bottom w:val="nil"/>
              <w:right w:val="nil"/>
            </w:tcBorders>
            <w:shd w:val="clear" w:color="000000" w:fill="BDD7EE"/>
            <w:vAlign w:val="center"/>
            <w:hideMark/>
          </w:tcPr>
          <w:p w14:paraId="4FF13606"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RFCT</w:t>
            </w:r>
          </w:p>
        </w:tc>
        <w:tc>
          <w:tcPr>
            <w:tcW w:w="4423" w:type="pct"/>
            <w:tcBorders>
              <w:top w:val="nil"/>
              <w:left w:val="nil"/>
              <w:bottom w:val="nil"/>
              <w:right w:val="nil"/>
            </w:tcBorders>
            <w:shd w:val="clear" w:color="000000" w:fill="BDD7EE"/>
            <w:vAlign w:val="center"/>
            <w:hideMark/>
          </w:tcPr>
          <w:p w14:paraId="73B26B21"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Ring </w:t>
            </w:r>
            <w:proofErr w:type="spellStart"/>
            <w:r w:rsidRPr="00085C8A">
              <w:rPr>
                <w:rFonts w:eastAsia="Times New Roman"/>
                <w:color w:val="000000"/>
                <w:sz w:val="18"/>
                <w:szCs w:val="18"/>
                <w:lang w:val="fr-FR" w:eastAsia="fr-FR"/>
              </w:rPr>
              <w:t>Fence</w:t>
            </w:r>
            <w:proofErr w:type="spellEnd"/>
            <w:r w:rsidRPr="00085C8A">
              <w:rPr>
                <w:rFonts w:eastAsia="Times New Roman"/>
                <w:color w:val="000000"/>
                <w:sz w:val="18"/>
                <w:szCs w:val="18"/>
                <w:lang w:val="fr-FR" w:eastAsia="fr-FR"/>
              </w:rPr>
              <w:t xml:space="preserve"> Corporation Tax</w:t>
            </w:r>
          </w:p>
        </w:tc>
      </w:tr>
      <w:tr w:rsidR="00085C8A" w:rsidRPr="00085C8A" w14:paraId="0A20B740" w14:textId="77777777" w:rsidTr="00085C8A">
        <w:trPr>
          <w:trHeight w:val="340"/>
        </w:trPr>
        <w:tc>
          <w:tcPr>
            <w:tcW w:w="577" w:type="pct"/>
            <w:tcBorders>
              <w:top w:val="nil"/>
              <w:left w:val="nil"/>
              <w:bottom w:val="nil"/>
              <w:right w:val="nil"/>
            </w:tcBorders>
            <w:shd w:val="clear" w:color="auto" w:fill="auto"/>
            <w:vAlign w:val="center"/>
            <w:hideMark/>
          </w:tcPr>
          <w:p w14:paraId="7D2772BD"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RFES</w:t>
            </w:r>
          </w:p>
        </w:tc>
        <w:tc>
          <w:tcPr>
            <w:tcW w:w="4423" w:type="pct"/>
            <w:tcBorders>
              <w:top w:val="nil"/>
              <w:left w:val="nil"/>
              <w:bottom w:val="nil"/>
              <w:right w:val="nil"/>
            </w:tcBorders>
            <w:shd w:val="clear" w:color="auto" w:fill="auto"/>
            <w:vAlign w:val="center"/>
            <w:hideMark/>
          </w:tcPr>
          <w:p w14:paraId="6D69AD0D"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Ring </w:t>
            </w:r>
            <w:proofErr w:type="spellStart"/>
            <w:r w:rsidRPr="00085C8A">
              <w:rPr>
                <w:rFonts w:eastAsia="Times New Roman"/>
                <w:color w:val="000000"/>
                <w:sz w:val="18"/>
                <w:szCs w:val="18"/>
                <w:lang w:val="fr-FR" w:eastAsia="fr-FR"/>
              </w:rPr>
              <w:t>Fence</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Expenditure</w:t>
            </w:r>
            <w:proofErr w:type="spellEnd"/>
            <w:r w:rsidRPr="00085C8A">
              <w:rPr>
                <w:rFonts w:eastAsia="Times New Roman"/>
                <w:color w:val="000000"/>
                <w:sz w:val="18"/>
                <w:szCs w:val="18"/>
                <w:lang w:val="fr-FR" w:eastAsia="fr-FR"/>
              </w:rPr>
              <w:t xml:space="preserve"> </w:t>
            </w:r>
            <w:proofErr w:type="spellStart"/>
            <w:r w:rsidRPr="00085C8A">
              <w:rPr>
                <w:rFonts w:eastAsia="Times New Roman"/>
                <w:color w:val="000000"/>
                <w:sz w:val="18"/>
                <w:szCs w:val="18"/>
                <w:lang w:val="fr-FR" w:eastAsia="fr-FR"/>
              </w:rPr>
              <w:t>Supplement</w:t>
            </w:r>
            <w:proofErr w:type="spellEnd"/>
          </w:p>
        </w:tc>
      </w:tr>
      <w:tr w:rsidR="00085C8A" w:rsidRPr="00085C8A" w14:paraId="38795128" w14:textId="77777777" w:rsidTr="00085C8A">
        <w:trPr>
          <w:trHeight w:val="340"/>
        </w:trPr>
        <w:tc>
          <w:tcPr>
            <w:tcW w:w="577" w:type="pct"/>
            <w:tcBorders>
              <w:top w:val="nil"/>
              <w:left w:val="nil"/>
              <w:bottom w:val="nil"/>
              <w:right w:val="nil"/>
            </w:tcBorders>
            <w:shd w:val="clear" w:color="000000" w:fill="BDD7EE"/>
            <w:vAlign w:val="center"/>
            <w:hideMark/>
          </w:tcPr>
          <w:p w14:paraId="2422B88A"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SC</w:t>
            </w:r>
          </w:p>
        </w:tc>
        <w:tc>
          <w:tcPr>
            <w:tcW w:w="4423" w:type="pct"/>
            <w:tcBorders>
              <w:top w:val="nil"/>
              <w:left w:val="nil"/>
              <w:bottom w:val="nil"/>
              <w:right w:val="nil"/>
            </w:tcBorders>
            <w:shd w:val="clear" w:color="000000" w:fill="BDD7EE"/>
            <w:vAlign w:val="center"/>
            <w:hideMark/>
          </w:tcPr>
          <w:p w14:paraId="630E5900"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Supplementary</w:t>
            </w:r>
            <w:proofErr w:type="spellEnd"/>
            <w:r w:rsidRPr="00085C8A">
              <w:rPr>
                <w:rFonts w:eastAsia="Times New Roman"/>
                <w:color w:val="000000"/>
                <w:sz w:val="18"/>
                <w:szCs w:val="18"/>
                <w:lang w:val="fr-FR" w:eastAsia="fr-FR"/>
              </w:rPr>
              <w:t xml:space="preserve"> Charge</w:t>
            </w:r>
          </w:p>
        </w:tc>
      </w:tr>
      <w:tr w:rsidR="00085C8A" w:rsidRPr="00085C8A" w14:paraId="32DF9AAB" w14:textId="77777777" w:rsidTr="00085C8A">
        <w:trPr>
          <w:trHeight w:val="340"/>
        </w:trPr>
        <w:tc>
          <w:tcPr>
            <w:tcW w:w="577" w:type="pct"/>
            <w:tcBorders>
              <w:top w:val="nil"/>
              <w:left w:val="nil"/>
              <w:bottom w:val="nil"/>
              <w:right w:val="nil"/>
            </w:tcBorders>
            <w:shd w:val="clear" w:color="auto" w:fill="auto"/>
            <w:vAlign w:val="center"/>
            <w:hideMark/>
          </w:tcPr>
          <w:p w14:paraId="212B448C"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SPD</w:t>
            </w:r>
          </w:p>
        </w:tc>
        <w:tc>
          <w:tcPr>
            <w:tcW w:w="4423" w:type="pct"/>
            <w:tcBorders>
              <w:top w:val="nil"/>
              <w:left w:val="nil"/>
              <w:bottom w:val="nil"/>
              <w:right w:val="nil"/>
            </w:tcBorders>
            <w:shd w:val="clear" w:color="auto" w:fill="auto"/>
            <w:vAlign w:val="center"/>
            <w:hideMark/>
          </w:tcPr>
          <w:p w14:paraId="13F1809C" w14:textId="77777777" w:rsidR="00085C8A" w:rsidRPr="00085C8A" w:rsidRDefault="00085C8A" w:rsidP="00085C8A">
            <w:pPr>
              <w:rPr>
                <w:rFonts w:eastAsia="Times New Roman"/>
                <w:color w:val="000000"/>
                <w:sz w:val="18"/>
                <w:szCs w:val="18"/>
                <w:lang w:val="fr-FR" w:eastAsia="fr-FR"/>
              </w:rPr>
            </w:pPr>
            <w:proofErr w:type="spellStart"/>
            <w:r w:rsidRPr="00085C8A">
              <w:rPr>
                <w:rFonts w:eastAsia="Times New Roman"/>
                <w:color w:val="000000"/>
                <w:sz w:val="18"/>
                <w:szCs w:val="18"/>
                <w:lang w:val="fr-FR" w:eastAsia="fr-FR"/>
              </w:rPr>
              <w:t>Supplementary</w:t>
            </w:r>
            <w:proofErr w:type="spellEnd"/>
            <w:r w:rsidRPr="00085C8A">
              <w:rPr>
                <w:rFonts w:eastAsia="Times New Roman"/>
                <w:color w:val="000000"/>
                <w:sz w:val="18"/>
                <w:szCs w:val="18"/>
                <w:lang w:val="fr-FR" w:eastAsia="fr-FR"/>
              </w:rPr>
              <w:t xml:space="preserve"> Petroleum Duty</w:t>
            </w:r>
          </w:p>
        </w:tc>
      </w:tr>
      <w:tr w:rsidR="00085C8A" w:rsidRPr="00085C8A" w14:paraId="028A11FD" w14:textId="77777777" w:rsidTr="00085C8A">
        <w:trPr>
          <w:trHeight w:val="340"/>
        </w:trPr>
        <w:tc>
          <w:tcPr>
            <w:tcW w:w="577" w:type="pct"/>
            <w:tcBorders>
              <w:top w:val="nil"/>
              <w:left w:val="nil"/>
              <w:bottom w:val="nil"/>
              <w:right w:val="nil"/>
            </w:tcBorders>
            <w:shd w:val="clear" w:color="000000" w:fill="BDD7EE"/>
            <w:vAlign w:val="center"/>
            <w:hideMark/>
          </w:tcPr>
          <w:p w14:paraId="473D5C3A"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TCE</w:t>
            </w:r>
          </w:p>
        </w:tc>
        <w:tc>
          <w:tcPr>
            <w:tcW w:w="4423" w:type="pct"/>
            <w:tcBorders>
              <w:top w:val="nil"/>
              <w:left w:val="nil"/>
              <w:bottom w:val="nil"/>
              <w:right w:val="nil"/>
            </w:tcBorders>
            <w:shd w:val="clear" w:color="000000" w:fill="BDD7EE"/>
            <w:vAlign w:val="center"/>
            <w:hideMark/>
          </w:tcPr>
          <w:p w14:paraId="1807E933"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The Crown </w:t>
            </w:r>
            <w:proofErr w:type="spellStart"/>
            <w:r w:rsidRPr="00085C8A">
              <w:rPr>
                <w:rFonts w:eastAsia="Times New Roman"/>
                <w:color w:val="000000"/>
                <w:sz w:val="18"/>
                <w:szCs w:val="18"/>
                <w:lang w:val="fr-FR" w:eastAsia="fr-FR"/>
              </w:rPr>
              <w:t>Estate</w:t>
            </w:r>
            <w:proofErr w:type="spellEnd"/>
          </w:p>
        </w:tc>
      </w:tr>
      <w:tr w:rsidR="005B7691" w:rsidRPr="00085C8A" w14:paraId="21B31FFF" w14:textId="77777777" w:rsidTr="00085C8A">
        <w:trPr>
          <w:trHeight w:val="340"/>
        </w:trPr>
        <w:tc>
          <w:tcPr>
            <w:tcW w:w="577" w:type="pct"/>
            <w:tcBorders>
              <w:top w:val="nil"/>
              <w:left w:val="nil"/>
              <w:bottom w:val="nil"/>
              <w:right w:val="nil"/>
            </w:tcBorders>
            <w:shd w:val="clear" w:color="auto" w:fill="auto"/>
            <w:vAlign w:val="center"/>
          </w:tcPr>
          <w:p w14:paraId="1B08BA26" w14:textId="29C9BA15" w:rsidR="005B7691" w:rsidRPr="00085C8A" w:rsidRDefault="00837CEE" w:rsidP="00085C8A">
            <w:pPr>
              <w:rPr>
                <w:rFonts w:eastAsia="Times New Roman"/>
                <w:color w:val="000000"/>
                <w:sz w:val="18"/>
                <w:szCs w:val="18"/>
                <w:lang w:val="fr-FR" w:eastAsia="fr-FR"/>
              </w:rPr>
            </w:pPr>
            <w:r>
              <w:rPr>
                <w:rFonts w:eastAsia="Times New Roman"/>
                <w:color w:val="000000"/>
                <w:sz w:val="18"/>
                <w:szCs w:val="18"/>
                <w:lang w:val="fr-FR" w:eastAsia="fr-FR"/>
              </w:rPr>
              <w:t>TTF</w:t>
            </w:r>
          </w:p>
        </w:tc>
        <w:tc>
          <w:tcPr>
            <w:tcW w:w="4423" w:type="pct"/>
            <w:tcBorders>
              <w:top w:val="nil"/>
              <w:left w:val="nil"/>
              <w:bottom w:val="nil"/>
              <w:right w:val="nil"/>
            </w:tcBorders>
            <w:shd w:val="clear" w:color="auto" w:fill="auto"/>
            <w:vAlign w:val="center"/>
          </w:tcPr>
          <w:p w14:paraId="38DA170D" w14:textId="6A1C6790" w:rsidR="005B7691" w:rsidRPr="00085C8A" w:rsidRDefault="00837CEE" w:rsidP="00085C8A">
            <w:pPr>
              <w:rPr>
                <w:rFonts w:eastAsia="Times New Roman"/>
                <w:color w:val="000000"/>
                <w:sz w:val="18"/>
                <w:szCs w:val="18"/>
                <w:lang w:val="fr-FR" w:eastAsia="fr-FR"/>
              </w:rPr>
            </w:pPr>
            <w:proofErr w:type="spellStart"/>
            <w:r>
              <w:rPr>
                <w:rFonts w:eastAsia="Times New Roman"/>
                <w:color w:val="000000"/>
                <w:sz w:val="18"/>
                <w:szCs w:val="18"/>
                <w:lang w:val="fr-FR" w:eastAsia="fr-FR"/>
              </w:rPr>
              <w:t>Tile</w:t>
            </w:r>
            <w:proofErr w:type="spellEnd"/>
            <w:r>
              <w:rPr>
                <w:rFonts w:eastAsia="Times New Roman"/>
                <w:color w:val="000000"/>
                <w:sz w:val="18"/>
                <w:szCs w:val="18"/>
                <w:lang w:val="fr-FR" w:eastAsia="fr-FR"/>
              </w:rPr>
              <w:t xml:space="preserve"> Transfer Facility</w:t>
            </w:r>
          </w:p>
        </w:tc>
      </w:tr>
      <w:tr w:rsidR="005B7691" w:rsidRPr="00085C8A" w14:paraId="0429DCF0" w14:textId="77777777" w:rsidTr="00085C8A">
        <w:trPr>
          <w:trHeight w:val="340"/>
        </w:trPr>
        <w:tc>
          <w:tcPr>
            <w:tcW w:w="577" w:type="pct"/>
            <w:tcBorders>
              <w:top w:val="nil"/>
              <w:left w:val="nil"/>
              <w:bottom w:val="nil"/>
              <w:right w:val="nil"/>
            </w:tcBorders>
            <w:shd w:val="clear" w:color="auto" w:fill="auto"/>
            <w:vAlign w:val="center"/>
          </w:tcPr>
          <w:p w14:paraId="6FDF3E0B" w14:textId="05DA059C" w:rsidR="005B7691" w:rsidRPr="00085C8A" w:rsidRDefault="00837CEE" w:rsidP="00085C8A">
            <w:pPr>
              <w:rPr>
                <w:rFonts w:eastAsia="Times New Roman"/>
                <w:color w:val="000000"/>
                <w:sz w:val="18"/>
                <w:szCs w:val="18"/>
                <w:lang w:val="fr-FR" w:eastAsia="fr-FR"/>
              </w:rPr>
            </w:pPr>
            <w:r>
              <w:rPr>
                <w:rFonts w:eastAsia="Times New Roman"/>
                <w:color w:val="000000"/>
                <w:sz w:val="18"/>
                <w:szCs w:val="18"/>
                <w:lang w:val="fr-FR" w:eastAsia="fr-FR"/>
              </w:rPr>
              <w:t>TTH</w:t>
            </w:r>
          </w:p>
        </w:tc>
        <w:tc>
          <w:tcPr>
            <w:tcW w:w="4423" w:type="pct"/>
            <w:tcBorders>
              <w:top w:val="nil"/>
              <w:left w:val="nil"/>
              <w:bottom w:val="nil"/>
              <w:right w:val="nil"/>
            </w:tcBorders>
            <w:shd w:val="clear" w:color="auto" w:fill="auto"/>
            <w:vAlign w:val="center"/>
          </w:tcPr>
          <w:p w14:paraId="625C25FA" w14:textId="3383B781" w:rsidR="005B7691" w:rsidRPr="00085C8A" w:rsidRDefault="002E35A3" w:rsidP="00085C8A">
            <w:pPr>
              <w:rPr>
                <w:rFonts w:eastAsia="Times New Roman"/>
                <w:color w:val="000000"/>
                <w:sz w:val="18"/>
                <w:szCs w:val="18"/>
                <w:lang w:val="fr-FR" w:eastAsia="fr-FR"/>
              </w:rPr>
            </w:pPr>
            <w:proofErr w:type="spellStart"/>
            <w:r>
              <w:rPr>
                <w:rFonts w:eastAsia="Times New Roman"/>
                <w:color w:val="000000"/>
                <w:sz w:val="18"/>
                <w:szCs w:val="18"/>
                <w:lang w:val="fr-FR" w:eastAsia="fr-FR"/>
              </w:rPr>
              <w:t>Transferable</w:t>
            </w:r>
            <w:proofErr w:type="spellEnd"/>
            <w:r>
              <w:rPr>
                <w:rFonts w:eastAsia="Times New Roman"/>
                <w:color w:val="000000"/>
                <w:sz w:val="18"/>
                <w:szCs w:val="18"/>
                <w:lang w:val="fr-FR" w:eastAsia="fr-FR"/>
              </w:rPr>
              <w:t xml:space="preserve"> Tax </w:t>
            </w:r>
            <w:proofErr w:type="spellStart"/>
            <w:r>
              <w:rPr>
                <w:rFonts w:eastAsia="Times New Roman"/>
                <w:color w:val="000000"/>
                <w:sz w:val="18"/>
                <w:szCs w:val="18"/>
                <w:lang w:val="fr-FR" w:eastAsia="fr-FR"/>
              </w:rPr>
              <w:t>His</w:t>
            </w:r>
            <w:r w:rsidR="00F4086E">
              <w:rPr>
                <w:rFonts w:eastAsia="Times New Roman"/>
                <w:color w:val="000000"/>
                <w:sz w:val="18"/>
                <w:szCs w:val="18"/>
                <w:lang w:val="fr-FR" w:eastAsia="fr-FR"/>
              </w:rPr>
              <w:t>tory</w:t>
            </w:r>
            <w:proofErr w:type="spellEnd"/>
          </w:p>
        </w:tc>
      </w:tr>
      <w:tr w:rsidR="00085C8A" w:rsidRPr="00085C8A" w14:paraId="5FD2C463" w14:textId="77777777" w:rsidTr="00085C8A">
        <w:trPr>
          <w:trHeight w:val="340"/>
        </w:trPr>
        <w:tc>
          <w:tcPr>
            <w:tcW w:w="577" w:type="pct"/>
            <w:tcBorders>
              <w:top w:val="nil"/>
              <w:left w:val="nil"/>
              <w:bottom w:val="nil"/>
              <w:right w:val="nil"/>
            </w:tcBorders>
            <w:shd w:val="clear" w:color="auto" w:fill="auto"/>
            <w:vAlign w:val="center"/>
            <w:hideMark/>
          </w:tcPr>
          <w:p w14:paraId="05E0BCD4"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lastRenderedPageBreak/>
              <w:t>UK</w:t>
            </w:r>
          </w:p>
        </w:tc>
        <w:tc>
          <w:tcPr>
            <w:tcW w:w="4423" w:type="pct"/>
            <w:tcBorders>
              <w:top w:val="nil"/>
              <w:left w:val="nil"/>
              <w:bottom w:val="nil"/>
              <w:right w:val="nil"/>
            </w:tcBorders>
            <w:shd w:val="clear" w:color="auto" w:fill="auto"/>
            <w:vAlign w:val="center"/>
            <w:hideMark/>
          </w:tcPr>
          <w:p w14:paraId="19B8C10D"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 xml:space="preserve">United </w:t>
            </w:r>
            <w:proofErr w:type="spellStart"/>
            <w:r w:rsidRPr="00085C8A">
              <w:rPr>
                <w:rFonts w:eastAsia="Times New Roman"/>
                <w:color w:val="000000"/>
                <w:sz w:val="18"/>
                <w:szCs w:val="18"/>
                <w:lang w:val="fr-FR" w:eastAsia="fr-FR"/>
              </w:rPr>
              <w:t>Kingdom</w:t>
            </w:r>
            <w:proofErr w:type="spellEnd"/>
          </w:p>
        </w:tc>
      </w:tr>
      <w:tr w:rsidR="00085C8A" w:rsidRPr="00085C8A" w14:paraId="16F999FD" w14:textId="77777777" w:rsidTr="00085C8A">
        <w:trPr>
          <w:trHeight w:val="340"/>
        </w:trPr>
        <w:tc>
          <w:tcPr>
            <w:tcW w:w="577" w:type="pct"/>
            <w:tcBorders>
              <w:top w:val="nil"/>
              <w:left w:val="nil"/>
              <w:bottom w:val="nil"/>
              <w:right w:val="nil"/>
            </w:tcBorders>
            <w:shd w:val="clear" w:color="000000" w:fill="BDD7EE"/>
            <w:vAlign w:val="center"/>
            <w:hideMark/>
          </w:tcPr>
          <w:p w14:paraId="33C4EF28"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UKCS</w:t>
            </w:r>
          </w:p>
        </w:tc>
        <w:tc>
          <w:tcPr>
            <w:tcW w:w="4423" w:type="pct"/>
            <w:tcBorders>
              <w:top w:val="nil"/>
              <w:left w:val="nil"/>
              <w:bottom w:val="nil"/>
              <w:right w:val="nil"/>
            </w:tcBorders>
            <w:shd w:val="clear" w:color="000000" w:fill="BDD7EE"/>
            <w:vAlign w:val="center"/>
            <w:hideMark/>
          </w:tcPr>
          <w:p w14:paraId="2517A3F4"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UK Continental Shelf</w:t>
            </w:r>
          </w:p>
        </w:tc>
      </w:tr>
      <w:tr w:rsidR="00085C8A" w:rsidRPr="00085C8A" w14:paraId="61C726BA" w14:textId="77777777" w:rsidTr="00085C8A">
        <w:trPr>
          <w:trHeight w:val="340"/>
        </w:trPr>
        <w:tc>
          <w:tcPr>
            <w:tcW w:w="577" w:type="pct"/>
            <w:tcBorders>
              <w:top w:val="nil"/>
              <w:left w:val="nil"/>
              <w:bottom w:val="nil"/>
              <w:right w:val="nil"/>
            </w:tcBorders>
            <w:shd w:val="clear" w:color="auto" w:fill="auto"/>
            <w:vAlign w:val="center"/>
            <w:hideMark/>
          </w:tcPr>
          <w:p w14:paraId="00954A4B"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US</w:t>
            </w:r>
          </w:p>
        </w:tc>
        <w:tc>
          <w:tcPr>
            <w:tcW w:w="4423" w:type="pct"/>
            <w:tcBorders>
              <w:top w:val="nil"/>
              <w:left w:val="nil"/>
              <w:bottom w:val="nil"/>
              <w:right w:val="nil"/>
            </w:tcBorders>
            <w:shd w:val="clear" w:color="auto" w:fill="auto"/>
            <w:vAlign w:val="center"/>
            <w:hideMark/>
          </w:tcPr>
          <w:p w14:paraId="7A4FC861" w14:textId="77777777" w:rsidR="00085C8A" w:rsidRPr="00085C8A" w:rsidRDefault="00085C8A" w:rsidP="00085C8A">
            <w:pPr>
              <w:rPr>
                <w:rFonts w:eastAsia="Times New Roman"/>
                <w:color w:val="000000"/>
                <w:sz w:val="18"/>
                <w:szCs w:val="18"/>
                <w:lang w:val="fr-FR" w:eastAsia="fr-FR"/>
              </w:rPr>
            </w:pPr>
            <w:r w:rsidRPr="00085C8A">
              <w:rPr>
                <w:rFonts w:eastAsia="Times New Roman"/>
                <w:color w:val="000000"/>
                <w:sz w:val="18"/>
                <w:szCs w:val="18"/>
                <w:lang w:val="fr-FR" w:eastAsia="fr-FR"/>
              </w:rPr>
              <w:t>United States</w:t>
            </w:r>
          </w:p>
        </w:tc>
      </w:tr>
    </w:tbl>
    <w:p w14:paraId="62A9595E" w14:textId="77777777" w:rsidR="00F10F42" w:rsidRPr="00EF510A" w:rsidRDefault="00F10F42" w:rsidP="00AD33C7">
      <w:pPr>
        <w:rPr>
          <w:sz w:val="2"/>
          <w:szCs w:val="22"/>
          <w:highlight w:val="yellow"/>
          <w:lang w:bidi="ar-TN"/>
        </w:rPr>
      </w:pPr>
    </w:p>
    <w:sectPr w:rsidR="00F10F42" w:rsidRPr="00EF510A" w:rsidSect="00346850">
      <w:headerReference w:type="even" r:id="rId32"/>
      <w:headerReference w:type="default" r:id="rId33"/>
      <w:footerReference w:type="even" r:id="rId34"/>
      <w:footerReference w:type="default" r:id="rId35"/>
      <w:headerReference w:type="first" r:id="rId36"/>
      <w:footerReference w:type="first" r:id="rId37"/>
      <w:pgSz w:w="11907" w:h="16840" w:code="9"/>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8875" w14:textId="77777777" w:rsidR="00CF3868" w:rsidRDefault="00CF3868" w:rsidP="0030523C">
      <w:r>
        <w:separator/>
      </w:r>
    </w:p>
  </w:endnote>
  <w:endnote w:type="continuationSeparator" w:id="0">
    <w:p w14:paraId="04C82778" w14:textId="77777777" w:rsidR="00CF3868" w:rsidRDefault="00CF3868" w:rsidP="0030523C">
      <w:r>
        <w:continuationSeparator/>
      </w:r>
    </w:p>
  </w:endnote>
  <w:endnote w:type="continuationNotice" w:id="1">
    <w:p w14:paraId="20AB0707" w14:textId="77777777" w:rsidR="00CF3868" w:rsidRDefault="00CF3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ITC Charter Co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B5F8" w14:textId="77777777" w:rsidR="00F7025B" w:rsidRDefault="00F70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56BE" w14:textId="77777777" w:rsidR="00364D75" w:rsidRPr="00F67DB3" w:rsidRDefault="00364D75" w:rsidP="0052688B">
    <w:pPr>
      <w:pStyle w:val="Footer"/>
      <w:pBdr>
        <w:top w:val="single" w:sz="4" w:space="1" w:color="0070C0"/>
      </w:pBdr>
      <w:tabs>
        <w:tab w:val="clear" w:pos="4513"/>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Pr>
        <w:noProof/>
        <w:sz w:val="16"/>
      </w:rPr>
      <w:t>25</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7516" w14:textId="7217AD5C" w:rsidR="00364D75" w:rsidRPr="00E0694A" w:rsidRDefault="00364D75" w:rsidP="00E0694A">
    <w:pPr>
      <w:pStyle w:val="Footer"/>
      <w:pBdr>
        <w:top w:val="single" w:sz="4" w:space="1" w:color="0070C0"/>
      </w:pBdr>
      <w:tabs>
        <w:tab w:val="clear" w:pos="4513"/>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Pr>
        <w:noProof/>
        <w:sz w:val="16"/>
      </w:rPr>
      <w:t>1</w:t>
    </w:r>
    <w:r w:rsidRPr="00F67DB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71C1" w14:textId="77777777" w:rsidR="00CF3868" w:rsidRDefault="00CF3868" w:rsidP="0030523C">
      <w:r>
        <w:separator/>
      </w:r>
    </w:p>
  </w:footnote>
  <w:footnote w:type="continuationSeparator" w:id="0">
    <w:p w14:paraId="1418B6A9" w14:textId="77777777" w:rsidR="00CF3868" w:rsidRDefault="00CF3868" w:rsidP="0030523C">
      <w:r>
        <w:continuationSeparator/>
      </w:r>
    </w:p>
  </w:footnote>
  <w:footnote w:type="continuationNotice" w:id="1">
    <w:p w14:paraId="6FFFEA24" w14:textId="77777777" w:rsidR="00CF3868" w:rsidRDefault="00CF3868"/>
  </w:footnote>
  <w:footnote w:id="2">
    <w:p w14:paraId="091455CC" w14:textId="77777777" w:rsidR="00364D75" w:rsidRPr="008E706A" w:rsidRDefault="00364D75" w:rsidP="00FE1750">
      <w:pPr>
        <w:pStyle w:val="Default"/>
        <w:keepLines/>
        <w:widowControl w:val="0"/>
        <w:spacing w:before="120" w:line="276" w:lineRule="auto"/>
        <w:rPr>
          <w:rFonts w:ascii="Arial" w:hAnsi="Arial" w:cs="Arial"/>
          <w:sz w:val="20"/>
          <w:szCs w:val="20"/>
        </w:rPr>
      </w:pPr>
      <w:r w:rsidRPr="008E706A">
        <w:rPr>
          <w:rStyle w:val="FootnoteReference"/>
          <w:rFonts w:ascii="Arial" w:hAnsi="Arial" w:cs="Arial"/>
          <w:color w:val="auto"/>
          <w:sz w:val="20"/>
          <w:szCs w:val="20"/>
        </w:rPr>
        <w:footnoteRef/>
      </w:r>
      <w:r w:rsidRPr="008E706A">
        <w:rPr>
          <w:rFonts w:ascii="Arial" w:hAnsi="Arial" w:cs="Arial"/>
          <w:sz w:val="20"/>
          <w:szCs w:val="20"/>
        </w:rPr>
        <w:t xml:space="preserve"> </w:t>
      </w:r>
      <w:proofErr w:type="spellStart"/>
      <w:r w:rsidRPr="008E706A">
        <w:rPr>
          <w:rFonts w:ascii="Arial" w:hAnsi="Arial" w:cs="Arial"/>
          <w:sz w:val="20"/>
          <w:szCs w:val="20"/>
        </w:rPr>
        <w:t>Wytch</w:t>
      </w:r>
      <w:proofErr w:type="spellEnd"/>
      <w:r w:rsidRPr="008E706A">
        <w:rPr>
          <w:rFonts w:ascii="Arial" w:hAnsi="Arial" w:cs="Arial"/>
          <w:sz w:val="20"/>
          <w:szCs w:val="20"/>
        </w:rPr>
        <w:t xml:space="preserve"> Farm in Dorset, England, is the only substantial onshore field and is partly covered by a “seaward” licence; the drilling sites are onshore, but some of the wells extend under Poole Harbour. </w:t>
      </w:r>
      <w:proofErr w:type="spellStart"/>
      <w:r w:rsidRPr="008E706A">
        <w:rPr>
          <w:rFonts w:ascii="Arial" w:hAnsi="Arial" w:cs="Arial"/>
          <w:sz w:val="20"/>
          <w:szCs w:val="20"/>
        </w:rPr>
        <w:t>Wytch</w:t>
      </w:r>
      <w:proofErr w:type="spellEnd"/>
      <w:r w:rsidRPr="008E706A">
        <w:rPr>
          <w:rFonts w:ascii="Arial" w:hAnsi="Arial" w:cs="Arial"/>
          <w:sz w:val="20"/>
          <w:szCs w:val="20"/>
        </w:rPr>
        <w:t xml:space="preserve"> Farm is here treated as offshore.</w:t>
      </w:r>
    </w:p>
  </w:footnote>
  <w:footnote w:id="3">
    <w:p w14:paraId="6C2C1F77" w14:textId="77777777" w:rsidR="00364D75" w:rsidRPr="008E706A" w:rsidRDefault="00364D75" w:rsidP="00FE1750">
      <w:pPr>
        <w:pStyle w:val="FootnoteText"/>
        <w:keepLines/>
        <w:spacing w:before="120" w:line="276" w:lineRule="auto"/>
        <w:rPr>
          <w:rFonts w:cs="Arial"/>
          <w:sz w:val="20"/>
          <w:lang w:val="en-GB"/>
        </w:rPr>
      </w:pPr>
      <w:r w:rsidRPr="008E706A">
        <w:rPr>
          <w:rStyle w:val="FootnoteReference"/>
          <w:rFonts w:cs="Arial"/>
          <w:sz w:val="20"/>
        </w:rPr>
        <w:footnoteRef/>
      </w:r>
      <w:r w:rsidRPr="008E706A">
        <w:rPr>
          <w:rFonts w:cs="Arial"/>
          <w:sz w:val="20"/>
        </w:rPr>
        <w:t xml:space="preserve"> </w:t>
      </w:r>
      <w:r w:rsidRPr="008E706A">
        <w:rPr>
          <w:rFonts w:cs="Arial"/>
          <w:sz w:val="20"/>
          <w:lang w:val="en-GB"/>
        </w:rPr>
        <w:t xml:space="preserve">OGA, Reserves and Resources </w:t>
      </w:r>
      <w:hyperlink r:id="rId1" w:history="1">
        <w:r w:rsidRPr="008E706A">
          <w:rPr>
            <w:rStyle w:val="Hyperlink"/>
            <w:rFonts w:cs="Arial"/>
            <w:sz w:val="20"/>
            <w:lang w:val="en-GB"/>
          </w:rPr>
          <w:t>http://www.ogauthority.co.uk/data-centre/data-downloads-and-publications/reserves-and-resources/</w:t>
        </w:r>
      </w:hyperlink>
    </w:p>
  </w:footnote>
  <w:footnote w:id="4">
    <w:p w14:paraId="24117AF1" w14:textId="0B06473B" w:rsidR="00D37DCA" w:rsidRDefault="00D37DCA">
      <w:pPr>
        <w:pStyle w:val="FootnoteText"/>
        <w:rPr>
          <w:lang w:val="en-GB"/>
        </w:rPr>
      </w:pPr>
      <w:r>
        <w:rPr>
          <w:rStyle w:val="FootnoteReference"/>
        </w:rPr>
        <w:footnoteRef/>
      </w:r>
      <w:r>
        <w:t xml:space="preserve"> </w:t>
      </w:r>
      <w:hyperlink r:id="rId2" w:history="1">
        <w:r w:rsidR="00AD58E0" w:rsidRPr="003A2E38">
          <w:rPr>
            <w:rStyle w:val="Hyperlink"/>
            <w:lang w:val="en-GB"/>
          </w:rPr>
          <w:t>https://www.energyvision2035.com/roadmap-2035</w:t>
        </w:r>
      </w:hyperlink>
    </w:p>
    <w:p w14:paraId="63C16406" w14:textId="77777777" w:rsidR="00AD58E0" w:rsidRPr="000B3A25" w:rsidRDefault="00AD58E0">
      <w:pPr>
        <w:pStyle w:val="FootnoteText"/>
        <w:rPr>
          <w:lang w:val="en-GB"/>
        </w:rPr>
      </w:pPr>
    </w:p>
  </w:footnote>
  <w:footnote w:id="5">
    <w:p w14:paraId="50B81077" w14:textId="6BD0FF73" w:rsidR="007D1C1C" w:rsidRPr="004E7263" w:rsidRDefault="00364D75" w:rsidP="007D1C1C">
      <w:pPr>
        <w:pStyle w:val="FootnoteText"/>
        <w:keepLines/>
        <w:spacing w:before="120" w:line="276" w:lineRule="auto"/>
        <w:rPr>
          <w:rFonts w:cs="Arial"/>
          <w:sz w:val="20"/>
          <w:lang w:val="en-GB"/>
        </w:rPr>
      </w:pPr>
      <w:r w:rsidRPr="008E706A">
        <w:rPr>
          <w:rStyle w:val="FootnoteReference"/>
          <w:rFonts w:cs="Arial"/>
          <w:sz w:val="20"/>
        </w:rPr>
        <w:footnoteRef/>
      </w:r>
      <w:r w:rsidRPr="008E706A">
        <w:rPr>
          <w:rFonts w:cs="Arial"/>
          <w:sz w:val="20"/>
          <w:lang w:val="en-GB"/>
        </w:rPr>
        <w:t>.</w:t>
      </w:r>
      <w:r w:rsidR="007D1C1C" w:rsidRPr="007D1C1C">
        <w:rPr>
          <w:rFonts w:cs="Arial"/>
          <w:sz w:val="20"/>
          <w:lang w:val="en-GB"/>
        </w:rPr>
        <w:t xml:space="preserve"> </w:t>
      </w:r>
      <w:r w:rsidR="007D1C1C" w:rsidRPr="008E706A">
        <w:rPr>
          <w:rFonts w:cs="Arial"/>
          <w:sz w:val="20"/>
          <w:lang w:val="en-GB"/>
        </w:rPr>
        <w:t>The International Energy Agency publishes annual booklets of its most useful statistics, including Key World Energy Statistics 201</w:t>
      </w:r>
      <w:r w:rsidR="007D1C1C">
        <w:rPr>
          <w:rFonts w:cs="Arial"/>
          <w:sz w:val="20"/>
          <w:lang w:val="en-GB"/>
        </w:rPr>
        <w:t>9</w:t>
      </w:r>
      <w:r w:rsidR="007D1C1C" w:rsidRPr="008E706A">
        <w:rPr>
          <w:rFonts w:cs="Arial"/>
          <w:sz w:val="20"/>
          <w:lang w:val="en-GB"/>
        </w:rPr>
        <w:t>. These show a steady increase of oil and gas consumption since the 1970s.</w:t>
      </w:r>
      <w:r w:rsidR="007D1C1C">
        <w:rPr>
          <w:rFonts w:cs="Arial"/>
          <w:sz w:val="20"/>
          <w:lang w:val="en-GB"/>
        </w:rPr>
        <w:t xml:space="preserve"> See </w:t>
      </w:r>
      <w:hyperlink r:id="rId3" w:history="1">
        <w:r w:rsidR="007D1C1C" w:rsidRPr="00DE6EA3">
          <w:rPr>
            <w:rStyle w:val="Hyperlink"/>
            <w:sz w:val="20"/>
          </w:rPr>
          <w:t>https://webstore.iea.org/key-world-energy-statistics-2019</w:t>
        </w:r>
      </w:hyperlink>
      <w:r w:rsidR="007D1C1C" w:rsidRPr="008E706A">
        <w:rPr>
          <w:rFonts w:cs="Arial"/>
          <w:sz w:val="20"/>
          <w:lang w:val="en-GB"/>
        </w:rPr>
        <w:t>, page</w:t>
      </w:r>
      <w:r w:rsidR="007D1C1C">
        <w:rPr>
          <w:rFonts w:cs="Arial"/>
          <w:sz w:val="20"/>
          <w:lang w:val="en-GB"/>
        </w:rPr>
        <w:t>s</w:t>
      </w:r>
      <w:r w:rsidR="007D1C1C" w:rsidRPr="008E706A">
        <w:rPr>
          <w:rFonts w:cs="Arial"/>
          <w:sz w:val="20"/>
          <w:lang w:val="en-GB"/>
        </w:rPr>
        <w:t xml:space="preserve"> 39</w:t>
      </w:r>
      <w:r w:rsidR="007D1C1C">
        <w:rPr>
          <w:rFonts w:cs="Arial"/>
          <w:sz w:val="20"/>
          <w:lang w:val="en-GB"/>
        </w:rPr>
        <w:t xml:space="preserve"> and 40</w:t>
      </w:r>
      <w:r w:rsidR="007D1C1C" w:rsidRPr="008E706A">
        <w:rPr>
          <w:rFonts w:cs="Arial"/>
          <w:sz w:val="20"/>
          <w:lang w:val="en-GB"/>
        </w:rPr>
        <w:t>.</w:t>
      </w:r>
    </w:p>
    <w:p w14:paraId="73C00672" w14:textId="4F018795" w:rsidR="00364D75" w:rsidRPr="004E7263" w:rsidRDefault="00364D75" w:rsidP="00FE1750">
      <w:pPr>
        <w:pStyle w:val="FootnoteText"/>
        <w:keepLines/>
        <w:spacing w:before="120" w:line="276" w:lineRule="auto"/>
        <w:rPr>
          <w:rFonts w:cs="Arial"/>
          <w:sz w:val="20"/>
          <w:lang w:val="en-GB"/>
        </w:rPr>
      </w:pPr>
    </w:p>
  </w:footnote>
  <w:footnote w:id="6">
    <w:p w14:paraId="784B4BC4" w14:textId="78F0BF36" w:rsidR="00364D75" w:rsidRPr="008E706A" w:rsidRDefault="00364D75" w:rsidP="00FE1750">
      <w:pPr>
        <w:pStyle w:val="FootnoteText"/>
        <w:keepLines/>
        <w:spacing w:before="120" w:line="276" w:lineRule="auto"/>
        <w:rPr>
          <w:rFonts w:cs="Arial"/>
          <w:sz w:val="20"/>
          <w:lang w:val="en-GB"/>
        </w:rPr>
      </w:pPr>
      <w:r w:rsidRPr="008E706A">
        <w:rPr>
          <w:rStyle w:val="FootnoteReference"/>
          <w:rFonts w:cs="Arial"/>
          <w:sz w:val="20"/>
        </w:rPr>
        <w:footnoteRef/>
      </w:r>
      <w:r w:rsidRPr="008E706A">
        <w:rPr>
          <w:rFonts w:cs="Arial"/>
          <w:sz w:val="20"/>
        </w:rPr>
        <w:t xml:space="preserve"> </w:t>
      </w:r>
      <w:r w:rsidRPr="008E706A">
        <w:rPr>
          <w:rFonts w:cs="Arial"/>
          <w:sz w:val="20"/>
          <w:lang w:val="en-GB"/>
        </w:rPr>
        <w:t xml:space="preserve">A more detailed analysis of the supply imbalance and cyclical adjustments currently being </w:t>
      </w:r>
      <w:r w:rsidRPr="00EC308C">
        <w:rPr>
          <w:rFonts w:cs="Arial"/>
          <w:sz w:val="20"/>
          <w:lang w:val="en-GB"/>
        </w:rPr>
        <w:t xml:space="preserve">experienced by the oil and gas industry, see BP’s </w:t>
      </w:r>
      <w:r w:rsidR="00EC308C">
        <w:rPr>
          <w:rFonts w:cs="Arial"/>
          <w:sz w:val="20"/>
          <w:lang w:val="en-GB"/>
        </w:rPr>
        <w:t xml:space="preserve">latest </w:t>
      </w:r>
      <w:r w:rsidRPr="00EC308C">
        <w:rPr>
          <w:rFonts w:cs="Arial"/>
          <w:sz w:val="20"/>
          <w:lang w:val="en-GB"/>
        </w:rPr>
        <w:t xml:space="preserve">Statistical </w:t>
      </w:r>
      <w:r w:rsidR="00EC308C">
        <w:rPr>
          <w:rFonts w:cs="Arial"/>
          <w:sz w:val="20"/>
          <w:lang w:val="en-GB"/>
        </w:rPr>
        <w:t>R</w:t>
      </w:r>
      <w:r w:rsidRPr="00EC308C">
        <w:rPr>
          <w:rFonts w:cs="Arial"/>
          <w:sz w:val="20"/>
          <w:lang w:val="en-GB"/>
        </w:rPr>
        <w:t xml:space="preserve">eview of World Energy: </w:t>
      </w:r>
      <w:r w:rsidR="00EC308C" w:rsidRPr="00A82D9C">
        <w:rPr>
          <w:rStyle w:val="Hyperlink"/>
          <w:sz w:val="20"/>
        </w:rPr>
        <w:t>https://www.bp.com/en/global/corporate/energy-economics/statistical-review-of-world-energy.html.</w:t>
      </w:r>
    </w:p>
  </w:footnote>
  <w:footnote w:id="7">
    <w:p w14:paraId="0D824937" w14:textId="77777777" w:rsidR="00364D75" w:rsidRPr="008E706A" w:rsidRDefault="00364D75" w:rsidP="00FE1750">
      <w:pPr>
        <w:pStyle w:val="FootnoteText"/>
        <w:keepLines/>
        <w:spacing w:before="120" w:line="276" w:lineRule="auto"/>
        <w:rPr>
          <w:rFonts w:cs="Arial"/>
          <w:sz w:val="20"/>
          <w:lang w:val="en-GB"/>
        </w:rPr>
      </w:pPr>
      <w:r w:rsidRPr="008E706A">
        <w:rPr>
          <w:rStyle w:val="FootnoteReference"/>
          <w:rFonts w:cs="Arial"/>
          <w:sz w:val="20"/>
        </w:rPr>
        <w:footnoteRef/>
      </w:r>
      <w:r w:rsidRPr="008E706A">
        <w:rPr>
          <w:rFonts w:cs="Arial"/>
          <w:sz w:val="20"/>
        </w:rPr>
        <w:t xml:space="preserve"> </w:t>
      </w:r>
      <w:r w:rsidRPr="008E706A">
        <w:rPr>
          <w:rFonts w:cs="Arial"/>
          <w:sz w:val="20"/>
          <w:lang w:val="en-GB"/>
        </w:rPr>
        <w:t xml:space="preserve">Monthly average dollar Brent oil price from World Bank Commodity Price Data (The Pink Sheet), </w:t>
      </w:r>
      <w:hyperlink r:id="rId4" w:history="1">
        <w:r w:rsidRPr="008E706A">
          <w:rPr>
            <w:rStyle w:val="Hyperlink"/>
            <w:rFonts w:cs="Arial"/>
            <w:sz w:val="20"/>
            <w:lang w:val="en-GB"/>
          </w:rPr>
          <w:t>http://www.worldbank.org/en/research/commodity-markets</w:t>
        </w:r>
      </w:hyperlink>
      <w:r w:rsidRPr="008E706A">
        <w:rPr>
          <w:rFonts w:cs="Arial"/>
          <w:sz w:val="20"/>
          <w:lang w:val="en-GB"/>
        </w:rPr>
        <w:t xml:space="preserve">; monthly average £/$ exchange rate (series </w:t>
      </w:r>
      <w:r w:rsidRPr="008E706A">
        <w:rPr>
          <w:rFonts w:cs="Arial"/>
          <w:sz w:val="20"/>
        </w:rPr>
        <w:t>XUMAUSS</w:t>
      </w:r>
      <w:r w:rsidRPr="008E706A">
        <w:rPr>
          <w:rFonts w:cs="Arial"/>
          <w:sz w:val="20"/>
          <w:lang w:val="en-GB"/>
        </w:rPr>
        <w:t>)</w:t>
      </w:r>
      <w:r w:rsidRPr="008E706A">
        <w:rPr>
          <w:rFonts w:cs="Arial"/>
          <w:sz w:val="20"/>
        </w:rPr>
        <w:t xml:space="preserve"> from</w:t>
      </w:r>
      <w:r w:rsidRPr="008E706A">
        <w:rPr>
          <w:rFonts w:cs="Arial"/>
          <w:sz w:val="20"/>
          <w:lang w:val="en-GB"/>
        </w:rPr>
        <w:t xml:space="preserve"> </w:t>
      </w:r>
      <w:hyperlink r:id="rId5" w:history="1">
        <w:r w:rsidRPr="008E706A">
          <w:rPr>
            <w:rStyle w:val="Hyperlink"/>
            <w:rFonts w:cs="Arial"/>
            <w:sz w:val="20"/>
          </w:rPr>
          <w:t>http://www.bankofengland.co.uk/</w:t>
        </w:r>
      </w:hyperlink>
      <w:r w:rsidRPr="008E706A">
        <w:rPr>
          <w:rFonts w:cs="Arial"/>
          <w:sz w:val="20"/>
          <w:lang w:val="en-GB"/>
        </w:rPr>
        <w:t>.</w:t>
      </w:r>
    </w:p>
  </w:footnote>
  <w:footnote w:id="8">
    <w:p w14:paraId="01A4B977" w14:textId="77777777" w:rsidR="00723E64" w:rsidRPr="000402D1" w:rsidRDefault="00723E64" w:rsidP="00723E64">
      <w:pPr>
        <w:pStyle w:val="FootnoteText"/>
        <w:rPr>
          <w:lang w:val="en-GB"/>
        </w:rPr>
      </w:pPr>
      <w:r>
        <w:rPr>
          <w:rStyle w:val="FootnoteReference"/>
        </w:rPr>
        <w:footnoteRef/>
      </w:r>
      <w:r>
        <w:t xml:space="preserve"> </w:t>
      </w:r>
      <w:r w:rsidRPr="008E706A">
        <w:rPr>
          <w:rFonts w:cs="Arial"/>
          <w:sz w:val="20"/>
          <w:lang w:val="en-GB"/>
        </w:rPr>
        <w:t xml:space="preserve">TTF, the Dutch </w:t>
      </w:r>
      <w:r>
        <w:rPr>
          <w:rFonts w:cs="Arial"/>
          <w:sz w:val="20"/>
          <w:lang w:val="en-GB"/>
        </w:rPr>
        <w:t xml:space="preserve">Tile </w:t>
      </w:r>
      <w:r w:rsidRPr="008E706A">
        <w:rPr>
          <w:rFonts w:cs="Arial"/>
          <w:sz w:val="20"/>
          <w:lang w:val="en-GB"/>
        </w:rPr>
        <w:t xml:space="preserve">Transfer Facility, is the most liquid: </w:t>
      </w:r>
      <w:hyperlink r:id="rId6" w:history="1">
        <w:r w:rsidRPr="008E706A">
          <w:rPr>
            <w:rStyle w:val="Hyperlink"/>
            <w:rFonts w:cs="Arial"/>
            <w:sz w:val="20"/>
            <w:lang w:val="en-GB"/>
          </w:rPr>
          <w:t>https://www.theice.com/endex</w:t>
        </w:r>
      </w:hyperlink>
      <w:r w:rsidRPr="008E706A">
        <w:rPr>
          <w:rFonts w:cs="Arial"/>
          <w:sz w:val="20"/>
          <w:lang w:val="en-GB"/>
        </w:rPr>
        <w:t xml:space="preserve">. See also the trading of NBP contracts on ICE: </w:t>
      </w:r>
      <w:hyperlink r:id="rId7" w:history="1">
        <w:r w:rsidRPr="008E706A">
          <w:rPr>
            <w:rStyle w:val="Hyperlink"/>
            <w:rFonts w:cs="Arial"/>
            <w:sz w:val="20"/>
            <w:lang w:val="en-GB"/>
          </w:rPr>
          <w:t>https://www.theice.com/products/910/UK-Natural-Gas-Futures</w:t>
        </w:r>
      </w:hyperlink>
    </w:p>
  </w:footnote>
  <w:footnote w:id="9">
    <w:p w14:paraId="551BA5A0" w14:textId="77777777" w:rsidR="00364D75" w:rsidRPr="004A6276" w:rsidRDefault="00364D75" w:rsidP="00693081">
      <w:pPr>
        <w:pStyle w:val="FootnoteText"/>
        <w:keepLines/>
        <w:spacing w:before="120" w:line="276" w:lineRule="auto"/>
        <w:rPr>
          <w:rFonts w:cs="Arial"/>
          <w:sz w:val="20"/>
          <w:lang w:val="en-GB"/>
        </w:rPr>
      </w:pPr>
      <w:r w:rsidRPr="004A6276">
        <w:rPr>
          <w:rStyle w:val="FootnoteReference"/>
          <w:rFonts w:cs="Arial"/>
          <w:sz w:val="20"/>
        </w:rPr>
        <w:footnoteRef/>
      </w:r>
      <w:r w:rsidRPr="004A6276">
        <w:rPr>
          <w:rFonts w:cs="Arial"/>
          <w:sz w:val="20"/>
        </w:rPr>
        <w:t xml:space="preserve"> </w:t>
      </w:r>
      <w:r w:rsidRPr="004A6276">
        <w:rPr>
          <w:rFonts w:cs="Arial"/>
          <w:sz w:val="20"/>
          <w:lang w:val="en-GB"/>
        </w:rPr>
        <w:t xml:space="preserve">Source: OGA. Net natural gas production equals gross production less producers’ own use i.e. the gas used in the course of production of oil and gas and therefore not available for sale to end users. The OGA publishes data relating to production of UK oil and gas, including production data for individual fields, production and expenditure projections and tables and charts on UKCS income and expenditure: </w:t>
      </w:r>
      <w:hyperlink r:id="rId8" w:history="1">
        <w:r w:rsidRPr="004A6276">
          <w:rPr>
            <w:rStyle w:val="Hyperlink"/>
            <w:rFonts w:cs="Arial"/>
            <w:sz w:val="20"/>
            <w:lang w:val="en-GB"/>
          </w:rPr>
          <w:t>https://www.ogauthority.co.uk/data-centre/data-downloads-and-publications/</w:t>
        </w:r>
      </w:hyperlink>
    </w:p>
  </w:footnote>
  <w:footnote w:id="10">
    <w:p w14:paraId="260625C2" w14:textId="77777777" w:rsidR="00B14E2C" w:rsidRPr="00E37A3B" w:rsidRDefault="00B14E2C" w:rsidP="00B14E2C">
      <w:pPr>
        <w:pStyle w:val="FootnoteText"/>
        <w:keepLines/>
        <w:widowControl w:val="0"/>
        <w:spacing w:before="120" w:line="276" w:lineRule="auto"/>
        <w:rPr>
          <w:rFonts w:cs="Arial"/>
          <w:sz w:val="20"/>
          <w:lang w:val="en-GB"/>
        </w:rPr>
      </w:pPr>
      <w:r w:rsidRPr="00E37A3B">
        <w:rPr>
          <w:rStyle w:val="FootnoteReference"/>
          <w:rFonts w:cs="Arial"/>
          <w:sz w:val="20"/>
          <w:lang w:val="en-GB"/>
        </w:rPr>
        <w:footnoteRef/>
      </w:r>
      <w:r w:rsidRPr="00E37A3B">
        <w:rPr>
          <w:rFonts w:cs="Arial"/>
          <w:sz w:val="20"/>
          <w:lang w:val="en-GB"/>
        </w:rPr>
        <w:t xml:space="preserve"> Source: </w:t>
      </w:r>
      <w:hyperlink r:id="rId9" w:history="1">
        <w:r w:rsidRPr="00E37A3B">
          <w:rPr>
            <w:rStyle w:val="Hyperlink"/>
            <w:rFonts w:cs="Arial"/>
            <w:sz w:val="20"/>
            <w:lang w:val="en-GB"/>
          </w:rPr>
          <w:t>https://www.gov.uk/government/collections/digest-of-uk-energy-statistics-dukes</w:t>
        </w:r>
      </w:hyperlink>
    </w:p>
  </w:footnote>
  <w:footnote w:id="11">
    <w:p w14:paraId="451AEFAC" w14:textId="77777777" w:rsidR="00674CB2" w:rsidRPr="00F34EE1" w:rsidRDefault="00674CB2" w:rsidP="00674CB2">
      <w:pPr>
        <w:keepLines/>
        <w:widowControl w:val="0"/>
        <w:spacing w:before="120" w:line="276" w:lineRule="auto"/>
        <w:rPr>
          <w:color w:val="000000"/>
          <w:sz w:val="20"/>
          <w:szCs w:val="20"/>
        </w:rPr>
      </w:pPr>
      <w:r w:rsidRPr="00F34EE1">
        <w:rPr>
          <w:rStyle w:val="FootnoteReference"/>
          <w:sz w:val="20"/>
          <w:szCs w:val="20"/>
        </w:rPr>
        <w:footnoteRef/>
      </w:r>
      <w:r w:rsidRPr="00F34EE1">
        <w:rPr>
          <w:color w:val="000000"/>
          <w:sz w:val="20"/>
          <w:szCs w:val="20"/>
        </w:rPr>
        <w:t xml:space="preserve"> </w:t>
      </w:r>
      <w:hyperlink r:id="rId10" w:history="1">
        <w:r w:rsidRPr="00F34EE1">
          <w:rPr>
            <w:rStyle w:val="Hyperlink"/>
            <w:sz w:val="20"/>
            <w:szCs w:val="20"/>
          </w:rPr>
          <w:t>https://www.gov.uk/government/collections/digest-of-uk-energy-statistics-dukes</w:t>
        </w:r>
      </w:hyperlink>
    </w:p>
  </w:footnote>
  <w:footnote w:id="12">
    <w:p w14:paraId="3569769F" w14:textId="77777777" w:rsidR="00674CB2" w:rsidRPr="004E7263" w:rsidRDefault="00674CB2" w:rsidP="00674CB2">
      <w:pPr>
        <w:pStyle w:val="FootnoteText"/>
        <w:keepLines/>
        <w:spacing w:before="120" w:line="276" w:lineRule="auto"/>
        <w:rPr>
          <w:rFonts w:cs="Arial"/>
          <w:sz w:val="20"/>
          <w:lang w:val="en-GB"/>
        </w:rPr>
      </w:pPr>
      <w:r w:rsidRPr="004E7263">
        <w:rPr>
          <w:rStyle w:val="FootnoteReference"/>
          <w:rFonts w:cs="Arial"/>
          <w:sz w:val="20"/>
        </w:rPr>
        <w:footnoteRef/>
      </w:r>
      <w:hyperlink r:id="rId11" w:history="1"/>
      <w:r w:rsidRPr="004E7263">
        <w:rPr>
          <w:rFonts w:cs="Arial"/>
          <w:sz w:val="20"/>
          <w:lang w:val="en-GB"/>
        </w:rPr>
        <w:t xml:space="preserve"> </w:t>
      </w:r>
      <w:hyperlink r:id="rId12" w:history="1">
        <w:r w:rsidRPr="004E7263">
          <w:rPr>
            <w:rStyle w:val="Hyperlink"/>
            <w:rFonts w:cs="Arial"/>
            <w:sz w:val="20"/>
            <w:lang w:val="en-GB"/>
          </w:rPr>
          <w:t>https://www.gov.uk/government/statistics/gas-section-4-energy-trends</w:t>
        </w:r>
      </w:hyperlink>
    </w:p>
  </w:footnote>
  <w:footnote w:id="13">
    <w:p w14:paraId="29F88323" w14:textId="77777777" w:rsidR="00674CB2" w:rsidRPr="004E7263" w:rsidRDefault="00674CB2" w:rsidP="00674CB2">
      <w:pPr>
        <w:pStyle w:val="FootnoteText"/>
        <w:keepLines/>
        <w:spacing w:before="120" w:line="276" w:lineRule="auto"/>
        <w:rPr>
          <w:rFonts w:cs="Arial"/>
          <w:sz w:val="20"/>
          <w:lang w:val="en-GB"/>
        </w:rPr>
      </w:pPr>
      <w:r w:rsidRPr="00F34EE1">
        <w:rPr>
          <w:rStyle w:val="FootnoteReference"/>
          <w:rFonts w:cs="Arial"/>
          <w:sz w:val="20"/>
        </w:rPr>
        <w:footnoteRef/>
      </w:r>
      <w:hyperlink r:id="rId13" w:history="1"/>
      <w:r w:rsidRPr="00F34EE1">
        <w:rPr>
          <w:rFonts w:cs="Arial"/>
          <w:sz w:val="20"/>
          <w:lang w:val="en-GB"/>
        </w:rPr>
        <w:t xml:space="preserve"> </w:t>
      </w:r>
      <w:hyperlink r:id="rId14" w:history="1">
        <w:r w:rsidRPr="00F34EE1">
          <w:rPr>
            <w:rStyle w:val="Hyperlink"/>
            <w:rFonts w:cs="Arial"/>
            <w:sz w:val="20"/>
            <w:lang w:val="en-GB"/>
          </w:rPr>
          <w:t>https://www.gov.uk/government/statistics/gas-section-4-energy-trends</w:t>
        </w:r>
      </w:hyperlink>
    </w:p>
  </w:footnote>
  <w:footnote w:id="14">
    <w:p w14:paraId="2788BFA3" w14:textId="77777777" w:rsidR="00364D75" w:rsidRPr="006237B3" w:rsidRDefault="00364D75" w:rsidP="00641701">
      <w:pPr>
        <w:pStyle w:val="FootnoteText"/>
        <w:keepLines/>
        <w:widowControl w:val="0"/>
        <w:spacing w:before="120" w:line="276" w:lineRule="auto"/>
        <w:rPr>
          <w:rFonts w:cs="Arial"/>
          <w:sz w:val="20"/>
          <w:lang w:val="en-GB"/>
        </w:rPr>
      </w:pPr>
      <w:r w:rsidRPr="006237B3">
        <w:rPr>
          <w:rStyle w:val="FootnoteReference"/>
          <w:rFonts w:cs="Arial"/>
          <w:sz w:val="20"/>
          <w:lang w:val="en-GB"/>
        </w:rPr>
        <w:footnoteRef/>
      </w:r>
      <w:r w:rsidRPr="006237B3">
        <w:rPr>
          <w:rFonts w:cs="Arial"/>
          <w:sz w:val="20"/>
          <w:lang w:val="en-GB"/>
        </w:rPr>
        <w:t xml:space="preserve"> Source: OGA, </w:t>
      </w:r>
      <w:hyperlink r:id="rId15" w:history="1">
        <w:r w:rsidRPr="006237B3">
          <w:rPr>
            <w:rStyle w:val="Hyperlink"/>
            <w:rFonts w:cs="Arial"/>
            <w:sz w:val="20"/>
            <w:lang w:val="en-GB"/>
          </w:rPr>
          <w:t>https://data-ogauthority.opendata.arcgis.com/pages/production</w:t>
        </w:r>
      </w:hyperlink>
      <w:r w:rsidRPr="006237B3">
        <w:rPr>
          <w:rFonts w:cs="Arial"/>
          <w:sz w:val="20"/>
          <w:lang w:val="en-GB"/>
        </w:rPr>
        <w:t xml:space="preserve"> </w:t>
      </w:r>
    </w:p>
  </w:footnote>
  <w:footnote w:id="15">
    <w:p w14:paraId="2EBE4274" w14:textId="1A5015DA" w:rsidR="00364D75" w:rsidRPr="006237B3" w:rsidRDefault="00364D75" w:rsidP="00FE1750">
      <w:pPr>
        <w:pStyle w:val="FootnoteText"/>
        <w:keepLines/>
        <w:spacing w:before="120" w:line="276" w:lineRule="auto"/>
        <w:rPr>
          <w:rFonts w:cs="Arial"/>
          <w:sz w:val="20"/>
          <w:lang w:val="en-GB"/>
        </w:rPr>
      </w:pPr>
      <w:r w:rsidRPr="006237B3">
        <w:rPr>
          <w:rStyle w:val="FootnoteReference"/>
          <w:rFonts w:cs="Arial"/>
          <w:sz w:val="20"/>
        </w:rPr>
        <w:footnoteRef/>
      </w:r>
      <w:r w:rsidRPr="006237B3">
        <w:rPr>
          <w:rFonts w:cs="Arial"/>
          <w:sz w:val="20"/>
        </w:rPr>
        <w:t xml:space="preserve"> </w:t>
      </w:r>
      <w:r w:rsidRPr="006237B3">
        <w:rPr>
          <w:rFonts w:cs="Arial"/>
          <w:sz w:val="20"/>
          <w:lang w:val="en-GB"/>
        </w:rPr>
        <w:t>BP, Statistical Review of World Energ</w:t>
      </w:r>
      <w:r w:rsidRPr="006629CD">
        <w:rPr>
          <w:rFonts w:cs="Arial"/>
          <w:sz w:val="20"/>
          <w:lang w:val="en-GB"/>
        </w:rPr>
        <w:t xml:space="preserve">y. </w:t>
      </w:r>
      <w:hyperlink r:id="rId16" w:history="1">
        <w:r w:rsidR="006629CD" w:rsidRPr="006629CD">
          <w:rPr>
            <w:rStyle w:val="Hyperlink"/>
            <w:sz w:val="20"/>
            <w:lang w:val="en-GB"/>
          </w:rPr>
          <w:t>https://www.bp.com/en/global/corporate/energy-economics/statistical-review-of-world-energy.html</w:t>
        </w:r>
      </w:hyperlink>
    </w:p>
  </w:footnote>
  <w:footnote w:id="16">
    <w:p w14:paraId="7A6A11E8" w14:textId="77777777" w:rsidR="00364D75" w:rsidRPr="006237B3" w:rsidRDefault="00364D75" w:rsidP="00FE5EFB">
      <w:pPr>
        <w:pStyle w:val="Default"/>
        <w:keepLines/>
        <w:widowControl w:val="0"/>
        <w:spacing w:before="120" w:line="276" w:lineRule="auto"/>
        <w:rPr>
          <w:rFonts w:ascii="Arial" w:hAnsi="Arial" w:cs="Arial"/>
          <w:sz w:val="20"/>
          <w:szCs w:val="20"/>
        </w:rPr>
      </w:pPr>
      <w:r w:rsidRPr="006237B3">
        <w:rPr>
          <w:rStyle w:val="FootnoteReference"/>
          <w:rFonts w:ascii="Arial" w:hAnsi="Arial" w:cs="Arial"/>
          <w:color w:val="auto"/>
          <w:sz w:val="20"/>
          <w:szCs w:val="20"/>
        </w:rPr>
        <w:footnoteRef/>
      </w:r>
      <w:r w:rsidRPr="006237B3">
        <w:rPr>
          <w:rStyle w:val="FootnoteReference"/>
          <w:rFonts w:ascii="Arial" w:hAnsi="Arial" w:cs="Arial"/>
          <w:color w:val="auto"/>
          <w:sz w:val="20"/>
          <w:szCs w:val="20"/>
        </w:rPr>
        <w:t xml:space="preserve"> </w:t>
      </w:r>
      <w:hyperlink r:id="rId17" w:history="1">
        <w:r w:rsidRPr="006237B3">
          <w:rPr>
            <w:rStyle w:val="Hyperlink"/>
            <w:rFonts w:ascii="Arial" w:hAnsi="Arial" w:cs="Arial"/>
            <w:sz w:val="20"/>
            <w:szCs w:val="20"/>
          </w:rPr>
          <w:t>https://www.ogauthority.co.uk/data-centre/data-downloads-and-publications/ukcs-income-and-expenditure/</w:t>
        </w:r>
      </w:hyperlink>
    </w:p>
  </w:footnote>
  <w:footnote w:id="17">
    <w:p w14:paraId="67106F2F" w14:textId="151A85FF" w:rsidR="00364D75" w:rsidRDefault="00364D75" w:rsidP="00C963C5">
      <w:pPr>
        <w:pStyle w:val="FootnoteText"/>
        <w:keepLines/>
        <w:spacing w:before="120" w:line="276" w:lineRule="auto"/>
        <w:rPr>
          <w:rFonts w:cs="Arial"/>
          <w:sz w:val="20"/>
          <w:lang w:val="en-GB"/>
        </w:rPr>
      </w:pPr>
      <w:r>
        <w:rPr>
          <w:rStyle w:val="FootnoteReference"/>
          <w:rFonts w:cs="Arial"/>
          <w:sz w:val="20"/>
        </w:rPr>
        <w:footnoteRef/>
      </w:r>
      <w:hyperlink r:id="rId18" w:history="1">
        <w:r w:rsidRPr="002B018F">
          <w:rPr>
            <w:rStyle w:val="Hyperlink"/>
            <w:rFonts w:cs="Arial"/>
            <w:sz w:val="20"/>
            <w:lang w:val="en-GB" w:eastAsia="fr-FR"/>
          </w:rPr>
          <w:t>https://www.ons.gov.uk/economy/governmentpublicsectorandtaxes/publicsectorfinance/articles/improvementstoaccrualsmethodologyforcorporationtaxbankcorporationtaxsurchargeandthebanklevy/2017</w:t>
        </w:r>
      </w:hyperlink>
    </w:p>
  </w:footnote>
  <w:footnote w:id="18">
    <w:p w14:paraId="7C863CDB" w14:textId="77777777" w:rsidR="00364D75" w:rsidRDefault="00364D75" w:rsidP="00C963C5">
      <w:pPr>
        <w:pStyle w:val="FootnoteText"/>
        <w:keepLines/>
        <w:spacing w:before="120" w:line="276" w:lineRule="auto"/>
        <w:rPr>
          <w:rFonts w:cs="Arial"/>
          <w:sz w:val="20"/>
          <w:lang w:val="en-GB"/>
        </w:rPr>
      </w:pPr>
      <w:r>
        <w:rPr>
          <w:rStyle w:val="FootnoteReference"/>
          <w:rFonts w:cs="Arial"/>
          <w:sz w:val="20"/>
        </w:rPr>
        <w:footnoteRef/>
      </w:r>
      <w:r>
        <w:rPr>
          <w:rFonts w:cs="Arial"/>
          <w:sz w:val="20"/>
        </w:rPr>
        <w:t xml:space="preserve"> </w:t>
      </w:r>
      <w:hyperlink r:id="rId19" w:history="1">
        <w:r>
          <w:rPr>
            <w:rStyle w:val="Hyperlink"/>
            <w:rFonts w:cs="Arial"/>
            <w:sz w:val="20"/>
            <w:lang w:val="en-GB"/>
          </w:rPr>
          <w:t>https://www.gov.uk/government/statistics/hmrc-tax-and-nics-receipts-for-the-uk</w:t>
        </w:r>
      </w:hyperlink>
      <w:r>
        <w:rPr>
          <w:rStyle w:val="Hyperlink"/>
          <w:rFonts w:cs="Arial"/>
          <w:sz w:val="20"/>
          <w:lang w:val="en-GB"/>
        </w:rPr>
        <w:t xml:space="preserve">; </w:t>
      </w:r>
      <w:hyperlink r:id="rId20" w:history="1">
        <w:r>
          <w:rPr>
            <w:rStyle w:val="Hyperlink"/>
            <w:rFonts w:cs="Arial"/>
            <w:sz w:val="20"/>
            <w:lang w:val="en-GB"/>
          </w:rPr>
          <w:t>https://www.ons.gov.uk/economy/governmentpublicsectorandtaxes/publicsectorfinance/datasets/appendixdpublicsectorcurrentreceipts</w:t>
        </w:r>
      </w:hyperlink>
      <w:r>
        <w:rPr>
          <w:rFonts w:cs="Arial"/>
          <w:sz w:val="20"/>
          <w:lang w:val="en-GB"/>
        </w:rPr>
        <w:t xml:space="preserve"> </w:t>
      </w:r>
    </w:p>
  </w:footnote>
  <w:footnote w:id="19">
    <w:p w14:paraId="44D99525" w14:textId="77777777" w:rsidR="00364D75" w:rsidRDefault="00364D75" w:rsidP="00C963C5">
      <w:pPr>
        <w:keepLines/>
        <w:widowControl w:val="0"/>
        <w:spacing w:before="120" w:line="276" w:lineRule="auto"/>
        <w:rPr>
          <w:color w:val="000000"/>
          <w:sz w:val="20"/>
          <w:szCs w:val="20"/>
        </w:rPr>
      </w:pPr>
      <w:r>
        <w:rPr>
          <w:rStyle w:val="FootnoteReference"/>
          <w:sz w:val="20"/>
          <w:szCs w:val="20"/>
        </w:rPr>
        <w:footnoteRef/>
      </w:r>
      <w:r>
        <w:rPr>
          <w:sz w:val="20"/>
          <w:szCs w:val="20"/>
        </w:rPr>
        <w:t xml:space="preserve"> </w:t>
      </w:r>
      <w:r>
        <w:rPr>
          <w:color w:val="000000"/>
          <w:sz w:val="20"/>
          <w:szCs w:val="20"/>
        </w:rPr>
        <w:t xml:space="preserve">Oil and Gas Authority (OGA), Government revenues from UK oil and gas production, </w:t>
      </w:r>
      <w:hyperlink r:id="rId21" w:history="1">
        <w:r>
          <w:rPr>
            <w:rStyle w:val="Hyperlink"/>
            <w:sz w:val="20"/>
            <w:szCs w:val="20"/>
          </w:rPr>
          <w:t>https://www.ogauthority.co.uk/exploration-production/taxation/government-revenues-from-uk-oil-and-gas-production/</w:t>
        </w:r>
      </w:hyperlink>
    </w:p>
  </w:footnote>
  <w:footnote w:id="20">
    <w:p w14:paraId="6D0C91BA" w14:textId="77777777" w:rsidR="00364D75" w:rsidRPr="006237B3" w:rsidRDefault="00364D75" w:rsidP="00FE1750">
      <w:pPr>
        <w:pStyle w:val="FootnoteText"/>
        <w:keepLines/>
        <w:widowControl w:val="0"/>
        <w:spacing w:before="120" w:line="276" w:lineRule="auto"/>
        <w:rPr>
          <w:rFonts w:cs="Arial"/>
          <w:sz w:val="20"/>
          <w:lang w:val="en-GB"/>
        </w:rPr>
      </w:pPr>
      <w:r w:rsidRPr="006237B3">
        <w:rPr>
          <w:rStyle w:val="FootnoteReference"/>
          <w:rFonts w:cs="Arial"/>
          <w:sz w:val="20"/>
          <w:lang w:val="en-GB"/>
        </w:rPr>
        <w:footnoteRef/>
      </w:r>
      <w:r w:rsidRPr="006237B3">
        <w:rPr>
          <w:rFonts w:cs="Arial"/>
          <w:sz w:val="20"/>
          <w:lang w:val="en-GB"/>
        </w:rPr>
        <w:t xml:space="preserve"> OBR, </w:t>
      </w:r>
      <w:hyperlink r:id="rId22" w:history="1">
        <w:r w:rsidRPr="006237B3">
          <w:rPr>
            <w:rStyle w:val="Hyperlink"/>
            <w:rFonts w:cs="Arial"/>
            <w:sz w:val="20"/>
          </w:rPr>
          <w:t>http://obr.uk/</w:t>
        </w:r>
      </w:hyperlink>
    </w:p>
  </w:footnote>
  <w:footnote w:id="21">
    <w:p w14:paraId="18403EDE" w14:textId="77777777" w:rsidR="00364D75" w:rsidRPr="006237B3" w:rsidRDefault="00364D75" w:rsidP="008323CD">
      <w:pPr>
        <w:keepLines/>
        <w:spacing w:before="120" w:line="276" w:lineRule="auto"/>
        <w:rPr>
          <w:sz w:val="20"/>
          <w:szCs w:val="20"/>
        </w:rPr>
      </w:pPr>
      <w:r w:rsidRPr="006237B3">
        <w:rPr>
          <w:rStyle w:val="FootnoteReference"/>
          <w:sz w:val="20"/>
          <w:szCs w:val="20"/>
        </w:rPr>
        <w:footnoteRef/>
      </w:r>
      <w:r w:rsidRPr="006237B3">
        <w:rPr>
          <w:rStyle w:val="FootnoteReference"/>
          <w:sz w:val="20"/>
          <w:szCs w:val="20"/>
        </w:rPr>
        <w:t xml:space="preserve"> </w:t>
      </w:r>
      <w:r w:rsidRPr="006237B3">
        <w:rPr>
          <w:sz w:val="20"/>
          <w:szCs w:val="20"/>
        </w:rPr>
        <w:t xml:space="preserve">Data from Wood Mackenzie, Upstream Data Tool </w:t>
      </w:r>
      <w:hyperlink r:id="rId23" w:history="1">
        <w:r w:rsidRPr="006237B3">
          <w:rPr>
            <w:rStyle w:val="Hyperlink"/>
            <w:sz w:val="20"/>
            <w:szCs w:val="20"/>
          </w:rPr>
          <w:t>https://www.woodmac.com/research/products/upstream/upstream-data-tool/</w:t>
        </w:r>
      </w:hyperlink>
    </w:p>
  </w:footnote>
  <w:footnote w:id="22">
    <w:p w14:paraId="35F2819D" w14:textId="6D079CFD" w:rsidR="00364D75" w:rsidRPr="006237B3" w:rsidRDefault="00364D75" w:rsidP="00FE1750">
      <w:pPr>
        <w:pStyle w:val="Default"/>
        <w:keepLines/>
        <w:widowControl w:val="0"/>
        <w:spacing w:before="120" w:line="276" w:lineRule="auto"/>
        <w:rPr>
          <w:rFonts w:ascii="Arial" w:hAnsi="Arial" w:cs="Arial"/>
          <w:sz w:val="20"/>
          <w:szCs w:val="20"/>
        </w:rPr>
      </w:pPr>
      <w:r w:rsidRPr="006237B3">
        <w:rPr>
          <w:rStyle w:val="FootnoteReference"/>
          <w:rFonts w:ascii="Arial" w:hAnsi="Arial" w:cs="Arial"/>
          <w:color w:val="auto"/>
          <w:sz w:val="20"/>
          <w:szCs w:val="20"/>
        </w:rPr>
        <w:footnoteRef/>
      </w:r>
      <w:r w:rsidRPr="006237B3">
        <w:rPr>
          <w:rFonts w:ascii="Arial" w:hAnsi="Arial" w:cs="Arial"/>
          <w:sz w:val="20"/>
          <w:szCs w:val="20"/>
        </w:rPr>
        <w:t xml:space="preserve"> Source:</w:t>
      </w:r>
      <w:r w:rsidRPr="006237B3">
        <w:rPr>
          <w:rFonts w:ascii="Arial" w:hAnsi="Arial" w:cs="Arial"/>
          <w:color w:val="FF0000"/>
          <w:sz w:val="20"/>
          <w:szCs w:val="20"/>
        </w:rPr>
        <w:t xml:space="preserve"> </w:t>
      </w:r>
      <w:r w:rsidRPr="006237B3">
        <w:rPr>
          <w:rFonts w:ascii="Arial" w:hAnsi="Arial" w:cs="Arial"/>
          <w:color w:val="auto"/>
          <w:sz w:val="20"/>
          <w:szCs w:val="20"/>
        </w:rPr>
        <w:t xml:space="preserve">OGA, Projections of UK Oil and Gas Production and Expenditure, </w:t>
      </w:r>
      <w:r w:rsidR="00052CAC">
        <w:rPr>
          <w:rFonts w:ascii="Arial" w:hAnsi="Arial" w:cs="Arial"/>
          <w:color w:val="auto"/>
          <w:sz w:val="20"/>
          <w:szCs w:val="20"/>
        </w:rPr>
        <w:t xml:space="preserve">October </w:t>
      </w:r>
      <w:r w:rsidRPr="006237B3">
        <w:rPr>
          <w:rFonts w:ascii="Arial" w:hAnsi="Arial" w:cs="Arial"/>
          <w:color w:val="auto"/>
          <w:sz w:val="20"/>
          <w:szCs w:val="20"/>
        </w:rPr>
        <w:t>201</w:t>
      </w:r>
      <w:r w:rsidR="00052CAC">
        <w:rPr>
          <w:rFonts w:ascii="Arial" w:hAnsi="Arial" w:cs="Arial"/>
          <w:color w:val="auto"/>
          <w:sz w:val="20"/>
          <w:szCs w:val="20"/>
        </w:rPr>
        <w:t>9</w:t>
      </w:r>
      <w:r w:rsidRPr="006237B3">
        <w:rPr>
          <w:rFonts w:ascii="Arial" w:hAnsi="Arial" w:cs="Arial"/>
          <w:color w:val="auto"/>
          <w:sz w:val="20"/>
          <w:szCs w:val="20"/>
        </w:rPr>
        <w:t xml:space="preserve">, </w:t>
      </w:r>
      <w:hyperlink r:id="rId24" w:history="1">
        <w:r w:rsidRPr="006237B3">
          <w:rPr>
            <w:rStyle w:val="Hyperlink"/>
            <w:rFonts w:ascii="Arial" w:hAnsi="Arial" w:cs="Arial"/>
            <w:sz w:val="20"/>
            <w:szCs w:val="20"/>
          </w:rPr>
          <w:t>https://www.ogauthority.co.uk/data-centre/data-downloads-and-publications/production-projections/</w:t>
        </w:r>
      </w:hyperlink>
    </w:p>
  </w:footnote>
  <w:footnote w:id="23">
    <w:p w14:paraId="3A31BD74" w14:textId="77777777" w:rsidR="00364D75" w:rsidRPr="00E37A3B" w:rsidRDefault="00364D75" w:rsidP="007A601C">
      <w:pPr>
        <w:pStyle w:val="FootnoteText"/>
        <w:keepLines/>
        <w:spacing w:before="120" w:line="276" w:lineRule="auto"/>
        <w:rPr>
          <w:rFonts w:cs="Arial"/>
          <w:sz w:val="20"/>
          <w:lang w:val="en-GB"/>
        </w:rPr>
      </w:pPr>
      <w:r w:rsidRPr="00E37A3B">
        <w:rPr>
          <w:rStyle w:val="FootnoteReference"/>
          <w:rFonts w:cs="Arial"/>
          <w:sz w:val="20"/>
        </w:rPr>
        <w:footnoteRef/>
      </w:r>
      <w:hyperlink r:id="rId25" w:history="1">
        <w:r w:rsidRPr="00E37A3B">
          <w:rPr>
            <w:rStyle w:val="Hyperlink"/>
            <w:rFonts w:cs="Arial"/>
            <w:sz w:val="20"/>
          </w:rPr>
          <w:t>https://www.ons.gov.uk/employmentandlabourmarket/peopleinwork/employmentandemployeetypes/datasets/industry235digitsicbusinessregisterandemploymentsurveybrestable2</w:t>
        </w:r>
      </w:hyperlink>
    </w:p>
  </w:footnote>
  <w:footnote w:id="24">
    <w:p w14:paraId="5856D625" w14:textId="581E88D9" w:rsidR="00364D75" w:rsidRPr="00E37A3B" w:rsidRDefault="00364D75" w:rsidP="00FE1750">
      <w:pPr>
        <w:keepLines/>
        <w:spacing w:before="120" w:line="276" w:lineRule="auto"/>
        <w:rPr>
          <w:color w:val="0563C1"/>
          <w:sz w:val="20"/>
          <w:szCs w:val="20"/>
          <w:u w:val="single"/>
        </w:rPr>
      </w:pPr>
      <w:r w:rsidRPr="00E37A3B">
        <w:rPr>
          <w:rStyle w:val="FootnoteReference"/>
          <w:sz w:val="20"/>
          <w:szCs w:val="20"/>
        </w:rPr>
        <w:footnoteRef/>
      </w:r>
      <w:r w:rsidRPr="00E37A3B">
        <w:rPr>
          <w:sz w:val="20"/>
          <w:szCs w:val="20"/>
        </w:rPr>
        <w:t xml:space="preserve"> </w:t>
      </w:r>
      <w:r w:rsidR="00662BF5" w:rsidRPr="00006E8D">
        <w:rPr>
          <w:sz w:val="20"/>
          <w:szCs w:val="12"/>
        </w:rPr>
        <w:t>https://oilandgasuk.co.uk/workforce-report.cfm</w:t>
      </w:r>
    </w:p>
  </w:footnote>
  <w:footnote w:id="25">
    <w:p w14:paraId="5491935B" w14:textId="3ADEF9F8" w:rsidR="00B22813" w:rsidRDefault="00364D75" w:rsidP="00FE1750">
      <w:pPr>
        <w:keepLines/>
        <w:spacing w:before="120" w:line="276" w:lineRule="auto"/>
        <w:rPr>
          <w:sz w:val="20"/>
          <w:szCs w:val="12"/>
        </w:rPr>
      </w:pPr>
      <w:r w:rsidRPr="00990A02">
        <w:rPr>
          <w:rStyle w:val="FootnoteReference"/>
          <w:sz w:val="20"/>
          <w:szCs w:val="20"/>
        </w:rPr>
        <w:footnoteRef/>
      </w:r>
      <w:r w:rsidRPr="00990A02">
        <w:rPr>
          <w:sz w:val="20"/>
          <w:szCs w:val="20"/>
        </w:rPr>
        <w:t xml:space="preserve"> </w:t>
      </w:r>
      <w:hyperlink r:id="rId26" w:history="1">
        <w:r w:rsidR="00B22813" w:rsidRPr="00CD6DC9">
          <w:rPr>
            <w:rStyle w:val="Hyperlink"/>
            <w:sz w:val="20"/>
            <w:szCs w:val="12"/>
          </w:rPr>
          <w:t>https://oilandgasuk.co.uk/workforce-report.cfm</w:t>
        </w:r>
      </w:hyperlink>
    </w:p>
    <w:p w14:paraId="04971E16" w14:textId="77777777" w:rsidR="00B22813" w:rsidRPr="00B22813" w:rsidRDefault="00B22813" w:rsidP="00FE1750">
      <w:pPr>
        <w:keepLines/>
        <w:spacing w:before="120" w:line="276" w:lineRule="auto"/>
        <w:rPr>
          <w:sz w:val="20"/>
          <w:szCs w:val="12"/>
        </w:rPr>
      </w:pPr>
    </w:p>
  </w:footnote>
  <w:footnote w:id="26">
    <w:p w14:paraId="41A76977" w14:textId="094BC1AE" w:rsidR="00364D75" w:rsidRPr="004E7263" w:rsidRDefault="00364D75" w:rsidP="00FE1750">
      <w:pPr>
        <w:pStyle w:val="FootnoteText"/>
        <w:keepLines/>
        <w:spacing w:before="120" w:line="276" w:lineRule="auto"/>
        <w:rPr>
          <w:rFonts w:cs="Arial"/>
          <w:sz w:val="20"/>
          <w:lang w:val="en-GB"/>
        </w:rPr>
      </w:pPr>
      <w:r w:rsidRPr="00990A02">
        <w:rPr>
          <w:rStyle w:val="FootnoteReference"/>
          <w:rFonts w:cs="Arial"/>
          <w:sz w:val="20"/>
          <w:lang w:val="en-GB"/>
        </w:rPr>
        <w:footnoteRef/>
      </w:r>
      <w:r w:rsidRPr="00990A02">
        <w:rPr>
          <w:rFonts w:cs="Arial"/>
          <w:sz w:val="20"/>
          <w:lang w:val="en-GB"/>
        </w:rPr>
        <w:t xml:space="preserve"> This sub-section draws on the material on Licensing and consents on the OGA’s website at </w:t>
      </w:r>
      <w:hyperlink r:id="rId27" w:history="1">
        <w:r w:rsidRPr="00990A02">
          <w:rPr>
            <w:rStyle w:val="Hyperlink"/>
            <w:rFonts w:cs="Arial"/>
            <w:sz w:val="20"/>
            <w:lang w:val="en-GB"/>
          </w:rPr>
          <w:t>https://www.ogauthority.co.uk/licensing-consents/overview/</w:t>
        </w:r>
      </w:hyperlink>
      <w:r w:rsidRPr="00990A02">
        <w:rPr>
          <w:rFonts w:cs="Arial"/>
          <w:sz w:val="20"/>
          <w:lang w:val="en-GB"/>
        </w:rPr>
        <w:t xml:space="preserve"> to which reference may be made for further details</w:t>
      </w:r>
      <w:r>
        <w:rPr>
          <w:rFonts w:cs="Arial"/>
          <w:sz w:val="20"/>
          <w:lang w:val="en-GB"/>
        </w:rPr>
        <w:t>.</w:t>
      </w:r>
      <w:r w:rsidRPr="004E7263">
        <w:rPr>
          <w:rFonts w:cs="Arial"/>
          <w:sz w:val="20"/>
          <w:lang w:val="en-GB"/>
        </w:rPr>
        <w:t xml:space="preserve"> </w:t>
      </w:r>
    </w:p>
  </w:footnote>
  <w:footnote w:id="27">
    <w:p w14:paraId="4E85C648" w14:textId="77777777" w:rsidR="00364D75" w:rsidRPr="004E7263" w:rsidRDefault="00364D75" w:rsidP="00FE1750">
      <w:pPr>
        <w:pStyle w:val="FootnoteText"/>
        <w:keepLines/>
        <w:widowControl w:val="0"/>
        <w:spacing w:before="120" w:line="276" w:lineRule="auto"/>
        <w:rPr>
          <w:rFonts w:cs="Arial"/>
          <w:sz w:val="20"/>
          <w:lang w:val="en-GB"/>
        </w:rPr>
      </w:pPr>
      <w:r w:rsidRPr="004E7263">
        <w:rPr>
          <w:rStyle w:val="FootnoteReference"/>
          <w:rFonts w:cs="Arial"/>
          <w:sz w:val="20"/>
          <w:lang w:val="en-GB"/>
        </w:rPr>
        <w:footnoteRef/>
      </w:r>
      <w:r w:rsidRPr="004E7263">
        <w:rPr>
          <w:rFonts w:cs="Arial"/>
          <w:sz w:val="20"/>
          <w:lang w:val="en-GB"/>
        </w:rPr>
        <w:t xml:space="preserve"> Petroleum Act 1998, </w:t>
      </w:r>
      <w:hyperlink r:id="rId28" w:history="1">
        <w:r w:rsidRPr="004E7263">
          <w:rPr>
            <w:rStyle w:val="Hyperlink"/>
            <w:rFonts w:cs="Arial"/>
            <w:sz w:val="20"/>
            <w:lang w:val="en-GB"/>
          </w:rPr>
          <w:t>www.legislation.gov.uk/ukpga/1998/17/contents</w:t>
        </w:r>
      </w:hyperlink>
    </w:p>
  </w:footnote>
  <w:footnote w:id="28">
    <w:p w14:paraId="7D14A001" w14:textId="77777777" w:rsidR="00364D75" w:rsidRPr="006237B3" w:rsidRDefault="00364D75" w:rsidP="00FE1750">
      <w:pPr>
        <w:pStyle w:val="FootnoteText"/>
        <w:keepLines/>
        <w:widowControl w:val="0"/>
        <w:spacing w:before="120" w:line="276" w:lineRule="auto"/>
        <w:rPr>
          <w:rFonts w:cs="Arial"/>
          <w:sz w:val="20"/>
          <w:lang w:val="en-GB"/>
        </w:rPr>
      </w:pPr>
      <w:r w:rsidRPr="006237B3">
        <w:rPr>
          <w:rStyle w:val="FootnoteReference"/>
          <w:rFonts w:cs="Arial"/>
          <w:sz w:val="20"/>
          <w:lang w:val="en-GB"/>
        </w:rPr>
        <w:footnoteRef/>
      </w:r>
      <w:r w:rsidRPr="006237B3">
        <w:rPr>
          <w:rFonts w:cs="Arial"/>
          <w:sz w:val="20"/>
          <w:lang w:val="en-GB"/>
        </w:rPr>
        <w:t xml:space="preserve"> Petroleum (Production) Act (</w:t>
      </w:r>
      <w:r w:rsidRPr="00116D4A">
        <w:rPr>
          <w:rFonts w:cs="Arial"/>
          <w:sz w:val="20"/>
          <w:lang w:val="en-GB"/>
        </w:rPr>
        <w:t>Northern Ireland)</w:t>
      </w:r>
      <w:r w:rsidRPr="006237B3">
        <w:rPr>
          <w:rFonts w:cs="Arial"/>
          <w:sz w:val="20"/>
          <w:lang w:val="en-GB"/>
        </w:rPr>
        <w:t xml:space="preserve"> 1964, </w:t>
      </w:r>
      <w:hyperlink r:id="rId29" w:history="1">
        <w:r w:rsidRPr="006237B3">
          <w:rPr>
            <w:rStyle w:val="Hyperlink"/>
            <w:rFonts w:cs="Arial"/>
            <w:sz w:val="20"/>
            <w:lang w:val="en-GB"/>
          </w:rPr>
          <w:t>http://www.legislation.gov.uk/apni/1964/28/contents</w:t>
        </w:r>
      </w:hyperlink>
    </w:p>
  </w:footnote>
  <w:footnote w:id="29">
    <w:p w14:paraId="1B4B3D21" w14:textId="77777777" w:rsidR="00364D75" w:rsidRPr="006237B3" w:rsidRDefault="00364D75" w:rsidP="00FE1750">
      <w:pPr>
        <w:pStyle w:val="Default"/>
        <w:keepLines/>
        <w:widowControl w:val="0"/>
        <w:spacing w:before="120" w:line="276" w:lineRule="auto"/>
        <w:rPr>
          <w:rFonts w:ascii="Arial" w:hAnsi="Arial" w:cs="Arial"/>
          <w:sz w:val="20"/>
          <w:szCs w:val="20"/>
        </w:rPr>
      </w:pPr>
      <w:r w:rsidRPr="006237B3">
        <w:rPr>
          <w:rStyle w:val="FootnoteReference"/>
          <w:rFonts w:ascii="Arial" w:hAnsi="Arial" w:cs="Arial"/>
          <w:color w:val="auto"/>
          <w:sz w:val="20"/>
          <w:szCs w:val="20"/>
        </w:rPr>
        <w:footnoteRef/>
      </w:r>
      <w:r w:rsidRPr="006237B3">
        <w:rPr>
          <w:rFonts w:ascii="Arial" w:hAnsi="Arial" w:cs="Arial"/>
          <w:sz w:val="20"/>
          <w:szCs w:val="20"/>
        </w:rPr>
        <w:t xml:space="preserve"> OGA, </w:t>
      </w:r>
      <w:hyperlink r:id="rId30" w:history="1">
        <w:r w:rsidRPr="006237B3">
          <w:rPr>
            <w:rStyle w:val="Hyperlink"/>
            <w:rFonts w:ascii="Arial" w:hAnsi="Arial" w:cs="Arial"/>
            <w:sz w:val="20"/>
            <w:szCs w:val="20"/>
          </w:rPr>
          <w:t>https://www.ogauthority.co.uk/data-centre/data-downloads-and-publications/licence-data/</w:t>
        </w:r>
      </w:hyperlink>
    </w:p>
  </w:footnote>
  <w:footnote w:id="30">
    <w:p w14:paraId="3074CAB8" w14:textId="77777777" w:rsidR="00364D75" w:rsidRPr="006237B3" w:rsidRDefault="00364D75" w:rsidP="00FE1750">
      <w:pPr>
        <w:pStyle w:val="Default"/>
        <w:keepLines/>
        <w:widowControl w:val="0"/>
        <w:spacing w:before="120" w:line="276" w:lineRule="auto"/>
        <w:rPr>
          <w:rFonts w:ascii="Arial" w:hAnsi="Arial" w:cs="Arial"/>
          <w:sz w:val="20"/>
          <w:szCs w:val="20"/>
        </w:rPr>
      </w:pPr>
      <w:r w:rsidRPr="006237B3">
        <w:rPr>
          <w:rStyle w:val="FootnoteReference"/>
          <w:rFonts w:ascii="Arial" w:hAnsi="Arial" w:cs="Arial"/>
          <w:color w:val="auto"/>
          <w:sz w:val="20"/>
          <w:szCs w:val="20"/>
        </w:rPr>
        <w:footnoteRef/>
      </w:r>
      <w:r w:rsidRPr="006237B3">
        <w:rPr>
          <w:rFonts w:ascii="Arial" w:hAnsi="Arial" w:cs="Arial"/>
          <w:sz w:val="20"/>
          <w:szCs w:val="20"/>
        </w:rPr>
        <w:t xml:space="preserve"> </w:t>
      </w:r>
      <w:hyperlink r:id="rId31" w:history="1">
        <w:r w:rsidRPr="006237B3">
          <w:rPr>
            <w:rStyle w:val="Hyperlink"/>
            <w:rFonts w:ascii="Arial" w:hAnsi="Arial" w:cs="Arial"/>
            <w:sz w:val="20"/>
            <w:szCs w:val="20"/>
          </w:rPr>
          <w:t>https://www.ogauthority.co.uk/data-centre/interactive-maps-and-tools/</w:t>
        </w:r>
      </w:hyperlink>
    </w:p>
  </w:footnote>
  <w:footnote w:id="31">
    <w:p w14:paraId="0B91C35F" w14:textId="77777777" w:rsidR="00364D75" w:rsidRPr="006237B3" w:rsidRDefault="00364D75" w:rsidP="00FE1750">
      <w:pPr>
        <w:pStyle w:val="FootnoteText"/>
        <w:keepLines/>
        <w:widowControl w:val="0"/>
        <w:spacing w:before="120" w:line="276" w:lineRule="auto"/>
        <w:rPr>
          <w:rFonts w:cs="Arial"/>
          <w:sz w:val="20"/>
          <w:lang w:val="en-GB"/>
        </w:rPr>
      </w:pPr>
      <w:r w:rsidRPr="006237B3">
        <w:rPr>
          <w:rStyle w:val="FootnoteReference"/>
          <w:rFonts w:cs="Arial"/>
          <w:sz w:val="20"/>
          <w:lang w:val="en-GB"/>
        </w:rPr>
        <w:footnoteRef/>
      </w:r>
      <w:r w:rsidRPr="006237B3">
        <w:rPr>
          <w:rFonts w:cs="Arial"/>
          <w:sz w:val="20"/>
          <w:lang w:val="en-GB"/>
        </w:rPr>
        <w:t xml:space="preserve"> DfE, Petroleum licensing, </w:t>
      </w:r>
      <w:hyperlink r:id="rId32" w:history="1">
        <w:r w:rsidRPr="006237B3">
          <w:rPr>
            <w:rStyle w:val="Hyperlink"/>
            <w:rFonts w:cs="Arial"/>
            <w:sz w:val="20"/>
            <w:lang w:val="en-GB"/>
          </w:rPr>
          <w:t>https://www.economy-ni.gov.uk/articles/petroleum-licensing</w:t>
        </w:r>
      </w:hyperlink>
    </w:p>
  </w:footnote>
  <w:footnote w:id="32">
    <w:p w14:paraId="7200D4C6" w14:textId="77777777" w:rsidR="00364D75" w:rsidRPr="006237B3" w:rsidRDefault="00364D75" w:rsidP="00FE1750">
      <w:pPr>
        <w:pStyle w:val="Default"/>
        <w:keepLines/>
        <w:widowControl w:val="0"/>
        <w:spacing w:before="120" w:line="276" w:lineRule="auto"/>
        <w:rPr>
          <w:rFonts w:ascii="Arial" w:hAnsi="Arial" w:cs="Arial"/>
          <w:sz w:val="20"/>
          <w:szCs w:val="20"/>
        </w:rPr>
      </w:pPr>
      <w:r w:rsidRPr="006237B3">
        <w:rPr>
          <w:rStyle w:val="FootnoteReference"/>
          <w:rFonts w:ascii="Arial" w:hAnsi="Arial" w:cs="Arial"/>
          <w:color w:val="auto"/>
          <w:sz w:val="20"/>
          <w:szCs w:val="20"/>
        </w:rPr>
        <w:footnoteRef/>
      </w:r>
      <w:r w:rsidRPr="006237B3">
        <w:rPr>
          <w:rFonts w:ascii="Arial" w:hAnsi="Arial" w:cs="Arial"/>
          <w:sz w:val="20"/>
          <w:szCs w:val="20"/>
        </w:rPr>
        <w:t xml:space="preserve"> OGA documentation of award rounds is available at </w:t>
      </w:r>
      <w:hyperlink r:id="rId33" w:history="1">
        <w:r w:rsidRPr="006237B3">
          <w:rPr>
            <w:rStyle w:val="Hyperlink"/>
            <w:rFonts w:ascii="Arial" w:hAnsi="Arial" w:cs="Arial"/>
            <w:sz w:val="20"/>
            <w:szCs w:val="20"/>
          </w:rPr>
          <w:t>https://www.ogauthority.co.uk/licensing-consents/licensing-rounds/</w:t>
        </w:r>
      </w:hyperlink>
    </w:p>
  </w:footnote>
  <w:footnote w:id="33">
    <w:p w14:paraId="690D2B97" w14:textId="77777777" w:rsidR="00364D75" w:rsidRPr="004E7263" w:rsidRDefault="00364D75" w:rsidP="00FE1750">
      <w:pPr>
        <w:pStyle w:val="Default"/>
        <w:keepLines/>
        <w:widowControl w:val="0"/>
        <w:spacing w:before="120" w:line="276" w:lineRule="auto"/>
        <w:rPr>
          <w:rFonts w:ascii="Arial" w:hAnsi="Arial" w:cs="Arial"/>
          <w:sz w:val="20"/>
          <w:szCs w:val="20"/>
        </w:rPr>
      </w:pPr>
      <w:r w:rsidRPr="006237B3">
        <w:rPr>
          <w:rStyle w:val="FootnoteReference"/>
          <w:rFonts w:ascii="Arial" w:hAnsi="Arial" w:cs="Arial"/>
          <w:color w:val="auto"/>
          <w:sz w:val="20"/>
          <w:szCs w:val="20"/>
        </w:rPr>
        <w:footnoteRef/>
      </w:r>
      <w:r w:rsidRPr="006237B3">
        <w:rPr>
          <w:rStyle w:val="FootnoteReference"/>
          <w:rFonts w:ascii="Arial" w:hAnsi="Arial" w:cs="Arial"/>
          <w:color w:val="auto"/>
          <w:sz w:val="20"/>
          <w:szCs w:val="20"/>
        </w:rPr>
        <w:t xml:space="preserve"> </w:t>
      </w:r>
      <w:r w:rsidRPr="006237B3">
        <w:rPr>
          <w:rFonts w:ascii="Arial" w:hAnsi="Arial" w:cs="Arial"/>
          <w:sz w:val="20"/>
          <w:szCs w:val="20"/>
        </w:rPr>
        <w:t xml:space="preserve">See for example </w:t>
      </w:r>
      <w:hyperlink r:id="rId34" w:history="1">
        <w:r w:rsidRPr="006237B3">
          <w:rPr>
            <w:rStyle w:val="Hyperlink"/>
            <w:rFonts w:ascii="Arial" w:hAnsi="Arial" w:cs="Arial"/>
            <w:sz w:val="20"/>
            <w:szCs w:val="20"/>
          </w:rPr>
          <w:t>http://eur-lex.europa.eu/legal-content/EN/TXT/PDF/?uri=CELEX:52014XG0620(01)&amp;from=EN</w:t>
        </w:r>
      </w:hyperlink>
      <w:r w:rsidRPr="006237B3">
        <w:rPr>
          <w:rFonts w:ascii="Arial" w:hAnsi="Arial" w:cs="Arial"/>
          <w:sz w:val="20"/>
          <w:szCs w:val="20"/>
        </w:rPr>
        <w:t xml:space="preserve"> for the announcement of the 14th landward licensing round including the assessment criteria.</w:t>
      </w:r>
    </w:p>
  </w:footnote>
  <w:footnote w:id="34">
    <w:p w14:paraId="394E2DED" w14:textId="77777777" w:rsidR="00364D75" w:rsidRPr="004E7263" w:rsidRDefault="00364D75" w:rsidP="00FE1750">
      <w:pPr>
        <w:pStyle w:val="FootnoteText"/>
        <w:keepLines/>
        <w:spacing w:before="120" w:line="276" w:lineRule="auto"/>
        <w:rPr>
          <w:rStyle w:val="Hyperlink"/>
          <w:rFonts w:eastAsia="Calibri" w:cs="Arial"/>
          <w:color w:val="auto"/>
          <w:sz w:val="20"/>
          <w:u w:val="none"/>
          <w:lang w:eastAsia="en-US"/>
        </w:rPr>
      </w:pPr>
      <w:r w:rsidRPr="004E7263">
        <w:rPr>
          <w:rStyle w:val="FootnoteReference"/>
          <w:rFonts w:cs="Arial"/>
          <w:sz w:val="20"/>
        </w:rPr>
        <w:footnoteRef/>
      </w:r>
      <w:r w:rsidRPr="004E7263">
        <w:rPr>
          <w:rFonts w:cs="Arial"/>
          <w:sz w:val="20"/>
          <w:lang w:val="en-GB"/>
        </w:rPr>
        <w:t xml:space="preserve"> </w:t>
      </w:r>
      <w:r w:rsidRPr="004E7263">
        <w:rPr>
          <w:rStyle w:val="Hyperlink"/>
          <w:rFonts w:eastAsia="Calibri" w:cs="Arial"/>
          <w:color w:val="auto"/>
          <w:sz w:val="20"/>
          <w:u w:val="none"/>
          <w:lang w:eastAsia="en-US"/>
        </w:rPr>
        <w:t>See</w:t>
      </w:r>
      <w:r w:rsidRPr="004E7263">
        <w:rPr>
          <w:rStyle w:val="Hyperlink"/>
          <w:rFonts w:eastAsia="Calibri" w:cs="Arial"/>
          <w:color w:val="auto"/>
          <w:sz w:val="20"/>
          <w:u w:val="none"/>
          <w:lang w:val="en-GB" w:eastAsia="en-US"/>
        </w:rPr>
        <w:t xml:space="preserve"> </w:t>
      </w:r>
      <w:hyperlink r:id="rId35" w:history="1">
        <w:r w:rsidRPr="004E7263">
          <w:rPr>
            <w:rStyle w:val="Hyperlink"/>
            <w:rFonts w:eastAsia="Calibri" w:cs="Arial"/>
            <w:sz w:val="20"/>
            <w:lang w:val="en-GB" w:eastAsia="en-US"/>
          </w:rPr>
          <w:t>https://www.ogauthority.co.uk/licensing-consents/licensing-system/licence-assignments/</w:t>
        </w:r>
      </w:hyperlink>
      <w:r w:rsidRPr="004E7263">
        <w:rPr>
          <w:rStyle w:val="Hyperlink"/>
          <w:rFonts w:eastAsia="Calibri" w:cs="Arial"/>
          <w:color w:val="auto"/>
          <w:sz w:val="20"/>
          <w:u w:val="none"/>
          <w:lang w:val="en-GB" w:eastAsia="en-US"/>
        </w:rPr>
        <w:t xml:space="preserve"> </w:t>
      </w:r>
      <w:r w:rsidRPr="004E7263">
        <w:rPr>
          <w:rStyle w:val="Hyperlink"/>
          <w:rFonts w:eastAsia="Calibri" w:cs="Arial"/>
          <w:color w:val="auto"/>
          <w:sz w:val="20"/>
          <w:u w:val="none"/>
          <w:lang w:eastAsia="en-US"/>
        </w:rPr>
        <w:t xml:space="preserve">for further details. Details of current licences are available at </w:t>
      </w:r>
      <w:hyperlink r:id="rId36" w:history="1">
        <w:r w:rsidRPr="004E7263">
          <w:rPr>
            <w:rStyle w:val="Hyperlink"/>
            <w:rFonts w:eastAsia="Calibri" w:cs="Arial"/>
            <w:sz w:val="20"/>
            <w:lang w:eastAsia="en-US"/>
          </w:rPr>
          <w:t>https://www.ogauthority.co.uk/data-centre/data-downloads-and-publications/licence-data/</w:t>
        </w:r>
      </w:hyperlink>
      <w:r w:rsidRPr="004E7263">
        <w:rPr>
          <w:rStyle w:val="Hyperlink"/>
          <w:rFonts w:eastAsia="Calibri" w:cs="Arial"/>
          <w:color w:val="auto"/>
          <w:sz w:val="20"/>
          <w:u w:val="none"/>
          <w:lang w:eastAsia="en-US"/>
        </w:rPr>
        <w:t>.</w:t>
      </w:r>
    </w:p>
  </w:footnote>
  <w:footnote w:id="35">
    <w:p w14:paraId="5D724571" w14:textId="0528E623" w:rsidR="00364D75" w:rsidRPr="0098175C" w:rsidRDefault="00364D75">
      <w:pPr>
        <w:pStyle w:val="FootnoteText"/>
        <w:rPr>
          <w:sz w:val="20"/>
          <w:lang w:val="fr-FR"/>
        </w:rPr>
      </w:pPr>
    </w:p>
  </w:footnote>
  <w:footnote w:id="36">
    <w:p w14:paraId="4ED35CDC" w14:textId="4C95D2AA" w:rsidR="00AD38BF" w:rsidRPr="0028618A" w:rsidRDefault="00AD38BF">
      <w:pPr>
        <w:pStyle w:val="FootnoteText"/>
        <w:rPr>
          <w:lang w:val="en-GB"/>
        </w:rPr>
      </w:pPr>
      <w:r>
        <w:rPr>
          <w:rStyle w:val="FootnoteReference"/>
        </w:rPr>
        <w:footnoteRef/>
      </w:r>
      <w:r>
        <w:t xml:space="preserve"> </w:t>
      </w:r>
      <w:hyperlink r:id="rId37" w:history="1">
        <w:r w:rsidR="00BE758A" w:rsidRPr="00BE758A">
          <w:rPr>
            <w:rFonts w:cs="Arial"/>
            <w:color w:val="0000FF"/>
            <w:sz w:val="24"/>
            <w:szCs w:val="16"/>
            <w:u w:val="single"/>
            <w:lang w:val="en-GB" w:eastAsia="en-US"/>
          </w:rPr>
          <w:t>http://marine.gov.scot/information/oil-gas-onshore-fields-licences-and-wells</w:t>
        </w:r>
      </w:hyperlink>
    </w:p>
  </w:footnote>
  <w:footnote w:id="37">
    <w:p w14:paraId="0744B06C" w14:textId="77777777" w:rsidR="00364D75" w:rsidRPr="004E7263" w:rsidRDefault="00364D75" w:rsidP="00FE1750">
      <w:pPr>
        <w:pStyle w:val="Default"/>
        <w:keepLines/>
        <w:widowControl w:val="0"/>
        <w:spacing w:before="120" w:line="276" w:lineRule="auto"/>
        <w:rPr>
          <w:rFonts w:ascii="Arial" w:hAnsi="Arial" w:cs="Arial"/>
          <w:sz w:val="20"/>
          <w:szCs w:val="20"/>
        </w:rPr>
      </w:pPr>
      <w:r w:rsidRPr="004E7263">
        <w:rPr>
          <w:rStyle w:val="FootnoteReference"/>
          <w:rFonts w:ascii="Arial" w:hAnsi="Arial" w:cs="Arial"/>
          <w:color w:val="auto"/>
          <w:sz w:val="20"/>
          <w:szCs w:val="20"/>
        </w:rPr>
        <w:footnoteRef/>
      </w:r>
      <w:r w:rsidRPr="004E7263">
        <w:rPr>
          <w:rFonts w:ascii="Arial" w:hAnsi="Arial" w:cs="Arial"/>
          <w:sz w:val="20"/>
          <w:szCs w:val="20"/>
        </w:rPr>
        <w:t xml:space="preserve"> Petroleum Licensing (Exploration and Production) (Landward Areas) Regulations 2014, </w:t>
      </w:r>
      <w:hyperlink r:id="rId38" w:history="1">
        <w:r w:rsidRPr="004E7263">
          <w:rPr>
            <w:rStyle w:val="Hyperlink"/>
            <w:rFonts w:ascii="Arial" w:hAnsi="Arial" w:cs="Arial"/>
            <w:sz w:val="20"/>
            <w:szCs w:val="20"/>
          </w:rPr>
          <w:t>http://www.legislation.gov.uk/uksi/2014/1686/contents/made</w:t>
        </w:r>
      </w:hyperlink>
    </w:p>
  </w:footnote>
  <w:footnote w:id="38">
    <w:p w14:paraId="7130D21C" w14:textId="77777777" w:rsidR="00364D75" w:rsidRPr="004E7263" w:rsidRDefault="00364D75" w:rsidP="00FE1750">
      <w:pPr>
        <w:pStyle w:val="FootnoteText"/>
        <w:keepLines/>
        <w:widowControl w:val="0"/>
        <w:spacing w:before="120" w:line="276" w:lineRule="auto"/>
        <w:rPr>
          <w:rFonts w:cs="Arial"/>
          <w:sz w:val="20"/>
          <w:lang w:val="en-GB"/>
        </w:rPr>
      </w:pPr>
      <w:r w:rsidRPr="004E7263">
        <w:rPr>
          <w:rStyle w:val="FootnoteReference"/>
          <w:rFonts w:cs="Arial"/>
          <w:sz w:val="20"/>
          <w:lang w:val="en-GB"/>
        </w:rPr>
        <w:footnoteRef/>
      </w:r>
      <w:r w:rsidRPr="004E7263">
        <w:rPr>
          <w:rFonts w:cs="Arial"/>
          <w:sz w:val="20"/>
          <w:lang w:val="en-GB"/>
        </w:rPr>
        <w:t xml:space="preserve"> OGA, </w:t>
      </w:r>
      <w:hyperlink r:id="rId39" w:history="1">
        <w:r w:rsidRPr="004E7263">
          <w:rPr>
            <w:rStyle w:val="Hyperlink"/>
            <w:rFonts w:cs="Arial"/>
            <w:sz w:val="20"/>
            <w:lang w:val="en-GB"/>
          </w:rPr>
          <w:t>https://www.ogauthority.co.uk/licensing-consents/overview/</w:t>
        </w:r>
      </w:hyperlink>
      <w:r w:rsidRPr="004E7263">
        <w:rPr>
          <w:rFonts w:cs="Arial"/>
          <w:sz w:val="20"/>
          <w:lang w:val="en-GB"/>
        </w:rPr>
        <w:t>.</w:t>
      </w:r>
    </w:p>
  </w:footnote>
  <w:footnote w:id="39">
    <w:p w14:paraId="78F962D2" w14:textId="77777777" w:rsidR="00364D75" w:rsidRPr="006237B3" w:rsidRDefault="00364D75" w:rsidP="00FE1750">
      <w:pPr>
        <w:pStyle w:val="FootnoteText"/>
        <w:keepLines/>
        <w:widowControl w:val="0"/>
        <w:spacing w:before="120" w:line="276" w:lineRule="auto"/>
        <w:rPr>
          <w:rFonts w:cs="Arial"/>
          <w:sz w:val="20"/>
          <w:lang w:val="en-GB"/>
        </w:rPr>
      </w:pPr>
      <w:r w:rsidRPr="006237B3">
        <w:rPr>
          <w:rStyle w:val="FootnoteReference"/>
          <w:rFonts w:cs="Arial"/>
          <w:sz w:val="20"/>
          <w:lang w:val="en-GB"/>
        </w:rPr>
        <w:footnoteRef/>
      </w:r>
      <w:r w:rsidRPr="006237B3">
        <w:rPr>
          <w:rFonts w:cs="Arial"/>
          <w:sz w:val="20"/>
          <w:lang w:val="en-GB"/>
        </w:rPr>
        <w:t xml:space="preserve"> </w:t>
      </w:r>
      <w:hyperlink r:id="rId40" w:history="1">
        <w:r w:rsidRPr="006237B3">
          <w:rPr>
            <w:rStyle w:val="Hyperlink"/>
            <w:rFonts w:cs="Arial"/>
            <w:sz w:val="20"/>
            <w:lang w:val="en-GB"/>
          </w:rPr>
          <w:t>https://www.economy-ni.gov.uk/articles/petroleum-licensing</w:t>
        </w:r>
      </w:hyperlink>
      <w:r w:rsidRPr="006237B3">
        <w:rPr>
          <w:rFonts w:cs="Arial"/>
          <w:sz w:val="20"/>
          <w:lang w:val="en-GB"/>
        </w:rPr>
        <w:t>.</w:t>
      </w:r>
    </w:p>
  </w:footnote>
  <w:footnote w:id="40">
    <w:p w14:paraId="174E3562" w14:textId="77777777" w:rsidR="00A7624C" w:rsidRDefault="00B57BFC" w:rsidP="00A7624C">
      <w:pPr>
        <w:pStyle w:val="FootnoteText"/>
        <w:rPr>
          <w:lang w:val="en-GB"/>
        </w:rPr>
      </w:pPr>
      <w:r>
        <w:rPr>
          <w:rStyle w:val="FootnoteReference"/>
        </w:rPr>
        <w:footnoteRef/>
      </w:r>
      <w:r>
        <w:t xml:space="preserve"> </w:t>
      </w:r>
      <w:r w:rsidR="00A7624C">
        <w:rPr>
          <w:rStyle w:val="FootnoteReference"/>
        </w:rPr>
        <w:footnoteRef/>
      </w:r>
      <w:r w:rsidR="00A7624C">
        <w:t xml:space="preserve"> </w:t>
      </w:r>
      <w:r w:rsidR="00A7624C">
        <w:rPr>
          <w:lang w:val="en-GB"/>
        </w:rPr>
        <w:t xml:space="preserve">Further information on these capital allowances can be found here </w:t>
      </w:r>
      <w:hyperlink r:id="rId41" w:history="1">
        <w:r w:rsidR="00A7624C">
          <w:rPr>
            <w:rStyle w:val="Hyperlink"/>
            <w:lang w:val="en-GB"/>
          </w:rPr>
          <w:t>https://www.gov.uk/hmrc-internal-manuals/oil-taxation-manual/ot25999</w:t>
        </w:r>
      </w:hyperlink>
      <w:r w:rsidR="00A7624C">
        <w:rPr>
          <w:lang w:val="en-GB"/>
        </w:rPr>
        <w:t xml:space="preserve"> and </w:t>
      </w:r>
      <w:hyperlink r:id="rId42" w:history="1">
        <w:r w:rsidR="00A7624C">
          <w:rPr>
            <w:rStyle w:val="Hyperlink"/>
            <w:lang w:val="en-GB"/>
          </w:rPr>
          <w:t>https://www.gov.uk/hmrc-internal-manuals/oil-taxation-manual/ot21240</w:t>
        </w:r>
      </w:hyperlink>
    </w:p>
    <w:p w14:paraId="2F7DA2C6" w14:textId="2EBEBB17" w:rsidR="00B57BFC" w:rsidRPr="007362D5" w:rsidRDefault="00B57BFC">
      <w:pPr>
        <w:pStyle w:val="FootnoteText"/>
        <w:rPr>
          <w:lang w:val="en-GB"/>
        </w:rPr>
      </w:pPr>
    </w:p>
  </w:footnote>
  <w:footnote w:id="41">
    <w:p w14:paraId="5B7FE3E4" w14:textId="73901E87" w:rsidR="0033667D" w:rsidRDefault="0033667D">
      <w:pPr>
        <w:pStyle w:val="FootnoteText"/>
        <w:rPr>
          <w:lang w:val="en-GB"/>
        </w:rPr>
      </w:pPr>
      <w:r>
        <w:rPr>
          <w:rStyle w:val="FootnoteReference"/>
        </w:rPr>
        <w:footnoteRef/>
      </w:r>
      <w:r>
        <w:t xml:space="preserve"> </w:t>
      </w:r>
      <w:r w:rsidR="003C5101">
        <w:rPr>
          <w:lang w:val="en-GB"/>
        </w:rPr>
        <w:t xml:space="preserve">For more information on the SC restriction please see </w:t>
      </w:r>
      <w:hyperlink r:id="rId43" w:history="1">
        <w:r w:rsidR="000E0A81" w:rsidRPr="003A2E38">
          <w:rPr>
            <w:rStyle w:val="Hyperlink"/>
            <w:lang w:val="en-GB"/>
          </w:rPr>
          <w:t>https://www.gov.uk/hmrc-internal-manuals/oil-taxation-manual/ot21228</w:t>
        </w:r>
      </w:hyperlink>
    </w:p>
    <w:p w14:paraId="0C8BE82E" w14:textId="77777777" w:rsidR="000E0A81" w:rsidRPr="000B3A25" w:rsidRDefault="000E0A81">
      <w:pPr>
        <w:pStyle w:val="FootnoteText"/>
        <w:rPr>
          <w:lang w:val="en-GB"/>
        </w:rPr>
      </w:pPr>
    </w:p>
  </w:footnote>
  <w:footnote w:id="42">
    <w:p w14:paraId="07A1EF39" w14:textId="1F89F3AA" w:rsidR="00364D75" w:rsidRDefault="00364D75" w:rsidP="009E7686">
      <w:pPr>
        <w:pStyle w:val="FootnoteText"/>
        <w:keepLines/>
        <w:spacing w:before="120" w:line="276" w:lineRule="auto"/>
        <w:rPr>
          <w:rFonts w:cs="Arial"/>
          <w:sz w:val="20"/>
          <w:lang w:val="en-GB"/>
        </w:rPr>
      </w:pPr>
      <w:r w:rsidRPr="006237B3">
        <w:rPr>
          <w:rStyle w:val="FootnoteReference"/>
          <w:rFonts w:cs="Arial"/>
          <w:sz w:val="20"/>
        </w:rPr>
        <w:footnoteRef/>
      </w:r>
      <w:r w:rsidRPr="006237B3">
        <w:rPr>
          <w:rFonts w:cs="Arial"/>
          <w:sz w:val="20"/>
        </w:rPr>
        <w:t xml:space="preserve"> </w:t>
      </w:r>
      <w:r>
        <w:rPr>
          <w:rFonts w:cs="Arial"/>
          <w:sz w:val="20"/>
          <w:lang w:val="en-GB"/>
        </w:rPr>
        <w:t xml:space="preserve">See </w:t>
      </w:r>
      <w:hyperlink r:id="rId44" w:history="1">
        <w:r w:rsidRPr="009E7686">
          <w:rPr>
            <w:rStyle w:val="Hyperlink"/>
            <w:rFonts w:cs="Arial"/>
            <w:sz w:val="20"/>
            <w:lang w:val="en-GB"/>
          </w:rPr>
          <w:t xml:space="preserve">Statistics of government revenues from UK oil and gas production </w:t>
        </w:r>
        <w:r w:rsidR="00D23448">
          <w:rPr>
            <w:rStyle w:val="Hyperlink"/>
            <w:rFonts w:cs="Arial"/>
            <w:sz w:val="20"/>
            <w:lang w:val="en-GB"/>
          </w:rPr>
          <w:t>July</w:t>
        </w:r>
      </w:hyperlink>
      <w:r w:rsidR="00D23448">
        <w:rPr>
          <w:rStyle w:val="Hyperlink"/>
          <w:rFonts w:cs="Arial"/>
          <w:sz w:val="20"/>
          <w:lang w:val="en-GB"/>
        </w:rPr>
        <w:t xml:space="preserve"> 2019</w:t>
      </w:r>
      <w:r>
        <w:rPr>
          <w:rFonts w:cs="Arial"/>
          <w:sz w:val="20"/>
          <w:lang w:val="en-GB"/>
        </w:rPr>
        <w:t xml:space="preserve"> (page </w:t>
      </w:r>
      <w:r w:rsidR="00B031FA">
        <w:rPr>
          <w:rFonts w:cs="Arial"/>
          <w:sz w:val="20"/>
          <w:lang w:val="en-GB"/>
        </w:rPr>
        <w:t>18</w:t>
      </w:r>
      <w:r>
        <w:rPr>
          <w:rFonts w:cs="Arial"/>
          <w:sz w:val="20"/>
          <w:lang w:val="en-GB"/>
        </w:rPr>
        <w:t xml:space="preserve">) at </w:t>
      </w:r>
      <w:r w:rsidRPr="001677B2">
        <w:rPr>
          <w:rFonts w:cs="Arial"/>
          <w:sz w:val="20"/>
        </w:rPr>
        <w:t>https://www.gov.uk/government/statistics/government-revenues-from-uk-oil-and-gas-production--2</w:t>
      </w:r>
    </w:p>
    <w:p w14:paraId="366DD338" w14:textId="77777777" w:rsidR="00364D75" w:rsidRPr="006237B3" w:rsidRDefault="00364D75" w:rsidP="00FE1750">
      <w:pPr>
        <w:pStyle w:val="FootnoteText"/>
        <w:keepLines/>
        <w:spacing w:before="120" w:line="276" w:lineRule="auto"/>
        <w:rPr>
          <w:rFonts w:cs="Arial"/>
          <w:sz w:val="20"/>
          <w:lang w:val="en-GB"/>
        </w:rPr>
      </w:pPr>
    </w:p>
  </w:footnote>
  <w:footnote w:id="43">
    <w:p w14:paraId="4A64C759" w14:textId="3C824445" w:rsidR="00364D75" w:rsidRDefault="00364D75" w:rsidP="00FE1750">
      <w:pPr>
        <w:pStyle w:val="FootnoteText"/>
        <w:keepLines/>
        <w:spacing w:before="120" w:line="276" w:lineRule="auto"/>
        <w:rPr>
          <w:rStyle w:val="Hyperlink"/>
          <w:rFonts w:cs="Arial"/>
          <w:sz w:val="20"/>
          <w:lang w:val="en-GB"/>
        </w:rPr>
      </w:pPr>
      <w:r w:rsidRPr="006237B3">
        <w:rPr>
          <w:rStyle w:val="FootnoteReference"/>
          <w:rFonts w:cs="Arial"/>
          <w:sz w:val="20"/>
        </w:rPr>
        <w:footnoteRef/>
      </w:r>
      <w:r w:rsidRPr="006237B3">
        <w:rPr>
          <w:rFonts w:cs="Arial"/>
          <w:sz w:val="20"/>
        </w:rPr>
        <w:t xml:space="preserve"> </w:t>
      </w:r>
      <w:hyperlink r:id="rId45" w:history="1">
        <w:r w:rsidR="00EA1E8B" w:rsidRPr="00CD6DC9">
          <w:rPr>
            <w:rStyle w:val="Hyperlink"/>
            <w:rFonts w:cs="Arial"/>
            <w:sz w:val="20"/>
            <w:lang w:val="en-GB"/>
          </w:rPr>
          <w:t>https://www.parliament.uk/business/publications/written-questions-answers-statements/written-statement/Commons/2019-03-21/HCWS1435/</w:t>
        </w:r>
      </w:hyperlink>
    </w:p>
    <w:p w14:paraId="37BBA607" w14:textId="77777777" w:rsidR="00EA1E8B" w:rsidRPr="006237B3" w:rsidRDefault="00EA1E8B" w:rsidP="00FE1750">
      <w:pPr>
        <w:pStyle w:val="FootnoteText"/>
        <w:keepLines/>
        <w:spacing w:before="120" w:line="276" w:lineRule="auto"/>
        <w:rPr>
          <w:rFonts w:cs="Arial"/>
          <w:sz w:val="20"/>
          <w:lang w:val="en-GB"/>
        </w:rPr>
      </w:pPr>
    </w:p>
  </w:footnote>
  <w:footnote w:id="44">
    <w:p w14:paraId="16776DB9" w14:textId="77777777" w:rsidR="00364D75" w:rsidRPr="004E7263" w:rsidRDefault="00364D75" w:rsidP="00FE1750">
      <w:pPr>
        <w:pStyle w:val="FootnoteText"/>
        <w:keepLines/>
        <w:spacing w:before="120" w:line="276" w:lineRule="auto"/>
        <w:rPr>
          <w:rFonts w:cs="Arial"/>
          <w:color w:val="1F497D" w:themeColor="text2"/>
          <w:sz w:val="20"/>
          <w:lang w:val="fr-FR"/>
        </w:rPr>
      </w:pPr>
      <w:r w:rsidRPr="004E7263">
        <w:rPr>
          <w:rStyle w:val="FootnoteReference"/>
          <w:rFonts w:cs="Arial"/>
          <w:sz w:val="20"/>
        </w:rPr>
        <w:footnoteRef/>
      </w:r>
      <w:r w:rsidRPr="004E7263">
        <w:rPr>
          <w:rFonts w:cs="Arial"/>
          <w:sz w:val="20"/>
          <w:lang w:val="en-GB"/>
        </w:rPr>
        <w:t xml:space="preserve"> </w:t>
      </w:r>
      <w:hyperlink r:id="rId46" w:history="1">
        <w:r w:rsidRPr="004E7263">
          <w:rPr>
            <w:rStyle w:val="Hyperlink"/>
            <w:rFonts w:cs="Arial"/>
            <w:sz w:val="20"/>
            <w:lang w:val="en-GB"/>
          </w:rPr>
          <w:t>https://www.ogauthority.co.uk/regulatory-framework/legislative-context/industry-levy/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F278" w14:textId="77777777" w:rsidR="00F7025B" w:rsidRDefault="00F70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A394" w14:textId="44FF678A" w:rsidR="00364D75" w:rsidRPr="00E0694A" w:rsidRDefault="00364D75" w:rsidP="00E0694A">
    <w:pPr>
      <w:pBdr>
        <w:bottom w:val="single" w:sz="4" w:space="1" w:color="0070C0"/>
      </w:pBdr>
      <w:jc w:val="right"/>
      <w:rPr>
        <w:bCs/>
        <w:i/>
        <w:iCs/>
        <w:color w:val="0070C0"/>
        <w:sz w:val="16"/>
      </w:rPr>
    </w:pPr>
    <w:r>
      <w:rPr>
        <w:bCs/>
        <w:i/>
        <w:iCs/>
        <w:color w:val="0070C0"/>
        <w:sz w:val="16"/>
      </w:rPr>
      <w:t xml:space="preserve">UK EITI report for </w:t>
    </w:r>
    <w:r w:rsidR="008058CD">
      <w:rPr>
        <w:bCs/>
        <w:i/>
        <w:iCs/>
        <w:color w:val="0070C0"/>
        <w:sz w:val="16"/>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ACA" w14:textId="1533FA3E" w:rsidR="00364D75" w:rsidRPr="0052688B" w:rsidRDefault="00364D75" w:rsidP="0052688B">
    <w:pPr>
      <w:pBdr>
        <w:bottom w:val="single" w:sz="4" w:space="1" w:color="0070C0"/>
      </w:pBdr>
      <w:jc w:val="right"/>
      <w:rPr>
        <w:bCs/>
        <w:i/>
        <w:iCs/>
        <w:color w:val="0070C0"/>
        <w:sz w:val="16"/>
      </w:rPr>
    </w:pPr>
    <w:r>
      <w:rPr>
        <w:bCs/>
        <w:i/>
        <w:iCs/>
        <w:color w:val="0070C0"/>
        <w:sz w:val="16"/>
      </w:rPr>
      <w:t xml:space="preserve">UK EITI report for </w:t>
    </w:r>
    <w:r w:rsidR="00E756CA">
      <w:rPr>
        <w:bCs/>
        <w:i/>
        <w:iCs/>
        <w:color w:val="0070C0"/>
        <w:sz w:val="16"/>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D1967"/>
    <w:multiLevelType w:val="hybridMultilevel"/>
    <w:tmpl w:val="E94C0F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23B89006"/>
    <w:lvl w:ilvl="0">
      <w:start w:val="1"/>
      <w:numFmt w:val="decimal"/>
      <w:pStyle w:val="ListNumber2"/>
      <w:lvlText w:val="%1."/>
      <w:lvlJc w:val="left"/>
      <w:pPr>
        <w:tabs>
          <w:tab w:val="num" w:pos="643"/>
        </w:tabs>
        <w:ind w:left="643" w:hanging="360"/>
      </w:pPr>
    </w:lvl>
  </w:abstractNum>
  <w:abstractNum w:abstractNumId="2" w15:restartNumberingAfterBreak="0">
    <w:nsid w:val="00416306"/>
    <w:multiLevelType w:val="hybridMultilevel"/>
    <w:tmpl w:val="401CD196"/>
    <w:lvl w:ilvl="0" w:tplc="086A4EFC">
      <w:start w:val="1"/>
      <w:numFmt w:val="lowerRoman"/>
      <w:lvlText w:val="%1."/>
      <w:lvlJc w:val="right"/>
      <w:pPr>
        <w:ind w:left="720" w:hanging="360"/>
      </w:pPr>
      <w:rPr>
        <w:rFonts w:ascii="Arial" w:hAnsi="Arial" w:cs="Arial" w:hint="default"/>
        <w:b/>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851A97"/>
    <w:multiLevelType w:val="multilevel"/>
    <w:tmpl w:val="CA7EE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AB1A28"/>
    <w:multiLevelType w:val="hybridMultilevel"/>
    <w:tmpl w:val="43BA9D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8682163"/>
    <w:multiLevelType w:val="hybridMultilevel"/>
    <w:tmpl w:val="9EDCCAFC"/>
    <w:lvl w:ilvl="0" w:tplc="B7F60DC0">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37E18"/>
    <w:multiLevelType w:val="hybridMultilevel"/>
    <w:tmpl w:val="42844BA2"/>
    <w:lvl w:ilvl="0" w:tplc="0DA60EDC">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C63F04"/>
    <w:multiLevelType w:val="multilevel"/>
    <w:tmpl w:val="28082A52"/>
    <w:lvl w:ilvl="0">
      <w:start w:val="1"/>
      <w:numFmt w:val="upperRoman"/>
      <w:pStyle w:val="MSHouseLevel1"/>
      <w:lvlText w:val="%1."/>
      <w:lvlJc w:val="left"/>
      <w:pPr>
        <w:tabs>
          <w:tab w:val="num" w:pos="851"/>
        </w:tabs>
        <w:ind w:left="851" w:hanging="851"/>
      </w:pPr>
      <w:rPr>
        <w:rFonts w:hint="default"/>
      </w:rPr>
    </w:lvl>
    <w:lvl w:ilvl="1">
      <w:start w:val="1"/>
      <w:numFmt w:val="decimal"/>
      <w:lvlRestart w:val="0"/>
      <w:pStyle w:val="MSHouseLevel2"/>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cs="Times New Roman" w:hint="default"/>
      </w:rPr>
    </w:lvl>
    <w:lvl w:ilvl="6">
      <w:start w:val="1"/>
      <w:numFmt w:val="bullet"/>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A35B8D"/>
    <w:multiLevelType w:val="multilevel"/>
    <w:tmpl w:val="08F64136"/>
    <w:lvl w:ilvl="0">
      <w:start w:val="2"/>
      <w:numFmt w:val="decimal"/>
      <w:lvlText w:val="%1."/>
      <w:lvlJc w:val="left"/>
      <w:pPr>
        <w:ind w:left="720" w:hanging="720"/>
      </w:pPr>
      <w:rPr>
        <w:rFonts w:hint="default"/>
      </w:rPr>
    </w:lvl>
    <w:lvl w:ilvl="1">
      <w:start w:val="1"/>
      <w:numFmt w:val="decimal"/>
      <w:lvlText w:val="5.%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0" w15:restartNumberingAfterBreak="0">
    <w:nsid w:val="140E0094"/>
    <w:multiLevelType w:val="hybridMultilevel"/>
    <w:tmpl w:val="C138F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4D5A3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BF332C"/>
    <w:multiLevelType w:val="multilevel"/>
    <w:tmpl w:val="2A88F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D34FA6"/>
    <w:multiLevelType w:val="multilevel"/>
    <w:tmpl w:val="F7B6C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763840"/>
    <w:multiLevelType w:val="hybridMultilevel"/>
    <w:tmpl w:val="2DEE77E4"/>
    <w:lvl w:ilvl="0" w:tplc="FDBE0ECA">
      <w:start w:val="1"/>
      <w:numFmt w:val="decimal"/>
      <w:lvlText w:val="%1."/>
      <w:lvlJc w:val="left"/>
      <w:pPr>
        <w:ind w:left="644" w:hanging="360"/>
      </w:pPr>
      <w:rPr>
        <w:rFonts w:hint="default"/>
        <w:b w:val="0"/>
        <w:i w:val="0"/>
        <w:iCs w:val="0"/>
        <w:sz w:val="20"/>
        <w:szCs w:val="20"/>
      </w:rPr>
    </w:lvl>
    <w:lvl w:ilvl="1" w:tplc="D7CE82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23DC5A71"/>
    <w:multiLevelType w:val="multilevel"/>
    <w:tmpl w:val="45646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0.%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20" w15:restartNumberingAfterBreak="0">
    <w:nsid w:val="32017A82"/>
    <w:multiLevelType w:val="multilevel"/>
    <w:tmpl w:val="490CE56E"/>
    <w:styleLink w:val="Style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15:restartNumberingAfterBreak="0">
    <w:nsid w:val="34211818"/>
    <w:multiLevelType w:val="hybridMultilevel"/>
    <w:tmpl w:val="1D000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5C2788"/>
    <w:multiLevelType w:val="multilevel"/>
    <w:tmpl w:val="040C001F"/>
    <w:styleLink w:val="IFIAlgeriastyle"/>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15:restartNumberingAfterBreak="0">
    <w:nsid w:val="40B10ADD"/>
    <w:multiLevelType w:val="multilevel"/>
    <w:tmpl w:val="64101E52"/>
    <w:lvl w:ilvl="0">
      <w:start w:val="2"/>
      <w:numFmt w:val="decimal"/>
      <w:lvlText w:val="%1."/>
      <w:lvlJc w:val="left"/>
      <w:pPr>
        <w:ind w:left="720" w:hanging="720"/>
      </w:pPr>
      <w:rPr>
        <w:rFonts w:hint="default"/>
      </w:rPr>
    </w:lvl>
    <w:lvl w:ilvl="1">
      <w:start w:val="1"/>
      <w:numFmt w:val="decimal"/>
      <w:lvlText w:val="4.%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6" w15:restartNumberingAfterBreak="0">
    <w:nsid w:val="40F829C5"/>
    <w:multiLevelType w:val="multilevel"/>
    <w:tmpl w:val="FD1837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DE4D35"/>
    <w:multiLevelType w:val="multilevel"/>
    <w:tmpl w:val="2F1A3F9A"/>
    <w:lvl w:ilvl="0">
      <w:start w:val="2"/>
      <w:numFmt w:val="decimal"/>
      <w:lvlText w:val="%1."/>
      <w:lvlJc w:val="left"/>
      <w:pPr>
        <w:ind w:left="720" w:hanging="720"/>
      </w:pPr>
      <w:rPr>
        <w:rFonts w:hint="default"/>
      </w:rPr>
    </w:lvl>
    <w:lvl w:ilvl="1">
      <w:start w:val="1"/>
      <w:numFmt w:val="decimal"/>
      <w:lvlText w:val="3.%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8" w15:restartNumberingAfterBreak="0">
    <w:nsid w:val="48C20AD8"/>
    <w:multiLevelType w:val="hybridMultilevel"/>
    <w:tmpl w:val="198F3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2134D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2" w15:restartNumberingAfterBreak="0">
    <w:nsid w:val="5A1F0FE6"/>
    <w:multiLevelType w:val="multilevel"/>
    <w:tmpl w:val="4A2AB0B2"/>
    <w:lvl w:ilvl="0">
      <w:start w:val="5"/>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3" w15:restartNumberingAfterBreak="0">
    <w:nsid w:val="5AC5124B"/>
    <w:multiLevelType w:val="hybridMultilevel"/>
    <w:tmpl w:val="D2E654F8"/>
    <w:lvl w:ilvl="0" w:tplc="6E46DF84">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E5D7309"/>
    <w:multiLevelType w:val="multilevel"/>
    <w:tmpl w:val="54B29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304B86"/>
    <w:multiLevelType w:val="hybridMultilevel"/>
    <w:tmpl w:val="35742D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49666B"/>
    <w:multiLevelType w:val="hybridMultilevel"/>
    <w:tmpl w:val="D686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8" w15:restartNumberingAfterBreak="0">
    <w:nsid w:val="6833306A"/>
    <w:multiLevelType w:val="multilevel"/>
    <w:tmpl w:val="1AD60E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615DAF"/>
    <w:multiLevelType w:val="multilevel"/>
    <w:tmpl w:val="34E6B93C"/>
    <w:name w:val="ChapNum"/>
    <w:lvl w:ilvl="0">
      <w:start w:val="1"/>
      <w:numFmt w:val="decimal"/>
      <w:lvlRestart w:val="0"/>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abstractNumId w:val="41"/>
  </w:num>
  <w:num w:numId="2">
    <w:abstractNumId w:val="40"/>
  </w:num>
  <w:num w:numId="3">
    <w:abstractNumId w:val="17"/>
  </w:num>
  <w:num w:numId="4">
    <w:abstractNumId w:val="1"/>
  </w:num>
  <w:num w:numId="5">
    <w:abstractNumId w:val="37"/>
  </w:num>
  <w:num w:numId="6">
    <w:abstractNumId w:val="31"/>
  </w:num>
  <w:num w:numId="7">
    <w:abstractNumId w:val="24"/>
  </w:num>
  <w:num w:numId="8">
    <w:abstractNumId w:val="18"/>
  </w:num>
  <w:num w:numId="9">
    <w:abstractNumId w:val="8"/>
  </w:num>
  <w:num w:numId="10">
    <w:abstractNumId w:val="21"/>
  </w:num>
  <w:num w:numId="11">
    <w:abstractNumId w:val="15"/>
  </w:num>
  <w:num w:numId="12">
    <w:abstractNumId w:val="19"/>
  </w:num>
  <w:num w:numId="13">
    <w:abstractNumId w:val="6"/>
    <w:lvlOverride w:ilvl="0">
      <w:lvl w:ilvl="0">
        <w:start w:val="1"/>
        <w:numFmt w:val="decimal"/>
        <w:lvlText w:val="%1."/>
        <w:lvlJc w:val="left"/>
        <w:pPr>
          <w:ind w:left="360" w:hanging="360"/>
        </w:pPr>
        <w:rPr>
          <w:rFonts w:ascii="Arial" w:hAnsi="Arial"/>
          <w:color w:val="FFFFFF" w:themeColor="background1"/>
          <w:sz w:val="24"/>
        </w:rPr>
      </w:lvl>
    </w:lvlOverride>
  </w:num>
  <w:num w:numId="14">
    <w:abstractNumId w:val="23"/>
  </w:num>
  <w:num w:numId="15">
    <w:abstractNumId w:val="6"/>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13"/>
  </w:num>
  <w:num w:numId="17">
    <w:abstractNumId w:val="20"/>
  </w:num>
  <w:num w:numId="18">
    <w:abstractNumId w:val="11"/>
  </w:num>
  <w:num w:numId="19">
    <w:abstractNumId w:val="12"/>
  </w:num>
  <w:num w:numId="20">
    <w:abstractNumId w:val="34"/>
  </w:num>
  <w:num w:numId="21">
    <w:abstractNumId w:val="29"/>
  </w:num>
  <w:num w:numId="22">
    <w:abstractNumId w:val="39"/>
  </w:num>
  <w:num w:numId="23">
    <w:abstractNumId w:val="14"/>
  </w:num>
  <w:num w:numId="24">
    <w:abstractNumId w:val="35"/>
  </w:num>
  <w:num w:numId="25">
    <w:abstractNumId w:val="7"/>
  </w:num>
  <w:num w:numId="26">
    <w:abstractNumId w:val="5"/>
  </w:num>
  <w:num w:numId="27">
    <w:abstractNumId w:val="3"/>
  </w:num>
  <w:num w:numId="28">
    <w:abstractNumId w:val="4"/>
  </w:num>
  <w:num w:numId="29">
    <w:abstractNumId w:val="32"/>
  </w:num>
  <w:num w:numId="30">
    <w:abstractNumId w:val="2"/>
  </w:num>
  <w:num w:numId="31">
    <w:abstractNumId w:val="28"/>
  </w:num>
  <w:num w:numId="32">
    <w:abstractNumId w:val="0"/>
  </w:num>
  <w:num w:numId="33">
    <w:abstractNumId w:val="33"/>
  </w:num>
  <w:num w:numId="34">
    <w:abstractNumId w:val="22"/>
  </w:num>
  <w:num w:numId="35">
    <w:abstractNumId w:val="30"/>
  </w:num>
  <w:num w:numId="36">
    <w:abstractNumId w:val="36"/>
  </w:num>
  <w:num w:numId="37">
    <w:abstractNumId w:val="27"/>
  </w:num>
  <w:num w:numId="38">
    <w:abstractNumId w:val="27"/>
    <w:lvlOverride w:ilvl="0">
      <w:lvl w:ilvl="0">
        <w:start w:val="2"/>
        <w:numFmt w:val="decimal"/>
        <w:lvlText w:val="%1."/>
        <w:lvlJc w:val="left"/>
        <w:pPr>
          <w:ind w:left="720" w:hanging="720"/>
        </w:pPr>
        <w:rPr>
          <w:rFonts w:hint="default"/>
        </w:rPr>
      </w:lvl>
    </w:lvlOverride>
    <w:lvlOverride w:ilvl="1">
      <w:lvl w:ilvl="1">
        <w:start w:val="1"/>
        <w:numFmt w:val="decimal"/>
        <w:lvlText w:val="4.%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39">
    <w:abstractNumId w:val="25"/>
  </w:num>
  <w:num w:numId="40">
    <w:abstractNumId w:val="27"/>
    <w:lvlOverride w:ilvl="0">
      <w:lvl w:ilvl="0">
        <w:start w:val="2"/>
        <w:numFmt w:val="decimal"/>
        <w:lvlText w:val="%1."/>
        <w:lvlJc w:val="left"/>
        <w:pPr>
          <w:ind w:left="720" w:hanging="720"/>
        </w:pPr>
        <w:rPr>
          <w:rFonts w:hint="default"/>
        </w:rPr>
      </w:lvl>
    </w:lvlOverride>
    <w:lvlOverride w:ilvl="1">
      <w:lvl w:ilvl="1">
        <w:start w:val="1"/>
        <w:numFmt w:val="decimal"/>
        <w:lvlText w:val="5.%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41">
    <w:abstractNumId w:val="9"/>
  </w:num>
  <w:num w:numId="42">
    <w:abstractNumId w:val="10"/>
  </w:num>
  <w:num w:numId="43">
    <w:abstractNumId w:val="26"/>
  </w:num>
  <w:num w:numId="44">
    <w:abstractNumId w:val="38"/>
  </w:num>
  <w:num w:numId="45">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9.%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6"/>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3C"/>
    <w:rsid w:val="000002E1"/>
    <w:rsid w:val="0000046B"/>
    <w:rsid w:val="0000071F"/>
    <w:rsid w:val="0000091B"/>
    <w:rsid w:val="00000D95"/>
    <w:rsid w:val="000017FC"/>
    <w:rsid w:val="00001832"/>
    <w:rsid w:val="00001A7A"/>
    <w:rsid w:val="00002958"/>
    <w:rsid w:val="00004C38"/>
    <w:rsid w:val="000058F6"/>
    <w:rsid w:val="00006060"/>
    <w:rsid w:val="00006174"/>
    <w:rsid w:val="000063B8"/>
    <w:rsid w:val="00006E8D"/>
    <w:rsid w:val="00006EBE"/>
    <w:rsid w:val="000070E4"/>
    <w:rsid w:val="0000711F"/>
    <w:rsid w:val="00007A07"/>
    <w:rsid w:val="00007F77"/>
    <w:rsid w:val="00010331"/>
    <w:rsid w:val="00010816"/>
    <w:rsid w:val="000119A8"/>
    <w:rsid w:val="00011E34"/>
    <w:rsid w:val="00012469"/>
    <w:rsid w:val="00013A1F"/>
    <w:rsid w:val="00013E74"/>
    <w:rsid w:val="00013FBF"/>
    <w:rsid w:val="000142C3"/>
    <w:rsid w:val="000149C1"/>
    <w:rsid w:val="00015FBB"/>
    <w:rsid w:val="000165BA"/>
    <w:rsid w:val="000169D4"/>
    <w:rsid w:val="000204AE"/>
    <w:rsid w:val="000207A8"/>
    <w:rsid w:val="0002236D"/>
    <w:rsid w:val="00022A29"/>
    <w:rsid w:val="00023039"/>
    <w:rsid w:val="00023D3A"/>
    <w:rsid w:val="00023EC4"/>
    <w:rsid w:val="000244AC"/>
    <w:rsid w:val="00024A1B"/>
    <w:rsid w:val="00024B57"/>
    <w:rsid w:val="0002544E"/>
    <w:rsid w:val="00025A01"/>
    <w:rsid w:val="000269D7"/>
    <w:rsid w:val="00026ABA"/>
    <w:rsid w:val="00026F67"/>
    <w:rsid w:val="00027422"/>
    <w:rsid w:val="000301D5"/>
    <w:rsid w:val="00030218"/>
    <w:rsid w:val="00030475"/>
    <w:rsid w:val="00030481"/>
    <w:rsid w:val="000309C3"/>
    <w:rsid w:val="00030C81"/>
    <w:rsid w:val="000311C3"/>
    <w:rsid w:val="000322ED"/>
    <w:rsid w:val="00033253"/>
    <w:rsid w:val="000337CA"/>
    <w:rsid w:val="00034024"/>
    <w:rsid w:val="000346F7"/>
    <w:rsid w:val="00034A5B"/>
    <w:rsid w:val="00034F68"/>
    <w:rsid w:val="0003579F"/>
    <w:rsid w:val="00035B15"/>
    <w:rsid w:val="0003601D"/>
    <w:rsid w:val="000368BC"/>
    <w:rsid w:val="0004022A"/>
    <w:rsid w:val="0004024F"/>
    <w:rsid w:val="000416CF"/>
    <w:rsid w:val="00041A96"/>
    <w:rsid w:val="00041E0D"/>
    <w:rsid w:val="000424EB"/>
    <w:rsid w:val="000425AB"/>
    <w:rsid w:val="00042E6F"/>
    <w:rsid w:val="00043D9F"/>
    <w:rsid w:val="000443F7"/>
    <w:rsid w:val="00045097"/>
    <w:rsid w:val="000450A1"/>
    <w:rsid w:val="00045A08"/>
    <w:rsid w:val="00045B1F"/>
    <w:rsid w:val="00045C1A"/>
    <w:rsid w:val="000464A6"/>
    <w:rsid w:val="00047EFB"/>
    <w:rsid w:val="000500F1"/>
    <w:rsid w:val="00050222"/>
    <w:rsid w:val="0005067B"/>
    <w:rsid w:val="00050AE9"/>
    <w:rsid w:val="00050E1D"/>
    <w:rsid w:val="000510C9"/>
    <w:rsid w:val="00051385"/>
    <w:rsid w:val="000513A5"/>
    <w:rsid w:val="00052CAC"/>
    <w:rsid w:val="00052D78"/>
    <w:rsid w:val="000534F7"/>
    <w:rsid w:val="00053546"/>
    <w:rsid w:val="0005487C"/>
    <w:rsid w:val="00056191"/>
    <w:rsid w:val="000561C2"/>
    <w:rsid w:val="00056269"/>
    <w:rsid w:val="000562A7"/>
    <w:rsid w:val="000565B8"/>
    <w:rsid w:val="00056ADC"/>
    <w:rsid w:val="00056B7D"/>
    <w:rsid w:val="00056E43"/>
    <w:rsid w:val="00057099"/>
    <w:rsid w:val="00057D66"/>
    <w:rsid w:val="00060774"/>
    <w:rsid w:val="0006120B"/>
    <w:rsid w:val="00062319"/>
    <w:rsid w:val="00062669"/>
    <w:rsid w:val="00062F83"/>
    <w:rsid w:val="00063457"/>
    <w:rsid w:val="000634EB"/>
    <w:rsid w:val="00063E95"/>
    <w:rsid w:val="00063F0C"/>
    <w:rsid w:val="00064B4B"/>
    <w:rsid w:val="00065FEE"/>
    <w:rsid w:val="00067199"/>
    <w:rsid w:val="000678C1"/>
    <w:rsid w:val="00067E8D"/>
    <w:rsid w:val="00070104"/>
    <w:rsid w:val="000703D5"/>
    <w:rsid w:val="00070411"/>
    <w:rsid w:val="0007055E"/>
    <w:rsid w:val="00070917"/>
    <w:rsid w:val="000710FE"/>
    <w:rsid w:val="00071202"/>
    <w:rsid w:val="000714CC"/>
    <w:rsid w:val="00071601"/>
    <w:rsid w:val="00071AC1"/>
    <w:rsid w:val="0007212F"/>
    <w:rsid w:val="000724FD"/>
    <w:rsid w:val="000727C9"/>
    <w:rsid w:val="00072CB3"/>
    <w:rsid w:val="00073E57"/>
    <w:rsid w:val="00073FDF"/>
    <w:rsid w:val="00074500"/>
    <w:rsid w:val="00074D7D"/>
    <w:rsid w:val="00074F1A"/>
    <w:rsid w:val="00075832"/>
    <w:rsid w:val="00076027"/>
    <w:rsid w:val="00076568"/>
    <w:rsid w:val="00076750"/>
    <w:rsid w:val="00076C80"/>
    <w:rsid w:val="00076FD5"/>
    <w:rsid w:val="00077967"/>
    <w:rsid w:val="00080945"/>
    <w:rsid w:val="00080A0E"/>
    <w:rsid w:val="00081138"/>
    <w:rsid w:val="000825DA"/>
    <w:rsid w:val="00083270"/>
    <w:rsid w:val="00083512"/>
    <w:rsid w:val="000836E8"/>
    <w:rsid w:val="00084E73"/>
    <w:rsid w:val="00085469"/>
    <w:rsid w:val="00085767"/>
    <w:rsid w:val="00085A4B"/>
    <w:rsid w:val="00085C8A"/>
    <w:rsid w:val="000863DD"/>
    <w:rsid w:val="00086F94"/>
    <w:rsid w:val="00087590"/>
    <w:rsid w:val="00087EF2"/>
    <w:rsid w:val="0009077C"/>
    <w:rsid w:val="00090A95"/>
    <w:rsid w:val="000910C5"/>
    <w:rsid w:val="00092F3C"/>
    <w:rsid w:val="000932E4"/>
    <w:rsid w:val="00093861"/>
    <w:rsid w:val="00093A86"/>
    <w:rsid w:val="00093C8C"/>
    <w:rsid w:val="00094896"/>
    <w:rsid w:val="00094ACB"/>
    <w:rsid w:val="00095C97"/>
    <w:rsid w:val="00097E38"/>
    <w:rsid w:val="000A021F"/>
    <w:rsid w:val="000A094F"/>
    <w:rsid w:val="000A0E8D"/>
    <w:rsid w:val="000A118E"/>
    <w:rsid w:val="000A13ED"/>
    <w:rsid w:val="000A22AB"/>
    <w:rsid w:val="000A2950"/>
    <w:rsid w:val="000A2C7A"/>
    <w:rsid w:val="000A4E1E"/>
    <w:rsid w:val="000A5D49"/>
    <w:rsid w:val="000A6F86"/>
    <w:rsid w:val="000A6F8F"/>
    <w:rsid w:val="000B045B"/>
    <w:rsid w:val="000B1576"/>
    <w:rsid w:val="000B236F"/>
    <w:rsid w:val="000B282D"/>
    <w:rsid w:val="000B286B"/>
    <w:rsid w:val="000B3317"/>
    <w:rsid w:val="000B333E"/>
    <w:rsid w:val="000B3448"/>
    <w:rsid w:val="000B3A25"/>
    <w:rsid w:val="000B4978"/>
    <w:rsid w:val="000B4CDB"/>
    <w:rsid w:val="000B4E79"/>
    <w:rsid w:val="000B54B9"/>
    <w:rsid w:val="000B5516"/>
    <w:rsid w:val="000B565F"/>
    <w:rsid w:val="000B5DB0"/>
    <w:rsid w:val="000B6D63"/>
    <w:rsid w:val="000B7100"/>
    <w:rsid w:val="000B72C9"/>
    <w:rsid w:val="000B79B0"/>
    <w:rsid w:val="000C0F01"/>
    <w:rsid w:val="000C12CE"/>
    <w:rsid w:val="000C14A3"/>
    <w:rsid w:val="000C1E84"/>
    <w:rsid w:val="000C30A9"/>
    <w:rsid w:val="000C32AA"/>
    <w:rsid w:val="000C3A40"/>
    <w:rsid w:val="000C3BE0"/>
    <w:rsid w:val="000C4572"/>
    <w:rsid w:val="000C4D98"/>
    <w:rsid w:val="000C5D2A"/>
    <w:rsid w:val="000C6632"/>
    <w:rsid w:val="000C68DD"/>
    <w:rsid w:val="000C706B"/>
    <w:rsid w:val="000C7076"/>
    <w:rsid w:val="000C740D"/>
    <w:rsid w:val="000C7DC2"/>
    <w:rsid w:val="000D03BC"/>
    <w:rsid w:val="000D09A5"/>
    <w:rsid w:val="000D1252"/>
    <w:rsid w:val="000D1B33"/>
    <w:rsid w:val="000D1BF3"/>
    <w:rsid w:val="000D26CF"/>
    <w:rsid w:val="000D270D"/>
    <w:rsid w:val="000D316E"/>
    <w:rsid w:val="000D37B4"/>
    <w:rsid w:val="000D38DA"/>
    <w:rsid w:val="000D3D5D"/>
    <w:rsid w:val="000D7424"/>
    <w:rsid w:val="000D7C60"/>
    <w:rsid w:val="000D7D9E"/>
    <w:rsid w:val="000E0A81"/>
    <w:rsid w:val="000E1489"/>
    <w:rsid w:val="000E1B9D"/>
    <w:rsid w:val="000E1D4C"/>
    <w:rsid w:val="000E1E8D"/>
    <w:rsid w:val="000E284F"/>
    <w:rsid w:val="000E3609"/>
    <w:rsid w:val="000E3E03"/>
    <w:rsid w:val="000E4273"/>
    <w:rsid w:val="000E5C6F"/>
    <w:rsid w:val="000E6437"/>
    <w:rsid w:val="000E6E00"/>
    <w:rsid w:val="000E7763"/>
    <w:rsid w:val="000E7783"/>
    <w:rsid w:val="000F00EA"/>
    <w:rsid w:val="000F1229"/>
    <w:rsid w:val="000F1434"/>
    <w:rsid w:val="000F275A"/>
    <w:rsid w:val="000F3342"/>
    <w:rsid w:val="000F415B"/>
    <w:rsid w:val="000F45A6"/>
    <w:rsid w:val="000F4C73"/>
    <w:rsid w:val="000F5315"/>
    <w:rsid w:val="000F597D"/>
    <w:rsid w:val="000F6511"/>
    <w:rsid w:val="000F71B1"/>
    <w:rsid w:val="000F71E5"/>
    <w:rsid w:val="000F7245"/>
    <w:rsid w:val="00100203"/>
    <w:rsid w:val="00100309"/>
    <w:rsid w:val="00100893"/>
    <w:rsid w:val="001012BF"/>
    <w:rsid w:val="00101B95"/>
    <w:rsid w:val="00101CB5"/>
    <w:rsid w:val="00102461"/>
    <w:rsid w:val="001034AF"/>
    <w:rsid w:val="00104D70"/>
    <w:rsid w:val="00104DEE"/>
    <w:rsid w:val="0010556C"/>
    <w:rsid w:val="00105A7B"/>
    <w:rsid w:val="001060DE"/>
    <w:rsid w:val="0010617D"/>
    <w:rsid w:val="00106493"/>
    <w:rsid w:val="0010712D"/>
    <w:rsid w:val="0010718D"/>
    <w:rsid w:val="00107504"/>
    <w:rsid w:val="00110821"/>
    <w:rsid w:val="00111B8C"/>
    <w:rsid w:val="00111D45"/>
    <w:rsid w:val="00112539"/>
    <w:rsid w:val="00112E04"/>
    <w:rsid w:val="001130B7"/>
    <w:rsid w:val="001134D4"/>
    <w:rsid w:val="00113F68"/>
    <w:rsid w:val="00114BF6"/>
    <w:rsid w:val="0011564A"/>
    <w:rsid w:val="00115E0B"/>
    <w:rsid w:val="0011625F"/>
    <w:rsid w:val="00116907"/>
    <w:rsid w:val="00116D4A"/>
    <w:rsid w:val="00117B8F"/>
    <w:rsid w:val="0012114E"/>
    <w:rsid w:val="0012154B"/>
    <w:rsid w:val="00121B5B"/>
    <w:rsid w:val="00121E30"/>
    <w:rsid w:val="0012284D"/>
    <w:rsid w:val="0012299E"/>
    <w:rsid w:val="00123223"/>
    <w:rsid w:val="001234CF"/>
    <w:rsid w:val="001236C0"/>
    <w:rsid w:val="00124073"/>
    <w:rsid w:val="00124880"/>
    <w:rsid w:val="0012494E"/>
    <w:rsid w:val="001249BF"/>
    <w:rsid w:val="00124A09"/>
    <w:rsid w:val="00125E6B"/>
    <w:rsid w:val="0012607E"/>
    <w:rsid w:val="001264BB"/>
    <w:rsid w:val="00126B9F"/>
    <w:rsid w:val="00127109"/>
    <w:rsid w:val="00127C74"/>
    <w:rsid w:val="00127F8C"/>
    <w:rsid w:val="00130C1D"/>
    <w:rsid w:val="00131C43"/>
    <w:rsid w:val="00132EB8"/>
    <w:rsid w:val="00132F81"/>
    <w:rsid w:val="00133506"/>
    <w:rsid w:val="0013382A"/>
    <w:rsid w:val="00133D25"/>
    <w:rsid w:val="001342E7"/>
    <w:rsid w:val="00134496"/>
    <w:rsid w:val="001347F6"/>
    <w:rsid w:val="00134AB2"/>
    <w:rsid w:val="00135699"/>
    <w:rsid w:val="00135B05"/>
    <w:rsid w:val="00135D9F"/>
    <w:rsid w:val="00135DCC"/>
    <w:rsid w:val="0013676D"/>
    <w:rsid w:val="001369DC"/>
    <w:rsid w:val="00136DE0"/>
    <w:rsid w:val="00136E7C"/>
    <w:rsid w:val="00140161"/>
    <w:rsid w:val="00140723"/>
    <w:rsid w:val="00140EB9"/>
    <w:rsid w:val="00141244"/>
    <w:rsid w:val="001427C2"/>
    <w:rsid w:val="00143182"/>
    <w:rsid w:val="00144032"/>
    <w:rsid w:val="001440EE"/>
    <w:rsid w:val="001442FF"/>
    <w:rsid w:val="00144568"/>
    <w:rsid w:val="0014475D"/>
    <w:rsid w:val="00145028"/>
    <w:rsid w:val="00145833"/>
    <w:rsid w:val="00145901"/>
    <w:rsid w:val="00145B67"/>
    <w:rsid w:val="00146512"/>
    <w:rsid w:val="0014661F"/>
    <w:rsid w:val="001467A5"/>
    <w:rsid w:val="001471AF"/>
    <w:rsid w:val="00147798"/>
    <w:rsid w:val="00147AE3"/>
    <w:rsid w:val="00147C83"/>
    <w:rsid w:val="00147F5E"/>
    <w:rsid w:val="00147FC1"/>
    <w:rsid w:val="00150982"/>
    <w:rsid w:val="00150A9F"/>
    <w:rsid w:val="00150BB2"/>
    <w:rsid w:val="00150C2E"/>
    <w:rsid w:val="00150DF1"/>
    <w:rsid w:val="001520CD"/>
    <w:rsid w:val="00152197"/>
    <w:rsid w:val="0015250B"/>
    <w:rsid w:val="00152567"/>
    <w:rsid w:val="00153031"/>
    <w:rsid w:val="00153064"/>
    <w:rsid w:val="001535A3"/>
    <w:rsid w:val="001540F9"/>
    <w:rsid w:val="00156EC6"/>
    <w:rsid w:val="001572BE"/>
    <w:rsid w:val="00157B9A"/>
    <w:rsid w:val="00160786"/>
    <w:rsid w:val="00160BC8"/>
    <w:rsid w:val="00161509"/>
    <w:rsid w:val="001616F4"/>
    <w:rsid w:val="001626A5"/>
    <w:rsid w:val="001633C0"/>
    <w:rsid w:val="001639EA"/>
    <w:rsid w:val="00163CA9"/>
    <w:rsid w:val="00164200"/>
    <w:rsid w:val="0016540D"/>
    <w:rsid w:val="001677B2"/>
    <w:rsid w:val="00167D6D"/>
    <w:rsid w:val="00170313"/>
    <w:rsid w:val="001703D7"/>
    <w:rsid w:val="001704FA"/>
    <w:rsid w:val="00170D53"/>
    <w:rsid w:val="00170D92"/>
    <w:rsid w:val="00172261"/>
    <w:rsid w:val="00173723"/>
    <w:rsid w:val="001737C7"/>
    <w:rsid w:val="00173EAD"/>
    <w:rsid w:val="00174113"/>
    <w:rsid w:val="0017412C"/>
    <w:rsid w:val="0017464C"/>
    <w:rsid w:val="00174712"/>
    <w:rsid w:val="00174840"/>
    <w:rsid w:val="00174914"/>
    <w:rsid w:val="00175609"/>
    <w:rsid w:val="00175D1E"/>
    <w:rsid w:val="00176462"/>
    <w:rsid w:val="001775F7"/>
    <w:rsid w:val="001806EE"/>
    <w:rsid w:val="0018094E"/>
    <w:rsid w:val="00180E0E"/>
    <w:rsid w:val="0018139C"/>
    <w:rsid w:val="0018188A"/>
    <w:rsid w:val="00181FC7"/>
    <w:rsid w:val="00182147"/>
    <w:rsid w:val="00182B1F"/>
    <w:rsid w:val="00183189"/>
    <w:rsid w:val="00183293"/>
    <w:rsid w:val="001838CC"/>
    <w:rsid w:val="00183B17"/>
    <w:rsid w:val="001842C1"/>
    <w:rsid w:val="0018454E"/>
    <w:rsid w:val="001845BA"/>
    <w:rsid w:val="001847B5"/>
    <w:rsid w:val="001858E6"/>
    <w:rsid w:val="00185C62"/>
    <w:rsid w:val="00185FC9"/>
    <w:rsid w:val="001863E6"/>
    <w:rsid w:val="00187537"/>
    <w:rsid w:val="001875AA"/>
    <w:rsid w:val="00187E2D"/>
    <w:rsid w:val="00187E37"/>
    <w:rsid w:val="00187E58"/>
    <w:rsid w:val="00192DBE"/>
    <w:rsid w:val="00193263"/>
    <w:rsid w:val="001939AD"/>
    <w:rsid w:val="00193D28"/>
    <w:rsid w:val="00193DC6"/>
    <w:rsid w:val="00194049"/>
    <w:rsid w:val="0019465D"/>
    <w:rsid w:val="00194FDB"/>
    <w:rsid w:val="001963FF"/>
    <w:rsid w:val="001965E2"/>
    <w:rsid w:val="001967E5"/>
    <w:rsid w:val="00196835"/>
    <w:rsid w:val="0019687F"/>
    <w:rsid w:val="00196F94"/>
    <w:rsid w:val="00197BA1"/>
    <w:rsid w:val="00197CB6"/>
    <w:rsid w:val="001A0663"/>
    <w:rsid w:val="001A1505"/>
    <w:rsid w:val="001A1CEF"/>
    <w:rsid w:val="001A1CF0"/>
    <w:rsid w:val="001A1D7C"/>
    <w:rsid w:val="001A1FD4"/>
    <w:rsid w:val="001A231D"/>
    <w:rsid w:val="001A2A07"/>
    <w:rsid w:val="001A2C43"/>
    <w:rsid w:val="001A2EFF"/>
    <w:rsid w:val="001A2FE6"/>
    <w:rsid w:val="001A30DB"/>
    <w:rsid w:val="001A3158"/>
    <w:rsid w:val="001A428F"/>
    <w:rsid w:val="001A554C"/>
    <w:rsid w:val="001A5594"/>
    <w:rsid w:val="001A565D"/>
    <w:rsid w:val="001A5E8C"/>
    <w:rsid w:val="001A60D8"/>
    <w:rsid w:val="001A721C"/>
    <w:rsid w:val="001A749E"/>
    <w:rsid w:val="001A7AC9"/>
    <w:rsid w:val="001B046D"/>
    <w:rsid w:val="001B1356"/>
    <w:rsid w:val="001B17DF"/>
    <w:rsid w:val="001B19F5"/>
    <w:rsid w:val="001B1A25"/>
    <w:rsid w:val="001B27F7"/>
    <w:rsid w:val="001B2999"/>
    <w:rsid w:val="001B2EE6"/>
    <w:rsid w:val="001B2FC6"/>
    <w:rsid w:val="001B2FEE"/>
    <w:rsid w:val="001B30B4"/>
    <w:rsid w:val="001B30C3"/>
    <w:rsid w:val="001B3AAE"/>
    <w:rsid w:val="001B46CA"/>
    <w:rsid w:val="001B4AAC"/>
    <w:rsid w:val="001B4FDF"/>
    <w:rsid w:val="001B5255"/>
    <w:rsid w:val="001B5BAA"/>
    <w:rsid w:val="001B6214"/>
    <w:rsid w:val="001B63C6"/>
    <w:rsid w:val="001B67E5"/>
    <w:rsid w:val="001B77C9"/>
    <w:rsid w:val="001C0400"/>
    <w:rsid w:val="001C09A4"/>
    <w:rsid w:val="001C1046"/>
    <w:rsid w:val="001C1200"/>
    <w:rsid w:val="001C1C6A"/>
    <w:rsid w:val="001C2828"/>
    <w:rsid w:val="001C3A6F"/>
    <w:rsid w:val="001C3D72"/>
    <w:rsid w:val="001C49CA"/>
    <w:rsid w:val="001C5DE6"/>
    <w:rsid w:val="001C6121"/>
    <w:rsid w:val="001C628D"/>
    <w:rsid w:val="001C66A8"/>
    <w:rsid w:val="001C73E7"/>
    <w:rsid w:val="001C7C0F"/>
    <w:rsid w:val="001D039E"/>
    <w:rsid w:val="001D0662"/>
    <w:rsid w:val="001D0D7D"/>
    <w:rsid w:val="001D15A2"/>
    <w:rsid w:val="001D171C"/>
    <w:rsid w:val="001D1752"/>
    <w:rsid w:val="001D18B0"/>
    <w:rsid w:val="001D33A7"/>
    <w:rsid w:val="001D406D"/>
    <w:rsid w:val="001D4954"/>
    <w:rsid w:val="001D4B6B"/>
    <w:rsid w:val="001D511E"/>
    <w:rsid w:val="001D58C1"/>
    <w:rsid w:val="001D5FCB"/>
    <w:rsid w:val="001D62A0"/>
    <w:rsid w:val="001D68F5"/>
    <w:rsid w:val="001D77C5"/>
    <w:rsid w:val="001E02B9"/>
    <w:rsid w:val="001E3D3E"/>
    <w:rsid w:val="001E3E3B"/>
    <w:rsid w:val="001E4ADF"/>
    <w:rsid w:val="001E4B9C"/>
    <w:rsid w:val="001E5361"/>
    <w:rsid w:val="001E5F83"/>
    <w:rsid w:val="001E63B9"/>
    <w:rsid w:val="001E6D4B"/>
    <w:rsid w:val="001E7420"/>
    <w:rsid w:val="001E763C"/>
    <w:rsid w:val="001E780F"/>
    <w:rsid w:val="001F088D"/>
    <w:rsid w:val="001F0BBF"/>
    <w:rsid w:val="001F227E"/>
    <w:rsid w:val="001F2427"/>
    <w:rsid w:val="001F2C6B"/>
    <w:rsid w:val="001F35FB"/>
    <w:rsid w:val="001F36E0"/>
    <w:rsid w:val="001F385D"/>
    <w:rsid w:val="001F3930"/>
    <w:rsid w:val="001F3A40"/>
    <w:rsid w:val="001F3DD3"/>
    <w:rsid w:val="001F41B8"/>
    <w:rsid w:val="001F4216"/>
    <w:rsid w:val="001F42D6"/>
    <w:rsid w:val="001F4396"/>
    <w:rsid w:val="001F4618"/>
    <w:rsid w:val="001F563F"/>
    <w:rsid w:val="001F5683"/>
    <w:rsid w:val="001F599C"/>
    <w:rsid w:val="001F626F"/>
    <w:rsid w:val="001F66DA"/>
    <w:rsid w:val="001F70D0"/>
    <w:rsid w:val="001F73D7"/>
    <w:rsid w:val="00201215"/>
    <w:rsid w:val="00201B31"/>
    <w:rsid w:val="00201FAE"/>
    <w:rsid w:val="00202227"/>
    <w:rsid w:val="0020252F"/>
    <w:rsid w:val="002029AB"/>
    <w:rsid w:val="002039F9"/>
    <w:rsid w:val="0020414F"/>
    <w:rsid w:val="002054B5"/>
    <w:rsid w:val="00206C05"/>
    <w:rsid w:val="00206C9B"/>
    <w:rsid w:val="00207041"/>
    <w:rsid w:val="002109DA"/>
    <w:rsid w:val="002116D6"/>
    <w:rsid w:val="00211E52"/>
    <w:rsid w:val="00212081"/>
    <w:rsid w:val="002121A2"/>
    <w:rsid w:val="002126B0"/>
    <w:rsid w:val="00212CCB"/>
    <w:rsid w:val="00212D50"/>
    <w:rsid w:val="00212F27"/>
    <w:rsid w:val="002130E3"/>
    <w:rsid w:val="00213AE8"/>
    <w:rsid w:val="00213D89"/>
    <w:rsid w:val="00214120"/>
    <w:rsid w:val="002154BA"/>
    <w:rsid w:val="002157A2"/>
    <w:rsid w:val="0021608D"/>
    <w:rsid w:val="00216B01"/>
    <w:rsid w:val="00220302"/>
    <w:rsid w:val="00220A49"/>
    <w:rsid w:val="00220CB0"/>
    <w:rsid w:val="00221541"/>
    <w:rsid w:val="00222711"/>
    <w:rsid w:val="00223132"/>
    <w:rsid w:val="0022382B"/>
    <w:rsid w:val="00224B7B"/>
    <w:rsid w:val="0022543F"/>
    <w:rsid w:val="002260E7"/>
    <w:rsid w:val="00226EFB"/>
    <w:rsid w:val="00227CC0"/>
    <w:rsid w:val="00227E3C"/>
    <w:rsid w:val="002315D5"/>
    <w:rsid w:val="00231690"/>
    <w:rsid w:val="00231769"/>
    <w:rsid w:val="00232888"/>
    <w:rsid w:val="00233480"/>
    <w:rsid w:val="00233C92"/>
    <w:rsid w:val="00233DF2"/>
    <w:rsid w:val="002343C1"/>
    <w:rsid w:val="00234BED"/>
    <w:rsid w:val="00235172"/>
    <w:rsid w:val="00235CF2"/>
    <w:rsid w:val="00235E00"/>
    <w:rsid w:val="00236286"/>
    <w:rsid w:val="002362FD"/>
    <w:rsid w:val="00236AC0"/>
    <w:rsid w:val="00236DE6"/>
    <w:rsid w:val="0024022A"/>
    <w:rsid w:val="00240720"/>
    <w:rsid w:val="00241129"/>
    <w:rsid w:val="0024128D"/>
    <w:rsid w:val="002419F8"/>
    <w:rsid w:val="0024225A"/>
    <w:rsid w:val="00243255"/>
    <w:rsid w:val="00243A8C"/>
    <w:rsid w:val="0024509C"/>
    <w:rsid w:val="00245473"/>
    <w:rsid w:val="00245BBB"/>
    <w:rsid w:val="00246098"/>
    <w:rsid w:val="00246BA8"/>
    <w:rsid w:val="00246C49"/>
    <w:rsid w:val="00246FBB"/>
    <w:rsid w:val="002476DC"/>
    <w:rsid w:val="00247886"/>
    <w:rsid w:val="00247BF4"/>
    <w:rsid w:val="00250027"/>
    <w:rsid w:val="00250917"/>
    <w:rsid w:val="00250EEC"/>
    <w:rsid w:val="002519A9"/>
    <w:rsid w:val="00251FDB"/>
    <w:rsid w:val="00251FFD"/>
    <w:rsid w:val="00252607"/>
    <w:rsid w:val="002530CF"/>
    <w:rsid w:val="00253174"/>
    <w:rsid w:val="00254C2D"/>
    <w:rsid w:val="00254F92"/>
    <w:rsid w:val="00255294"/>
    <w:rsid w:val="002558D8"/>
    <w:rsid w:val="00255A2F"/>
    <w:rsid w:val="00256E47"/>
    <w:rsid w:val="002577F9"/>
    <w:rsid w:val="0025794F"/>
    <w:rsid w:val="00257DC8"/>
    <w:rsid w:val="002606E9"/>
    <w:rsid w:val="002609C9"/>
    <w:rsid w:val="002610CD"/>
    <w:rsid w:val="00261123"/>
    <w:rsid w:val="002624E1"/>
    <w:rsid w:val="0026282D"/>
    <w:rsid w:val="00262CF3"/>
    <w:rsid w:val="002630E3"/>
    <w:rsid w:val="002639CD"/>
    <w:rsid w:val="00263E21"/>
    <w:rsid w:val="00263F00"/>
    <w:rsid w:val="002640E6"/>
    <w:rsid w:val="00264B18"/>
    <w:rsid w:val="00264B29"/>
    <w:rsid w:val="00265839"/>
    <w:rsid w:val="00265A25"/>
    <w:rsid w:val="002661D0"/>
    <w:rsid w:val="00266383"/>
    <w:rsid w:val="00267456"/>
    <w:rsid w:val="00267868"/>
    <w:rsid w:val="002679BD"/>
    <w:rsid w:val="00267DD6"/>
    <w:rsid w:val="0027169C"/>
    <w:rsid w:val="00271E37"/>
    <w:rsid w:val="00272109"/>
    <w:rsid w:val="002726B4"/>
    <w:rsid w:val="00272F47"/>
    <w:rsid w:val="00273A04"/>
    <w:rsid w:val="00274F78"/>
    <w:rsid w:val="00275C49"/>
    <w:rsid w:val="00275E01"/>
    <w:rsid w:val="00276379"/>
    <w:rsid w:val="00276479"/>
    <w:rsid w:val="0027664B"/>
    <w:rsid w:val="00277187"/>
    <w:rsid w:val="00277737"/>
    <w:rsid w:val="0028136B"/>
    <w:rsid w:val="002813A4"/>
    <w:rsid w:val="002813F9"/>
    <w:rsid w:val="0028219A"/>
    <w:rsid w:val="002825CE"/>
    <w:rsid w:val="00282666"/>
    <w:rsid w:val="00283503"/>
    <w:rsid w:val="002839C4"/>
    <w:rsid w:val="00285E9C"/>
    <w:rsid w:val="0028618A"/>
    <w:rsid w:val="00286861"/>
    <w:rsid w:val="00286D2E"/>
    <w:rsid w:val="00286FA1"/>
    <w:rsid w:val="00287B65"/>
    <w:rsid w:val="00287DF6"/>
    <w:rsid w:val="0029023A"/>
    <w:rsid w:val="002906E1"/>
    <w:rsid w:val="002914BB"/>
    <w:rsid w:val="00291510"/>
    <w:rsid w:val="002918D9"/>
    <w:rsid w:val="00292149"/>
    <w:rsid w:val="0029293C"/>
    <w:rsid w:val="00292C01"/>
    <w:rsid w:val="00293364"/>
    <w:rsid w:val="0029359A"/>
    <w:rsid w:val="00293AB5"/>
    <w:rsid w:val="00293D47"/>
    <w:rsid w:val="00293D7A"/>
    <w:rsid w:val="0029423A"/>
    <w:rsid w:val="0029589C"/>
    <w:rsid w:val="00295FF9"/>
    <w:rsid w:val="002961FD"/>
    <w:rsid w:val="00296597"/>
    <w:rsid w:val="00296F82"/>
    <w:rsid w:val="00297F94"/>
    <w:rsid w:val="002A0A43"/>
    <w:rsid w:val="002A1323"/>
    <w:rsid w:val="002A15C3"/>
    <w:rsid w:val="002A25A0"/>
    <w:rsid w:val="002A2B6D"/>
    <w:rsid w:val="002A2DD8"/>
    <w:rsid w:val="002A30BB"/>
    <w:rsid w:val="002A3569"/>
    <w:rsid w:val="002A3914"/>
    <w:rsid w:val="002A53D4"/>
    <w:rsid w:val="002A5CB3"/>
    <w:rsid w:val="002A5DAF"/>
    <w:rsid w:val="002A6838"/>
    <w:rsid w:val="002A6DF5"/>
    <w:rsid w:val="002A7F38"/>
    <w:rsid w:val="002B00F8"/>
    <w:rsid w:val="002B05FB"/>
    <w:rsid w:val="002B06AC"/>
    <w:rsid w:val="002B0B36"/>
    <w:rsid w:val="002B121A"/>
    <w:rsid w:val="002B1272"/>
    <w:rsid w:val="002B1FAC"/>
    <w:rsid w:val="002B22C5"/>
    <w:rsid w:val="002B3B2C"/>
    <w:rsid w:val="002B4205"/>
    <w:rsid w:val="002B46D2"/>
    <w:rsid w:val="002B4BAE"/>
    <w:rsid w:val="002B5392"/>
    <w:rsid w:val="002B62AF"/>
    <w:rsid w:val="002B66CA"/>
    <w:rsid w:val="002B71BE"/>
    <w:rsid w:val="002B7C25"/>
    <w:rsid w:val="002C0456"/>
    <w:rsid w:val="002C067B"/>
    <w:rsid w:val="002C0D0A"/>
    <w:rsid w:val="002C1FA5"/>
    <w:rsid w:val="002C2328"/>
    <w:rsid w:val="002C2FEE"/>
    <w:rsid w:val="002C3563"/>
    <w:rsid w:val="002C36E8"/>
    <w:rsid w:val="002C3B8E"/>
    <w:rsid w:val="002C5981"/>
    <w:rsid w:val="002C598C"/>
    <w:rsid w:val="002C5BB5"/>
    <w:rsid w:val="002C627E"/>
    <w:rsid w:val="002C651C"/>
    <w:rsid w:val="002C6FB0"/>
    <w:rsid w:val="002C72F8"/>
    <w:rsid w:val="002D0CD4"/>
    <w:rsid w:val="002D13B9"/>
    <w:rsid w:val="002D171A"/>
    <w:rsid w:val="002D1BF9"/>
    <w:rsid w:val="002D28EA"/>
    <w:rsid w:val="002D2A80"/>
    <w:rsid w:val="002D3AC4"/>
    <w:rsid w:val="002D3B9B"/>
    <w:rsid w:val="002D407C"/>
    <w:rsid w:val="002D4311"/>
    <w:rsid w:val="002D46AA"/>
    <w:rsid w:val="002D4791"/>
    <w:rsid w:val="002D47B9"/>
    <w:rsid w:val="002D61AD"/>
    <w:rsid w:val="002D79FA"/>
    <w:rsid w:val="002D7F63"/>
    <w:rsid w:val="002E0B44"/>
    <w:rsid w:val="002E192B"/>
    <w:rsid w:val="002E21AF"/>
    <w:rsid w:val="002E2316"/>
    <w:rsid w:val="002E2753"/>
    <w:rsid w:val="002E2A09"/>
    <w:rsid w:val="002E35A3"/>
    <w:rsid w:val="002E39B3"/>
    <w:rsid w:val="002E3B20"/>
    <w:rsid w:val="002E50E3"/>
    <w:rsid w:val="002E600E"/>
    <w:rsid w:val="002E6278"/>
    <w:rsid w:val="002E6986"/>
    <w:rsid w:val="002E7005"/>
    <w:rsid w:val="002E7BB4"/>
    <w:rsid w:val="002E7BB9"/>
    <w:rsid w:val="002E7D66"/>
    <w:rsid w:val="002F0144"/>
    <w:rsid w:val="002F018B"/>
    <w:rsid w:val="002F1A41"/>
    <w:rsid w:val="002F2315"/>
    <w:rsid w:val="002F25F8"/>
    <w:rsid w:val="002F2DE7"/>
    <w:rsid w:val="002F3270"/>
    <w:rsid w:val="002F38CE"/>
    <w:rsid w:val="002F3FB7"/>
    <w:rsid w:val="002F4D23"/>
    <w:rsid w:val="002F4F0E"/>
    <w:rsid w:val="002F5D2A"/>
    <w:rsid w:val="002F5D48"/>
    <w:rsid w:val="002F5E22"/>
    <w:rsid w:val="002F5F2D"/>
    <w:rsid w:val="002F5F4B"/>
    <w:rsid w:val="002F78C7"/>
    <w:rsid w:val="002F7AEB"/>
    <w:rsid w:val="003015F6"/>
    <w:rsid w:val="00301D2B"/>
    <w:rsid w:val="0030252A"/>
    <w:rsid w:val="00302A63"/>
    <w:rsid w:val="00302B60"/>
    <w:rsid w:val="003034C7"/>
    <w:rsid w:val="003038EA"/>
    <w:rsid w:val="00303BF2"/>
    <w:rsid w:val="00303D68"/>
    <w:rsid w:val="00303DE9"/>
    <w:rsid w:val="0030415A"/>
    <w:rsid w:val="003049FA"/>
    <w:rsid w:val="00304B6D"/>
    <w:rsid w:val="0030523C"/>
    <w:rsid w:val="00305448"/>
    <w:rsid w:val="00305D1E"/>
    <w:rsid w:val="003060D4"/>
    <w:rsid w:val="0030743E"/>
    <w:rsid w:val="003076AE"/>
    <w:rsid w:val="0031030C"/>
    <w:rsid w:val="003109C4"/>
    <w:rsid w:val="00310A8F"/>
    <w:rsid w:val="00311263"/>
    <w:rsid w:val="00311C2F"/>
    <w:rsid w:val="00312211"/>
    <w:rsid w:val="00312A34"/>
    <w:rsid w:val="00312C5C"/>
    <w:rsid w:val="00312DB4"/>
    <w:rsid w:val="00312F5E"/>
    <w:rsid w:val="00313836"/>
    <w:rsid w:val="00314701"/>
    <w:rsid w:val="003148DB"/>
    <w:rsid w:val="003167F4"/>
    <w:rsid w:val="0031693D"/>
    <w:rsid w:val="003179FA"/>
    <w:rsid w:val="00317C5B"/>
    <w:rsid w:val="0032060B"/>
    <w:rsid w:val="00321148"/>
    <w:rsid w:val="00321D74"/>
    <w:rsid w:val="00321E1D"/>
    <w:rsid w:val="00322234"/>
    <w:rsid w:val="003228B2"/>
    <w:rsid w:val="00323E28"/>
    <w:rsid w:val="00323FD7"/>
    <w:rsid w:val="00325B09"/>
    <w:rsid w:val="00327172"/>
    <w:rsid w:val="00327827"/>
    <w:rsid w:val="0032791A"/>
    <w:rsid w:val="00330C7B"/>
    <w:rsid w:val="003314C7"/>
    <w:rsid w:val="00332265"/>
    <w:rsid w:val="00333237"/>
    <w:rsid w:val="0033383C"/>
    <w:rsid w:val="00334219"/>
    <w:rsid w:val="003343DE"/>
    <w:rsid w:val="00335215"/>
    <w:rsid w:val="00335246"/>
    <w:rsid w:val="0033667D"/>
    <w:rsid w:val="00337A3A"/>
    <w:rsid w:val="00337D05"/>
    <w:rsid w:val="00337F8B"/>
    <w:rsid w:val="00340F57"/>
    <w:rsid w:val="00341109"/>
    <w:rsid w:val="00341EF3"/>
    <w:rsid w:val="00341F85"/>
    <w:rsid w:val="0034240A"/>
    <w:rsid w:val="003439F6"/>
    <w:rsid w:val="00344724"/>
    <w:rsid w:val="00344B2D"/>
    <w:rsid w:val="00344DF8"/>
    <w:rsid w:val="003450FB"/>
    <w:rsid w:val="0034534F"/>
    <w:rsid w:val="003453AF"/>
    <w:rsid w:val="00345C66"/>
    <w:rsid w:val="0034636F"/>
    <w:rsid w:val="00346850"/>
    <w:rsid w:val="00346E59"/>
    <w:rsid w:val="00347508"/>
    <w:rsid w:val="00347FDC"/>
    <w:rsid w:val="00350285"/>
    <w:rsid w:val="0035030D"/>
    <w:rsid w:val="00350E1D"/>
    <w:rsid w:val="00350F0B"/>
    <w:rsid w:val="0035243E"/>
    <w:rsid w:val="003527BE"/>
    <w:rsid w:val="00352D92"/>
    <w:rsid w:val="00353595"/>
    <w:rsid w:val="00353E69"/>
    <w:rsid w:val="00353ED5"/>
    <w:rsid w:val="00354A41"/>
    <w:rsid w:val="00354FDD"/>
    <w:rsid w:val="003557C0"/>
    <w:rsid w:val="0035582C"/>
    <w:rsid w:val="00355AE8"/>
    <w:rsid w:val="00355FA3"/>
    <w:rsid w:val="00356049"/>
    <w:rsid w:val="0035643F"/>
    <w:rsid w:val="0035682A"/>
    <w:rsid w:val="00356FB0"/>
    <w:rsid w:val="00357147"/>
    <w:rsid w:val="00357312"/>
    <w:rsid w:val="00357E47"/>
    <w:rsid w:val="00360403"/>
    <w:rsid w:val="00360BF1"/>
    <w:rsid w:val="00360D81"/>
    <w:rsid w:val="003615D8"/>
    <w:rsid w:val="00361999"/>
    <w:rsid w:val="00363280"/>
    <w:rsid w:val="0036331D"/>
    <w:rsid w:val="003635E5"/>
    <w:rsid w:val="003638C9"/>
    <w:rsid w:val="00364700"/>
    <w:rsid w:val="00364ABD"/>
    <w:rsid w:val="00364D75"/>
    <w:rsid w:val="0036575A"/>
    <w:rsid w:val="003659DE"/>
    <w:rsid w:val="003664B1"/>
    <w:rsid w:val="003665FD"/>
    <w:rsid w:val="00366FEB"/>
    <w:rsid w:val="0036779C"/>
    <w:rsid w:val="00367AF4"/>
    <w:rsid w:val="00371023"/>
    <w:rsid w:val="00371767"/>
    <w:rsid w:val="003722D8"/>
    <w:rsid w:val="00372328"/>
    <w:rsid w:val="003729B0"/>
    <w:rsid w:val="00372F4E"/>
    <w:rsid w:val="003736EC"/>
    <w:rsid w:val="00373884"/>
    <w:rsid w:val="00373A35"/>
    <w:rsid w:val="00374A42"/>
    <w:rsid w:val="00374B90"/>
    <w:rsid w:val="0037545E"/>
    <w:rsid w:val="00375562"/>
    <w:rsid w:val="003755C0"/>
    <w:rsid w:val="00376090"/>
    <w:rsid w:val="0037616A"/>
    <w:rsid w:val="0037669D"/>
    <w:rsid w:val="003776A3"/>
    <w:rsid w:val="00377BD0"/>
    <w:rsid w:val="00377D8B"/>
    <w:rsid w:val="003800AE"/>
    <w:rsid w:val="00380214"/>
    <w:rsid w:val="00380E04"/>
    <w:rsid w:val="00381430"/>
    <w:rsid w:val="00381929"/>
    <w:rsid w:val="0038255F"/>
    <w:rsid w:val="00382776"/>
    <w:rsid w:val="003827D2"/>
    <w:rsid w:val="00383121"/>
    <w:rsid w:val="00383A2E"/>
    <w:rsid w:val="0038469D"/>
    <w:rsid w:val="003848C4"/>
    <w:rsid w:val="00384AD2"/>
    <w:rsid w:val="003853C7"/>
    <w:rsid w:val="00385778"/>
    <w:rsid w:val="00385C79"/>
    <w:rsid w:val="003862F5"/>
    <w:rsid w:val="003866CB"/>
    <w:rsid w:val="00386B15"/>
    <w:rsid w:val="00386BE5"/>
    <w:rsid w:val="00386EC4"/>
    <w:rsid w:val="00390757"/>
    <w:rsid w:val="00390D50"/>
    <w:rsid w:val="0039229F"/>
    <w:rsid w:val="003922A0"/>
    <w:rsid w:val="003926C0"/>
    <w:rsid w:val="003928C7"/>
    <w:rsid w:val="00392964"/>
    <w:rsid w:val="00392B21"/>
    <w:rsid w:val="003930D3"/>
    <w:rsid w:val="003936A3"/>
    <w:rsid w:val="00393DCA"/>
    <w:rsid w:val="00394260"/>
    <w:rsid w:val="003947A2"/>
    <w:rsid w:val="003953D1"/>
    <w:rsid w:val="003957FB"/>
    <w:rsid w:val="00395897"/>
    <w:rsid w:val="00395DFB"/>
    <w:rsid w:val="00395F0A"/>
    <w:rsid w:val="00396581"/>
    <w:rsid w:val="00396F65"/>
    <w:rsid w:val="0039724F"/>
    <w:rsid w:val="003975B7"/>
    <w:rsid w:val="00397661"/>
    <w:rsid w:val="00397D5D"/>
    <w:rsid w:val="00397F3D"/>
    <w:rsid w:val="003A0AC5"/>
    <w:rsid w:val="003A0EFF"/>
    <w:rsid w:val="003A1416"/>
    <w:rsid w:val="003A1C6B"/>
    <w:rsid w:val="003A2B5D"/>
    <w:rsid w:val="003A2CB5"/>
    <w:rsid w:val="003A30C7"/>
    <w:rsid w:val="003A3517"/>
    <w:rsid w:val="003A371B"/>
    <w:rsid w:val="003A3803"/>
    <w:rsid w:val="003A42CD"/>
    <w:rsid w:val="003A4339"/>
    <w:rsid w:val="003A4DC9"/>
    <w:rsid w:val="003A4F15"/>
    <w:rsid w:val="003A55AD"/>
    <w:rsid w:val="003A582A"/>
    <w:rsid w:val="003A5EF8"/>
    <w:rsid w:val="003A64A0"/>
    <w:rsid w:val="003A6C60"/>
    <w:rsid w:val="003A7719"/>
    <w:rsid w:val="003A7B00"/>
    <w:rsid w:val="003A7C53"/>
    <w:rsid w:val="003B0209"/>
    <w:rsid w:val="003B0C52"/>
    <w:rsid w:val="003B0F72"/>
    <w:rsid w:val="003B1C81"/>
    <w:rsid w:val="003B2885"/>
    <w:rsid w:val="003B2C48"/>
    <w:rsid w:val="003B3543"/>
    <w:rsid w:val="003B3D15"/>
    <w:rsid w:val="003B3FBD"/>
    <w:rsid w:val="003B4128"/>
    <w:rsid w:val="003B4AD6"/>
    <w:rsid w:val="003B5819"/>
    <w:rsid w:val="003B634C"/>
    <w:rsid w:val="003B660A"/>
    <w:rsid w:val="003B6684"/>
    <w:rsid w:val="003B7461"/>
    <w:rsid w:val="003B7AE0"/>
    <w:rsid w:val="003C1649"/>
    <w:rsid w:val="003C18B2"/>
    <w:rsid w:val="003C18BB"/>
    <w:rsid w:val="003C247E"/>
    <w:rsid w:val="003C31AA"/>
    <w:rsid w:val="003C33F0"/>
    <w:rsid w:val="003C36B1"/>
    <w:rsid w:val="003C39C0"/>
    <w:rsid w:val="003C3EF0"/>
    <w:rsid w:val="003C41B6"/>
    <w:rsid w:val="003C42EC"/>
    <w:rsid w:val="003C431B"/>
    <w:rsid w:val="003C5101"/>
    <w:rsid w:val="003C5297"/>
    <w:rsid w:val="003C6E2D"/>
    <w:rsid w:val="003C736F"/>
    <w:rsid w:val="003D0158"/>
    <w:rsid w:val="003D089B"/>
    <w:rsid w:val="003D0F57"/>
    <w:rsid w:val="003D248F"/>
    <w:rsid w:val="003D26C2"/>
    <w:rsid w:val="003D4053"/>
    <w:rsid w:val="003D441E"/>
    <w:rsid w:val="003D467D"/>
    <w:rsid w:val="003D48FD"/>
    <w:rsid w:val="003D491D"/>
    <w:rsid w:val="003D56EF"/>
    <w:rsid w:val="003D5EE7"/>
    <w:rsid w:val="003D6A42"/>
    <w:rsid w:val="003D6C39"/>
    <w:rsid w:val="003D7685"/>
    <w:rsid w:val="003D7DBF"/>
    <w:rsid w:val="003E060C"/>
    <w:rsid w:val="003E0ACC"/>
    <w:rsid w:val="003E0B8B"/>
    <w:rsid w:val="003E0BB5"/>
    <w:rsid w:val="003E0DE2"/>
    <w:rsid w:val="003E1398"/>
    <w:rsid w:val="003E189A"/>
    <w:rsid w:val="003E2297"/>
    <w:rsid w:val="003E3A3A"/>
    <w:rsid w:val="003E44CD"/>
    <w:rsid w:val="003E46AD"/>
    <w:rsid w:val="003E506E"/>
    <w:rsid w:val="003E5B01"/>
    <w:rsid w:val="003E6B55"/>
    <w:rsid w:val="003E6CFC"/>
    <w:rsid w:val="003E7545"/>
    <w:rsid w:val="003F05D4"/>
    <w:rsid w:val="003F0A4D"/>
    <w:rsid w:val="003F1243"/>
    <w:rsid w:val="003F171D"/>
    <w:rsid w:val="003F1B06"/>
    <w:rsid w:val="003F21EA"/>
    <w:rsid w:val="003F2286"/>
    <w:rsid w:val="003F2FDF"/>
    <w:rsid w:val="003F452A"/>
    <w:rsid w:val="003F4DD3"/>
    <w:rsid w:val="003F64E7"/>
    <w:rsid w:val="003F69CB"/>
    <w:rsid w:val="003F6FF4"/>
    <w:rsid w:val="003F7069"/>
    <w:rsid w:val="003F71C1"/>
    <w:rsid w:val="003F78F0"/>
    <w:rsid w:val="004005F3"/>
    <w:rsid w:val="004006DE"/>
    <w:rsid w:val="00401084"/>
    <w:rsid w:val="0040114B"/>
    <w:rsid w:val="004013B3"/>
    <w:rsid w:val="00401E77"/>
    <w:rsid w:val="0040210E"/>
    <w:rsid w:val="00402B54"/>
    <w:rsid w:val="00402F54"/>
    <w:rsid w:val="00404EF7"/>
    <w:rsid w:val="00404F61"/>
    <w:rsid w:val="0040558F"/>
    <w:rsid w:val="00406156"/>
    <w:rsid w:val="00406C22"/>
    <w:rsid w:val="00406FEC"/>
    <w:rsid w:val="00407C84"/>
    <w:rsid w:val="00407E43"/>
    <w:rsid w:val="004108A8"/>
    <w:rsid w:val="0041148E"/>
    <w:rsid w:val="00411CEE"/>
    <w:rsid w:val="004122C9"/>
    <w:rsid w:val="00412459"/>
    <w:rsid w:val="0041260E"/>
    <w:rsid w:val="0041263F"/>
    <w:rsid w:val="00412910"/>
    <w:rsid w:val="00412A37"/>
    <w:rsid w:val="00413723"/>
    <w:rsid w:val="00413BF9"/>
    <w:rsid w:val="0041607E"/>
    <w:rsid w:val="00416178"/>
    <w:rsid w:val="004162B6"/>
    <w:rsid w:val="00417806"/>
    <w:rsid w:val="00417953"/>
    <w:rsid w:val="0041797E"/>
    <w:rsid w:val="00417A20"/>
    <w:rsid w:val="00417A26"/>
    <w:rsid w:val="004201C1"/>
    <w:rsid w:val="00420E63"/>
    <w:rsid w:val="004212A9"/>
    <w:rsid w:val="004217C4"/>
    <w:rsid w:val="00422636"/>
    <w:rsid w:val="00422BE8"/>
    <w:rsid w:val="00424169"/>
    <w:rsid w:val="00424486"/>
    <w:rsid w:val="004255BB"/>
    <w:rsid w:val="00425E7B"/>
    <w:rsid w:val="00426E7E"/>
    <w:rsid w:val="004270FF"/>
    <w:rsid w:val="00427C68"/>
    <w:rsid w:val="004308FA"/>
    <w:rsid w:val="00431946"/>
    <w:rsid w:val="00431CFF"/>
    <w:rsid w:val="004329F3"/>
    <w:rsid w:val="00432DED"/>
    <w:rsid w:val="00433A26"/>
    <w:rsid w:val="004342DC"/>
    <w:rsid w:val="00434EC8"/>
    <w:rsid w:val="004350C1"/>
    <w:rsid w:val="00436058"/>
    <w:rsid w:val="004362D9"/>
    <w:rsid w:val="00436825"/>
    <w:rsid w:val="00436C10"/>
    <w:rsid w:val="00436D3A"/>
    <w:rsid w:val="004407A9"/>
    <w:rsid w:val="004418C3"/>
    <w:rsid w:val="00442FDA"/>
    <w:rsid w:val="00444691"/>
    <w:rsid w:val="004452D4"/>
    <w:rsid w:val="00445E2B"/>
    <w:rsid w:val="00445F18"/>
    <w:rsid w:val="0044651D"/>
    <w:rsid w:val="004465ED"/>
    <w:rsid w:val="00446699"/>
    <w:rsid w:val="004467A8"/>
    <w:rsid w:val="00446955"/>
    <w:rsid w:val="00446DCD"/>
    <w:rsid w:val="00447A59"/>
    <w:rsid w:val="00447DF9"/>
    <w:rsid w:val="00447F29"/>
    <w:rsid w:val="004507E6"/>
    <w:rsid w:val="00450D73"/>
    <w:rsid w:val="00450F0B"/>
    <w:rsid w:val="00451064"/>
    <w:rsid w:val="00452FB7"/>
    <w:rsid w:val="004530B8"/>
    <w:rsid w:val="004531E5"/>
    <w:rsid w:val="00453B22"/>
    <w:rsid w:val="00453FCD"/>
    <w:rsid w:val="00454752"/>
    <w:rsid w:val="00454B75"/>
    <w:rsid w:val="00454C02"/>
    <w:rsid w:val="00454CC5"/>
    <w:rsid w:val="00455B60"/>
    <w:rsid w:val="004560E8"/>
    <w:rsid w:val="004570AF"/>
    <w:rsid w:val="004573E3"/>
    <w:rsid w:val="004574D6"/>
    <w:rsid w:val="004574EC"/>
    <w:rsid w:val="004579E3"/>
    <w:rsid w:val="00457EA7"/>
    <w:rsid w:val="00460150"/>
    <w:rsid w:val="004605F9"/>
    <w:rsid w:val="00460C82"/>
    <w:rsid w:val="00461B44"/>
    <w:rsid w:val="00461BAC"/>
    <w:rsid w:val="00461D17"/>
    <w:rsid w:val="00462715"/>
    <w:rsid w:val="0046277B"/>
    <w:rsid w:val="004644B9"/>
    <w:rsid w:val="0046487C"/>
    <w:rsid w:val="00465CEC"/>
    <w:rsid w:val="00465F79"/>
    <w:rsid w:val="00466455"/>
    <w:rsid w:val="00466643"/>
    <w:rsid w:val="00466F3F"/>
    <w:rsid w:val="0046733C"/>
    <w:rsid w:val="004674F4"/>
    <w:rsid w:val="00467ED0"/>
    <w:rsid w:val="00470E5E"/>
    <w:rsid w:val="00471249"/>
    <w:rsid w:val="004719A6"/>
    <w:rsid w:val="00471A68"/>
    <w:rsid w:val="00472034"/>
    <w:rsid w:val="00472BA1"/>
    <w:rsid w:val="00473360"/>
    <w:rsid w:val="00473A9B"/>
    <w:rsid w:val="00473AD0"/>
    <w:rsid w:val="00473B12"/>
    <w:rsid w:val="00473D4D"/>
    <w:rsid w:val="00475394"/>
    <w:rsid w:val="00475692"/>
    <w:rsid w:val="00475ADC"/>
    <w:rsid w:val="00475F37"/>
    <w:rsid w:val="004766A3"/>
    <w:rsid w:val="00476A09"/>
    <w:rsid w:val="00476D0C"/>
    <w:rsid w:val="0047725A"/>
    <w:rsid w:val="00477789"/>
    <w:rsid w:val="004778D4"/>
    <w:rsid w:val="00477EF5"/>
    <w:rsid w:val="0048160C"/>
    <w:rsid w:val="004817D6"/>
    <w:rsid w:val="00481DA8"/>
    <w:rsid w:val="004820A6"/>
    <w:rsid w:val="0048265E"/>
    <w:rsid w:val="00482CC9"/>
    <w:rsid w:val="0048316B"/>
    <w:rsid w:val="00483971"/>
    <w:rsid w:val="004850B8"/>
    <w:rsid w:val="00485647"/>
    <w:rsid w:val="00485B83"/>
    <w:rsid w:val="00487BE8"/>
    <w:rsid w:val="004901FD"/>
    <w:rsid w:val="004909CD"/>
    <w:rsid w:val="00491791"/>
    <w:rsid w:val="00491D9A"/>
    <w:rsid w:val="00491EB3"/>
    <w:rsid w:val="004925DD"/>
    <w:rsid w:val="004933F9"/>
    <w:rsid w:val="00493514"/>
    <w:rsid w:val="004940AC"/>
    <w:rsid w:val="004963AA"/>
    <w:rsid w:val="00496636"/>
    <w:rsid w:val="00496AE0"/>
    <w:rsid w:val="00497985"/>
    <w:rsid w:val="00497E14"/>
    <w:rsid w:val="004A06FC"/>
    <w:rsid w:val="004A09DD"/>
    <w:rsid w:val="004A11B0"/>
    <w:rsid w:val="004A2197"/>
    <w:rsid w:val="004A3118"/>
    <w:rsid w:val="004A3D11"/>
    <w:rsid w:val="004A4639"/>
    <w:rsid w:val="004A4822"/>
    <w:rsid w:val="004A48CE"/>
    <w:rsid w:val="004A53D0"/>
    <w:rsid w:val="004A5563"/>
    <w:rsid w:val="004A6276"/>
    <w:rsid w:val="004A66C0"/>
    <w:rsid w:val="004A67C3"/>
    <w:rsid w:val="004A6819"/>
    <w:rsid w:val="004A6C82"/>
    <w:rsid w:val="004A70A7"/>
    <w:rsid w:val="004A7279"/>
    <w:rsid w:val="004B0264"/>
    <w:rsid w:val="004B08CB"/>
    <w:rsid w:val="004B0AE2"/>
    <w:rsid w:val="004B190C"/>
    <w:rsid w:val="004B2AA9"/>
    <w:rsid w:val="004B3A7E"/>
    <w:rsid w:val="004B4304"/>
    <w:rsid w:val="004B4338"/>
    <w:rsid w:val="004B4BEC"/>
    <w:rsid w:val="004B4E9C"/>
    <w:rsid w:val="004B58A8"/>
    <w:rsid w:val="004B5E69"/>
    <w:rsid w:val="004B631F"/>
    <w:rsid w:val="004B6413"/>
    <w:rsid w:val="004B6A62"/>
    <w:rsid w:val="004B6B6C"/>
    <w:rsid w:val="004B6DC3"/>
    <w:rsid w:val="004B70C3"/>
    <w:rsid w:val="004B77C2"/>
    <w:rsid w:val="004C0C59"/>
    <w:rsid w:val="004C0FD1"/>
    <w:rsid w:val="004C3085"/>
    <w:rsid w:val="004C3475"/>
    <w:rsid w:val="004C3857"/>
    <w:rsid w:val="004C3CDB"/>
    <w:rsid w:val="004C4679"/>
    <w:rsid w:val="004C5FEB"/>
    <w:rsid w:val="004C63A7"/>
    <w:rsid w:val="004C78A4"/>
    <w:rsid w:val="004C7C88"/>
    <w:rsid w:val="004C7D8B"/>
    <w:rsid w:val="004D0F7F"/>
    <w:rsid w:val="004D0FDA"/>
    <w:rsid w:val="004D140D"/>
    <w:rsid w:val="004D1C02"/>
    <w:rsid w:val="004D214B"/>
    <w:rsid w:val="004D2D53"/>
    <w:rsid w:val="004D2EB4"/>
    <w:rsid w:val="004D3DC3"/>
    <w:rsid w:val="004D4C76"/>
    <w:rsid w:val="004D592B"/>
    <w:rsid w:val="004D6F8B"/>
    <w:rsid w:val="004D70AA"/>
    <w:rsid w:val="004D7F93"/>
    <w:rsid w:val="004E05F0"/>
    <w:rsid w:val="004E0B47"/>
    <w:rsid w:val="004E0F40"/>
    <w:rsid w:val="004E1B04"/>
    <w:rsid w:val="004E1C43"/>
    <w:rsid w:val="004E1F41"/>
    <w:rsid w:val="004E200B"/>
    <w:rsid w:val="004E29BB"/>
    <w:rsid w:val="004E2F47"/>
    <w:rsid w:val="004E3161"/>
    <w:rsid w:val="004E336D"/>
    <w:rsid w:val="004E3B75"/>
    <w:rsid w:val="004E4152"/>
    <w:rsid w:val="004E4740"/>
    <w:rsid w:val="004E53AF"/>
    <w:rsid w:val="004E62DA"/>
    <w:rsid w:val="004E686C"/>
    <w:rsid w:val="004E7263"/>
    <w:rsid w:val="004F0940"/>
    <w:rsid w:val="004F0EEC"/>
    <w:rsid w:val="004F1605"/>
    <w:rsid w:val="004F178D"/>
    <w:rsid w:val="004F19CC"/>
    <w:rsid w:val="004F26D9"/>
    <w:rsid w:val="004F3299"/>
    <w:rsid w:val="004F32DC"/>
    <w:rsid w:val="004F37D2"/>
    <w:rsid w:val="004F454F"/>
    <w:rsid w:val="004F4BFC"/>
    <w:rsid w:val="004F4FC7"/>
    <w:rsid w:val="004F5288"/>
    <w:rsid w:val="004F644C"/>
    <w:rsid w:val="004F69BA"/>
    <w:rsid w:val="004F6A15"/>
    <w:rsid w:val="004F7306"/>
    <w:rsid w:val="004F7492"/>
    <w:rsid w:val="004F76DF"/>
    <w:rsid w:val="00500A79"/>
    <w:rsid w:val="00500B21"/>
    <w:rsid w:val="0050117D"/>
    <w:rsid w:val="005012C4"/>
    <w:rsid w:val="00501309"/>
    <w:rsid w:val="0050216C"/>
    <w:rsid w:val="00502BFE"/>
    <w:rsid w:val="00504382"/>
    <w:rsid w:val="00504689"/>
    <w:rsid w:val="00504973"/>
    <w:rsid w:val="00505716"/>
    <w:rsid w:val="005068DC"/>
    <w:rsid w:val="005073AD"/>
    <w:rsid w:val="0050794E"/>
    <w:rsid w:val="0051068C"/>
    <w:rsid w:val="005107E8"/>
    <w:rsid w:val="00510FE3"/>
    <w:rsid w:val="00511013"/>
    <w:rsid w:val="0051114F"/>
    <w:rsid w:val="005118FE"/>
    <w:rsid w:val="0051297E"/>
    <w:rsid w:val="00512B01"/>
    <w:rsid w:val="005152A2"/>
    <w:rsid w:val="0051594D"/>
    <w:rsid w:val="00515DFC"/>
    <w:rsid w:val="0051642A"/>
    <w:rsid w:val="00516D9E"/>
    <w:rsid w:val="00517493"/>
    <w:rsid w:val="005176E3"/>
    <w:rsid w:val="00517B7F"/>
    <w:rsid w:val="00520125"/>
    <w:rsid w:val="0052023F"/>
    <w:rsid w:val="00520321"/>
    <w:rsid w:val="00520627"/>
    <w:rsid w:val="00520AE7"/>
    <w:rsid w:val="0052171F"/>
    <w:rsid w:val="0052246A"/>
    <w:rsid w:val="00522E33"/>
    <w:rsid w:val="005230FD"/>
    <w:rsid w:val="00523755"/>
    <w:rsid w:val="005243ED"/>
    <w:rsid w:val="00524722"/>
    <w:rsid w:val="005247FF"/>
    <w:rsid w:val="00525883"/>
    <w:rsid w:val="00525A6E"/>
    <w:rsid w:val="00526032"/>
    <w:rsid w:val="005262FB"/>
    <w:rsid w:val="005265C6"/>
    <w:rsid w:val="0052688B"/>
    <w:rsid w:val="00526A4B"/>
    <w:rsid w:val="00526BC4"/>
    <w:rsid w:val="00527220"/>
    <w:rsid w:val="00527252"/>
    <w:rsid w:val="00527D55"/>
    <w:rsid w:val="0053068E"/>
    <w:rsid w:val="0053084F"/>
    <w:rsid w:val="00530B6F"/>
    <w:rsid w:val="00531103"/>
    <w:rsid w:val="00531369"/>
    <w:rsid w:val="00532411"/>
    <w:rsid w:val="00534A23"/>
    <w:rsid w:val="00534EDF"/>
    <w:rsid w:val="0053523A"/>
    <w:rsid w:val="0053562E"/>
    <w:rsid w:val="005361D2"/>
    <w:rsid w:val="005365C5"/>
    <w:rsid w:val="005366B3"/>
    <w:rsid w:val="00536C2F"/>
    <w:rsid w:val="0053766B"/>
    <w:rsid w:val="005379AD"/>
    <w:rsid w:val="0054006A"/>
    <w:rsid w:val="0054007D"/>
    <w:rsid w:val="00540476"/>
    <w:rsid w:val="00540771"/>
    <w:rsid w:val="00540996"/>
    <w:rsid w:val="00543F08"/>
    <w:rsid w:val="00543FFB"/>
    <w:rsid w:val="0054424A"/>
    <w:rsid w:val="00544701"/>
    <w:rsid w:val="0054474A"/>
    <w:rsid w:val="0054490A"/>
    <w:rsid w:val="00544919"/>
    <w:rsid w:val="00544A45"/>
    <w:rsid w:val="00545ED8"/>
    <w:rsid w:val="00546066"/>
    <w:rsid w:val="005468F7"/>
    <w:rsid w:val="005471A2"/>
    <w:rsid w:val="005471A8"/>
    <w:rsid w:val="00547330"/>
    <w:rsid w:val="00547704"/>
    <w:rsid w:val="00547A4D"/>
    <w:rsid w:val="00547B49"/>
    <w:rsid w:val="00547EA0"/>
    <w:rsid w:val="00547FC9"/>
    <w:rsid w:val="00547FE4"/>
    <w:rsid w:val="00550457"/>
    <w:rsid w:val="00550495"/>
    <w:rsid w:val="00550896"/>
    <w:rsid w:val="00550E3B"/>
    <w:rsid w:val="005516AD"/>
    <w:rsid w:val="00551D73"/>
    <w:rsid w:val="0055254A"/>
    <w:rsid w:val="00552CAB"/>
    <w:rsid w:val="00553168"/>
    <w:rsid w:val="005534D8"/>
    <w:rsid w:val="0055366C"/>
    <w:rsid w:val="0055406F"/>
    <w:rsid w:val="0055478D"/>
    <w:rsid w:val="00554A5E"/>
    <w:rsid w:val="00554DE7"/>
    <w:rsid w:val="00554F2E"/>
    <w:rsid w:val="00555084"/>
    <w:rsid w:val="00555117"/>
    <w:rsid w:val="00555515"/>
    <w:rsid w:val="00555ECF"/>
    <w:rsid w:val="0055614A"/>
    <w:rsid w:val="0055640A"/>
    <w:rsid w:val="00556688"/>
    <w:rsid w:val="005567F3"/>
    <w:rsid w:val="00557039"/>
    <w:rsid w:val="0055767B"/>
    <w:rsid w:val="0056038B"/>
    <w:rsid w:val="00560DDF"/>
    <w:rsid w:val="00561267"/>
    <w:rsid w:val="00561426"/>
    <w:rsid w:val="00561B4F"/>
    <w:rsid w:val="00562584"/>
    <w:rsid w:val="00562DF2"/>
    <w:rsid w:val="005631AA"/>
    <w:rsid w:val="00563334"/>
    <w:rsid w:val="005634A7"/>
    <w:rsid w:val="00563715"/>
    <w:rsid w:val="00564C7C"/>
    <w:rsid w:val="00564D6D"/>
    <w:rsid w:val="00564F16"/>
    <w:rsid w:val="00565D34"/>
    <w:rsid w:val="005665C9"/>
    <w:rsid w:val="00566A95"/>
    <w:rsid w:val="00567074"/>
    <w:rsid w:val="0056749B"/>
    <w:rsid w:val="005678E4"/>
    <w:rsid w:val="00567F6B"/>
    <w:rsid w:val="005703F0"/>
    <w:rsid w:val="00570F7C"/>
    <w:rsid w:val="0057108B"/>
    <w:rsid w:val="00571301"/>
    <w:rsid w:val="00571F44"/>
    <w:rsid w:val="00572446"/>
    <w:rsid w:val="00572D38"/>
    <w:rsid w:val="00573F8D"/>
    <w:rsid w:val="00574001"/>
    <w:rsid w:val="00574FC1"/>
    <w:rsid w:val="00575331"/>
    <w:rsid w:val="00575592"/>
    <w:rsid w:val="00575A3C"/>
    <w:rsid w:val="00576531"/>
    <w:rsid w:val="00576860"/>
    <w:rsid w:val="005774C4"/>
    <w:rsid w:val="00577E50"/>
    <w:rsid w:val="00580317"/>
    <w:rsid w:val="00580754"/>
    <w:rsid w:val="0058083B"/>
    <w:rsid w:val="00581EDD"/>
    <w:rsid w:val="0058201B"/>
    <w:rsid w:val="005831D1"/>
    <w:rsid w:val="005849CC"/>
    <w:rsid w:val="00584E8B"/>
    <w:rsid w:val="00585EA8"/>
    <w:rsid w:val="00586040"/>
    <w:rsid w:val="005864B6"/>
    <w:rsid w:val="00586CA1"/>
    <w:rsid w:val="005871FA"/>
    <w:rsid w:val="00587867"/>
    <w:rsid w:val="005905C4"/>
    <w:rsid w:val="0059174E"/>
    <w:rsid w:val="00591A08"/>
    <w:rsid w:val="00591BB7"/>
    <w:rsid w:val="0059276D"/>
    <w:rsid w:val="005928A6"/>
    <w:rsid w:val="00592D34"/>
    <w:rsid w:val="00592F6E"/>
    <w:rsid w:val="005932D9"/>
    <w:rsid w:val="0059555C"/>
    <w:rsid w:val="00595947"/>
    <w:rsid w:val="00595CB3"/>
    <w:rsid w:val="0059726F"/>
    <w:rsid w:val="0059784E"/>
    <w:rsid w:val="005A0A75"/>
    <w:rsid w:val="005A0A9E"/>
    <w:rsid w:val="005A0C2A"/>
    <w:rsid w:val="005A0C6B"/>
    <w:rsid w:val="005A1704"/>
    <w:rsid w:val="005A1B9A"/>
    <w:rsid w:val="005A1D46"/>
    <w:rsid w:val="005A2EA9"/>
    <w:rsid w:val="005A387A"/>
    <w:rsid w:val="005A412B"/>
    <w:rsid w:val="005A4542"/>
    <w:rsid w:val="005A5B52"/>
    <w:rsid w:val="005A5D14"/>
    <w:rsid w:val="005A69FA"/>
    <w:rsid w:val="005B162E"/>
    <w:rsid w:val="005B1C31"/>
    <w:rsid w:val="005B2D03"/>
    <w:rsid w:val="005B2DBE"/>
    <w:rsid w:val="005B2E5A"/>
    <w:rsid w:val="005B301D"/>
    <w:rsid w:val="005B3D6E"/>
    <w:rsid w:val="005B3FAC"/>
    <w:rsid w:val="005B41D1"/>
    <w:rsid w:val="005B4249"/>
    <w:rsid w:val="005B460E"/>
    <w:rsid w:val="005B4BF6"/>
    <w:rsid w:val="005B4BF7"/>
    <w:rsid w:val="005B5443"/>
    <w:rsid w:val="005B5968"/>
    <w:rsid w:val="005B5BF8"/>
    <w:rsid w:val="005B6201"/>
    <w:rsid w:val="005B6485"/>
    <w:rsid w:val="005B65AD"/>
    <w:rsid w:val="005B66C5"/>
    <w:rsid w:val="005B698C"/>
    <w:rsid w:val="005B6F91"/>
    <w:rsid w:val="005B71D8"/>
    <w:rsid w:val="005B7691"/>
    <w:rsid w:val="005B7E64"/>
    <w:rsid w:val="005C06F5"/>
    <w:rsid w:val="005C0D1D"/>
    <w:rsid w:val="005C1662"/>
    <w:rsid w:val="005C1FE1"/>
    <w:rsid w:val="005C25D3"/>
    <w:rsid w:val="005C2B8C"/>
    <w:rsid w:val="005C2F92"/>
    <w:rsid w:val="005C308F"/>
    <w:rsid w:val="005C416E"/>
    <w:rsid w:val="005C4625"/>
    <w:rsid w:val="005C4783"/>
    <w:rsid w:val="005C528C"/>
    <w:rsid w:val="005C55E9"/>
    <w:rsid w:val="005C5D46"/>
    <w:rsid w:val="005C5EE1"/>
    <w:rsid w:val="005C6313"/>
    <w:rsid w:val="005C6333"/>
    <w:rsid w:val="005C68E9"/>
    <w:rsid w:val="005C6A2D"/>
    <w:rsid w:val="005C6CE0"/>
    <w:rsid w:val="005C6D93"/>
    <w:rsid w:val="005C6FF9"/>
    <w:rsid w:val="005C74D2"/>
    <w:rsid w:val="005C7A68"/>
    <w:rsid w:val="005C7F7C"/>
    <w:rsid w:val="005D07F4"/>
    <w:rsid w:val="005D0F81"/>
    <w:rsid w:val="005D13C8"/>
    <w:rsid w:val="005D1712"/>
    <w:rsid w:val="005D1C80"/>
    <w:rsid w:val="005D2317"/>
    <w:rsid w:val="005D2605"/>
    <w:rsid w:val="005D2D53"/>
    <w:rsid w:val="005D36F4"/>
    <w:rsid w:val="005D4360"/>
    <w:rsid w:val="005D4A3F"/>
    <w:rsid w:val="005D4BCA"/>
    <w:rsid w:val="005D54E5"/>
    <w:rsid w:val="005D5ADA"/>
    <w:rsid w:val="005D60DD"/>
    <w:rsid w:val="005D6190"/>
    <w:rsid w:val="005D66D9"/>
    <w:rsid w:val="005D6A2F"/>
    <w:rsid w:val="005D70E4"/>
    <w:rsid w:val="005E0214"/>
    <w:rsid w:val="005E0924"/>
    <w:rsid w:val="005E16E0"/>
    <w:rsid w:val="005E16E1"/>
    <w:rsid w:val="005E1BE1"/>
    <w:rsid w:val="005E1C8B"/>
    <w:rsid w:val="005E24C5"/>
    <w:rsid w:val="005E2FEC"/>
    <w:rsid w:val="005E33F8"/>
    <w:rsid w:val="005E3C67"/>
    <w:rsid w:val="005E3CF7"/>
    <w:rsid w:val="005E4967"/>
    <w:rsid w:val="005E5164"/>
    <w:rsid w:val="005E5A47"/>
    <w:rsid w:val="005E5B01"/>
    <w:rsid w:val="005E5B24"/>
    <w:rsid w:val="005E5E6A"/>
    <w:rsid w:val="005E6377"/>
    <w:rsid w:val="005E6894"/>
    <w:rsid w:val="005E6F9F"/>
    <w:rsid w:val="005E7957"/>
    <w:rsid w:val="005F202F"/>
    <w:rsid w:val="005F2201"/>
    <w:rsid w:val="005F24B1"/>
    <w:rsid w:val="005F26F9"/>
    <w:rsid w:val="005F283C"/>
    <w:rsid w:val="005F3197"/>
    <w:rsid w:val="005F3238"/>
    <w:rsid w:val="005F3993"/>
    <w:rsid w:val="005F45F6"/>
    <w:rsid w:val="005F4A0A"/>
    <w:rsid w:val="005F53DE"/>
    <w:rsid w:val="005F558B"/>
    <w:rsid w:val="005F677F"/>
    <w:rsid w:val="005F6D82"/>
    <w:rsid w:val="006001A7"/>
    <w:rsid w:val="00601223"/>
    <w:rsid w:val="006019CF"/>
    <w:rsid w:val="006022A2"/>
    <w:rsid w:val="006023BF"/>
    <w:rsid w:val="0060315F"/>
    <w:rsid w:val="00603704"/>
    <w:rsid w:val="00603BAE"/>
    <w:rsid w:val="00603E3B"/>
    <w:rsid w:val="00604268"/>
    <w:rsid w:val="0060485B"/>
    <w:rsid w:val="00604DDE"/>
    <w:rsid w:val="0060580E"/>
    <w:rsid w:val="0060668D"/>
    <w:rsid w:val="00606A3C"/>
    <w:rsid w:val="006070B7"/>
    <w:rsid w:val="00607822"/>
    <w:rsid w:val="0061003E"/>
    <w:rsid w:val="00610489"/>
    <w:rsid w:val="00610A6F"/>
    <w:rsid w:val="00610CD8"/>
    <w:rsid w:val="006117A2"/>
    <w:rsid w:val="00613AED"/>
    <w:rsid w:val="00613B43"/>
    <w:rsid w:val="00614E7B"/>
    <w:rsid w:val="006155E4"/>
    <w:rsid w:val="006158CD"/>
    <w:rsid w:val="00617399"/>
    <w:rsid w:val="0061772F"/>
    <w:rsid w:val="00617A90"/>
    <w:rsid w:val="006203E8"/>
    <w:rsid w:val="00620714"/>
    <w:rsid w:val="00620A98"/>
    <w:rsid w:val="00622A9C"/>
    <w:rsid w:val="00622C45"/>
    <w:rsid w:val="00622DC2"/>
    <w:rsid w:val="006237B3"/>
    <w:rsid w:val="0062414C"/>
    <w:rsid w:val="006242E4"/>
    <w:rsid w:val="006258CD"/>
    <w:rsid w:val="0062593F"/>
    <w:rsid w:val="0062599A"/>
    <w:rsid w:val="0062601F"/>
    <w:rsid w:val="006265CC"/>
    <w:rsid w:val="0062660B"/>
    <w:rsid w:val="00626C1F"/>
    <w:rsid w:val="00627103"/>
    <w:rsid w:val="00627D65"/>
    <w:rsid w:val="006306CA"/>
    <w:rsid w:val="00631D78"/>
    <w:rsid w:val="006323D9"/>
    <w:rsid w:val="0063387B"/>
    <w:rsid w:val="0063390E"/>
    <w:rsid w:val="00633997"/>
    <w:rsid w:val="00634261"/>
    <w:rsid w:val="00634B7E"/>
    <w:rsid w:val="00635AE7"/>
    <w:rsid w:val="00636476"/>
    <w:rsid w:val="006366BE"/>
    <w:rsid w:val="006368B3"/>
    <w:rsid w:val="006378E2"/>
    <w:rsid w:val="00640305"/>
    <w:rsid w:val="006411F3"/>
    <w:rsid w:val="00641701"/>
    <w:rsid w:val="00641C0A"/>
    <w:rsid w:val="00641D92"/>
    <w:rsid w:val="006422C2"/>
    <w:rsid w:val="00642D42"/>
    <w:rsid w:val="00643870"/>
    <w:rsid w:val="00643E82"/>
    <w:rsid w:val="00643ED3"/>
    <w:rsid w:val="00644DAF"/>
    <w:rsid w:val="0064591B"/>
    <w:rsid w:val="00645C9B"/>
    <w:rsid w:val="00646209"/>
    <w:rsid w:val="0064759B"/>
    <w:rsid w:val="00650AD7"/>
    <w:rsid w:val="00651220"/>
    <w:rsid w:val="00651B77"/>
    <w:rsid w:val="00651CA9"/>
    <w:rsid w:val="00652AAC"/>
    <w:rsid w:val="00654871"/>
    <w:rsid w:val="00654B53"/>
    <w:rsid w:val="0065619A"/>
    <w:rsid w:val="00656388"/>
    <w:rsid w:val="00656B4C"/>
    <w:rsid w:val="00656FB2"/>
    <w:rsid w:val="006570FF"/>
    <w:rsid w:val="006600D2"/>
    <w:rsid w:val="006610B2"/>
    <w:rsid w:val="0066150D"/>
    <w:rsid w:val="00661633"/>
    <w:rsid w:val="0066202C"/>
    <w:rsid w:val="00662946"/>
    <w:rsid w:val="006629CD"/>
    <w:rsid w:val="00662BF5"/>
    <w:rsid w:val="006633CE"/>
    <w:rsid w:val="00664E27"/>
    <w:rsid w:val="006662D3"/>
    <w:rsid w:val="00666425"/>
    <w:rsid w:val="006668DA"/>
    <w:rsid w:val="006676D5"/>
    <w:rsid w:val="006679C3"/>
    <w:rsid w:val="00671536"/>
    <w:rsid w:val="006717F6"/>
    <w:rsid w:val="0067231B"/>
    <w:rsid w:val="00672546"/>
    <w:rsid w:val="00672A81"/>
    <w:rsid w:val="0067320C"/>
    <w:rsid w:val="0067370C"/>
    <w:rsid w:val="0067411C"/>
    <w:rsid w:val="00674CB2"/>
    <w:rsid w:val="006750B0"/>
    <w:rsid w:val="00675F5F"/>
    <w:rsid w:val="006761CE"/>
    <w:rsid w:val="00677F6A"/>
    <w:rsid w:val="006806D4"/>
    <w:rsid w:val="00682A66"/>
    <w:rsid w:val="006841DE"/>
    <w:rsid w:val="006842C5"/>
    <w:rsid w:val="00684323"/>
    <w:rsid w:val="00684681"/>
    <w:rsid w:val="0068598B"/>
    <w:rsid w:val="006863C7"/>
    <w:rsid w:val="006870BB"/>
    <w:rsid w:val="006877AA"/>
    <w:rsid w:val="00690358"/>
    <w:rsid w:val="0069202B"/>
    <w:rsid w:val="0069222D"/>
    <w:rsid w:val="00692F50"/>
    <w:rsid w:val="00693081"/>
    <w:rsid w:val="00693BD7"/>
    <w:rsid w:val="00694B41"/>
    <w:rsid w:val="00694E98"/>
    <w:rsid w:val="006952FF"/>
    <w:rsid w:val="0069585F"/>
    <w:rsid w:val="0069594D"/>
    <w:rsid w:val="00695AB9"/>
    <w:rsid w:val="00696611"/>
    <w:rsid w:val="00696FA5"/>
    <w:rsid w:val="0069750E"/>
    <w:rsid w:val="006A110B"/>
    <w:rsid w:val="006A2F14"/>
    <w:rsid w:val="006A32BF"/>
    <w:rsid w:val="006A3848"/>
    <w:rsid w:val="006A402E"/>
    <w:rsid w:val="006A5AE5"/>
    <w:rsid w:val="006A5C3A"/>
    <w:rsid w:val="006A5CB1"/>
    <w:rsid w:val="006A76D0"/>
    <w:rsid w:val="006A7FB1"/>
    <w:rsid w:val="006B04A2"/>
    <w:rsid w:val="006B05E9"/>
    <w:rsid w:val="006B0F07"/>
    <w:rsid w:val="006B116D"/>
    <w:rsid w:val="006B1592"/>
    <w:rsid w:val="006B1D4B"/>
    <w:rsid w:val="006B1F48"/>
    <w:rsid w:val="006B2907"/>
    <w:rsid w:val="006B2FAF"/>
    <w:rsid w:val="006B37E0"/>
    <w:rsid w:val="006B3CA0"/>
    <w:rsid w:val="006B456A"/>
    <w:rsid w:val="006B4EBD"/>
    <w:rsid w:val="006B5BC1"/>
    <w:rsid w:val="006B733A"/>
    <w:rsid w:val="006B7857"/>
    <w:rsid w:val="006B78AE"/>
    <w:rsid w:val="006C02A5"/>
    <w:rsid w:val="006C09FB"/>
    <w:rsid w:val="006C0A1A"/>
    <w:rsid w:val="006C0A3D"/>
    <w:rsid w:val="006C0E82"/>
    <w:rsid w:val="006C19FE"/>
    <w:rsid w:val="006C1CF8"/>
    <w:rsid w:val="006C3328"/>
    <w:rsid w:val="006C397F"/>
    <w:rsid w:val="006C3D64"/>
    <w:rsid w:val="006C3FDE"/>
    <w:rsid w:val="006C4241"/>
    <w:rsid w:val="006C43C0"/>
    <w:rsid w:val="006C495C"/>
    <w:rsid w:val="006C49F5"/>
    <w:rsid w:val="006C4E2E"/>
    <w:rsid w:val="006C5673"/>
    <w:rsid w:val="006C66A2"/>
    <w:rsid w:val="006C7190"/>
    <w:rsid w:val="006C752F"/>
    <w:rsid w:val="006C77DA"/>
    <w:rsid w:val="006D103A"/>
    <w:rsid w:val="006D1516"/>
    <w:rsid w:val="006D197C"/>
    <w:rsid w:val="006D3435"/>
    <w:rsid w:val="006D39F1"/>
    <w:rsid w:val="006D3B23"/>
    <w:rsid w:val="006D3C09"/>
    <w:rsid w:val="006D48F2"/>
    <w:rsid w:val="006D4C5E"/>
    <w:rsid w:val="006D4D9D"/>
    <w:rsid w:val="006D518F"/>
    <w:rsid w:val="006D579C"/>
    <w:rsid w:val="006D5DB1"/>
    <w:rsid w:val="006D63E2"/>
    <w:rsid w:val="006D77B5"/>
    <w:rsid w:val="006E06DE"/>
    <w:rsid w:val="006E0714"/>
    <w:rsid w:val="006E0C02"/>
    <w:rsid w:val="006E0D71"/>
    <w:rsid w:val="006E0E23"/>
    <w:rsid w:val="006E1870"/>
    <w:rsid w:val="006E1C9E"/>
    <w:rsid w:val="006E26FA"/>
    <w:rsid w:val="006E2CB2"/>
    <w:rsid w:val="006E30CA"/>
    <w:rsid w:val="006E3488"/>
    <w:rsid w:val="006E52FE"/>
    <w:rsid w:val="006E6576"/>
    <w:rsid w:val="006E6862"/>
    <w:rsid w:val="006E6D71"/>
    <w:rsid w:val="006E6E71"/>
    <w:rsid w:val="006F02E3"/>
    <w:rsid w:val="006F1434"/>
    <w:rsid w:val="006F1FE6"/>
    <w:rsid w:val="006F321A"/>
    <w:rsid w:val="006F3647"/>
    <w:rsid w:val="006F4143"/>
    <w:rsid w:val="006F43C9"/>
    <w:rsid w:val="006F446F"/>
    <w:rsid w:val="006F4626"/>
    <w:rsid w:val="006F481E"/>
    <w:rsid w:val="006F4F6A"/>
    <w:rsid w:val="006F7E97"/>
    <w:rsid w:val="007005AB"/>
    <w:rsid w:val="00700C82"/>
    <w:rsid w:val="00700F98"/>
    <w:rsid w:val="00701177"/>
    <w:rsid w:val="007014C7"/>
    <w:rsid w:val="007023BD"/>
    <w:rsid w:val="00702812"/>
    <w:rsid w:val="007035B3"/>
    <w:rsid w:val="007036FC"/>
    <w:rsid w:val="00704238"/>
    <w:rsid w:val="007047BA"/>
    <w:rsid w:val="00704E98"/>
    <w:rsid w:val="00704EB3"/>
    <w:rsid w:val="0070573B"/>
    <w:rsid w:val="007059CD"/>
    <w:rsid w:val="00705ACE"/>
    <w:rsid w:val="007069D0"/>
    <w:rsid w:val="0071018C"/>
    <w:rsid w:val="00710703"/>
    <w:rsid w:val="007112AC"/>
    <w:rsid w:val="007119B8"/>
    <w:rsid w:val="00711BCC"/>
    <w:rsid w:val="007137B1"/>
    <w:rsid w:val="00713B12"/>
    <w:rsid w:val="00715141"/>
    <w:rsid w:val="00715494"/>
    <w:rsid w:val="00715D96"/>
    <w:rsid w:val="00715D9B"/>
    <w:rsid w:val="007166E9"/>
    <w:rsid w:val="00716A6D"/>
    <w:rsid w:val="00716E3E"/>
    <w:rsid w:val="0071719D"/>
    <w:rsid w:val="00717332"/>
    <w:rsid w:val="00717630"/>
    <w:rsid w:val="0071793A"/>
    <w:rsid w:val="00717A1E"/>
    <w:rsid w:val="00720B27"/>
    <w:rsid w:val="00720E81"/>
    <w:rsid w:val="00722842"/>
    <w:rsid w:val="00723E64"/>
    <w:rsid w:val="00732C42"/>
    <w:rsid w:val="00732DBA"/>
    <w:rsid w:val="007362D5"/>
    <w:rsid w:val="00736946"/>
    <w:rsid w:val="00736A2C"/>
    <w:rsid w:val="00736F10"/>
    <w:rsid w:val="007370CA"/>
    <w:rsid w:val="007403EA"/>
    <w:rsid w:val="00740604"/>
    <w:rsid w:val="0074088C"/>
    <w:rsid w:val="00740CBA"/>
    <w:rsid w:val="007414D8"/>
    <w:rsid w:val="00742139"/>
    <w:rsid w:val="007434BC"/>
    <w:rsid w:val="00744B37"/>
    <w:rsid w:val="00745068"/>
    <w:rsid w:val="007450DD"/>
    <w:rsid w:val="007450F9"/>
    <w:rsid w:val="00745254"/>
    <w:rsid w:val="0074547F"/>
    <w:rsid w:val="007458C6"/>
    <w:rsid w:val="00745BA1"/>
    <w:rsid w:val="007460BA"/>
    <w:rsid w:val="00747112"/>
    <w:rsid w:val="00747A1B"/>
    <w:rsid w:val="00747E17"/>
    <w:rsid w:val="00750C57"/>
    <w:rsid w:val="00751048"/>
    <w:rsid w:val="0075243F"/>
    <w:rsid w:val="00752DFB"/>
    <w:rsid w:val="007530C5"/>
    <w:rsid w:val="00753212"/>
    <w:rsid w:val="00754C22"/>
    <w:rsid w:val="00754D30"/>
    <w:rsid w:val="00755393"/>
    <w:rsid w:val="007563BA"/>
    <w:rsid w:val="00757319"/>
    <w:rsid w:val="0075759E"/>
    <w:rsid w:val="0076016B"/>
    <w:rsid w:val="0076127D"/>
    <w:rsid w:val="007616EC"/>
    <w:rsid w:val="007617D6"/>
    <w:rsid w:val="0076191D"/>
    <w:rsid w:val="00762641"/>
    <w:rsid w:val="00762650"/>
    <w:rsid w:val="0076315C"/>
    <w:rsid w:val="00764555"/>
    <w:rsid w:val="00764E16"/>
    <w:rsid w:val="00764E33"/>
    <w:rsid w:val="00765C95"/>
    <w:rsid w:val="0076661F"/>
    <w:rsid w:val="00767051"/>
    <w:rsid w:val="0076770D"/>
    <w:rsid w:val="007727ED"/>
    <w:rsid w:val="0077298E"/>
    <w:rsid w:val="00773FD1"/>
    <w:rsid w:val="007747CD"/>
    <w:rsid w:val="00774917"/>
    <w:rsid w:val="00775B44"/>
    <w:rsid w:val="00775ED7"/>
    <w:rsid w:val="00776197"/>
    <w:rsid w:val="00776333"/>
    <w:rsid w:val="00777043"/>
    <w:rsid w:val="007770BC"/>
    <w:rsid w:val="007776DA"/>
    <w:rsid w:val="00777EEE"/>
    <w:rsid w:val="007800BD"/>
    <w:rsid w:val="0078041E"/>
    <w:rsid w:val="00780D88"/>
    <w:rsid w:val="00782285"/>
    <w:rsid w:val="00783026"/>
    <w:rsid w:val="0078322F"/>
    <w:rsid w:val="0078329F"/>
    <w:rsid w:val="00783C81"/>
    <w:rsid w:val="007840E1"/>
    <w:rsid w:val="0078417C"/>
    <w:rsid w:val="00784649"/>
    <w:rsid w:val="00784BA9"/>
    <w:rsid w:val="00785250"/>
    <w:rsid w:val="007858A3"/>
    <w:rsid w:val="00785956"/>
    <w:rsid w:val="00785E11"/>
    <w:rsid w:val="00786181"/>
    <w:rsid w:val="0078640A"/>
    <w:rsid w:val="00786510"/>
    <w:rsid w:val="00787E8A"/>
    <w:rsid w:val="00790105"/>
    <w:rsid w:val="007910AE"/>
    <w:rsid w:val="0079122D"/>
    <w:rsid w:val="0079136D"/>
    <w:rsid w:val="007913A8"/>
    <w:rsid w:val="00791E4B"/>
    <w:rsid w:val="00792230"/>
    <w:rsid w:val="007931D7"/>
    <w:rsid w:val="00793F85"/>
    <w:rsid w:val="007949F4"/>
    <w:rsid w:val="0079567C"/>
    <w:rsid w:val="007958FC"/>
    <w:rsid w:val="00795F96"/>
    <w:rsid w:val="007976D3"/>
    <w:rsid w:val="00797992"/>
    <w:rsid w:val="007A1CDA"/>
    <w:rsid w:val="007A1D27"/>
    <w:rsid w:val="007A20BA"/>
    <w:rsid w:val="007A3175"/>
    <w:rsid w:val="007A38C9"/>
    <w:rsid w:val="007A48B4"/>
    <w:rsid w:val="007A5B8B"/>
    <w:rsid w:val="007A5FDE"/>
    <w:rsid w:val="007A601C"/>
    <w:rsid w:val="007A65B4"/>
    <w:rsid w:val="007A6D5F"/>
    <w:rsid w:val="007A6E96"/>
    <w:rsid w:val="007A7195"/>
    <w:rsid w:val="007A798F"/>
    <w:rsid w:val="007A7D14"/>
    <w:rsid w:val="007A7F7C"/>
    <w:rsid w:val="007B0588"/>
    <w:rsid w:val="007B0BDE"/>
    <w:rsid w:val="007B1417"/>
    <w:rsid w:val="007B2E5B"/>
    <w:rsid w:val="007B37E9"/>
    <w:rsid w:val="007B3A4A"/>
    <w:rsid w:val="007B4A16"/>
    <w:rsid w:val="007B5666"/>
    <w:rsid w:val="007B5D9B"/>
    <w:rsid w:val="007B6266"/>
    <w:rsid w:val="007B6E7A"/>
    <w:rsid w:val="007B6F9F"/>
    <w:rsid w:val="007B706D"/>
    <w:rsid w:val="007B76A1"/>
    <w:rsid w:val="007B7EA5"/>
    <w:rsid w:val="007C040A"/>
    <w:rsid w:val="007C08C7"/>
    <w:rsid w:val="007C0916"/>
    <w:rsid w:val="007C0C47"/>
    <w:rsid w:val="007C1CE6"/>
    <w:rsid w:val="007C1DF4"/>
    <w:rsid w:val="007C246D"/>
    <w:rsid w:val="007C2B3C"/>
    <w:rsid w:val="007C2D2F"/>
    <w:rsid w:val="007C3186"/>
    <w:rsid w:val="007C336A"/>
    <w:rsid w:val="007C3DD3"/>
    <w:rsid w:val="007C429B"/>
    <w:rsid w:val="007C4982"/>
    <w:rsid w:val="007C4AA9"/>
    <w:rsid w:val="007C4DAA"/>
    <w:rsid w:val="007C5148"/>
    <w:rsid w:val="007C568A"/>
    <w:rsid w:val="007C5B96"/>
    <w:rsid w:val="007C5E90"/>
    <w:rsid w:val="007C6FA2"/>
    <w:rsid w:val="007C7C6C"/>
    <w:rsid w:val="007C7D7F"/>
    <w:rsid w:val="007D1648"/>
    <w:rsid w:val="007D1C1C"/>
    <w:rsid w:val="007D2024"/>
    <w:rsid w:val="007D21B1"/>
    <w:rsid w:val="007D2603"/>
    <w:rsid w:val="007D2823"/>
    <w:rsid w:val="007D2942"/>
    <w:rsid w:val="007D2C6F"/>
    <w:rsid w:val="007D30D8"/>
    <w:rsid w:val="007D3CB0"/>
    <w:rsid w:val="007D42BF"/>
    <w:rsid w:val="007D4A9B"/>
    <w:rsid w:val="007D4A9D"/>
    <w:rsid w:val="007D4C22"/>
    <w:rsid w:val="007D4EFA"/>
    <w:rsid w:val="007D4F93"/>
    <w:rsid w:val="007D5103"/>
    <w:rsid w:val="007D52FC"/>
    <w:rsid w:val="007D54AC"/>
    <w:rsid w:val="007D596F"/>
    <w:rsid w:val="007D65B9"/>
    <w:rsid w:val="007D6BFD"/>
    <w:rsid w:val="007D6D7C"/>
    <w:rsid w:val="007D7352"/>
    <w:rsid w:val="007E23CB"/>
    <w:rsid w:val="007E261F"/>
    <w:rsid w:val="007E2E3F"/>
    <w:rsid w:val="007E45A0"/>
    <w:rsid w:val="007E5290"/>
    <w:rsid w:val="007E5706"/>
    <w:rsid w:val="007E5983"/>
    <w:rsid w:val="007E69DB"/>
    <w:rsid w:val="007E6CF6"/>
    <w:rsid w:val="007E7121"/>
    <w:rsid w:val="007E728A"/>
    <w:rsid w:val="007E760F"/>
    <w:rsid w:val="007F0499"/>
    <w:rsid w:val="007F0B25"/>
    <w:rsid w:val="007F2FF0"/>
    <w:rsid w:val="007F309D"/>
    <w:rsid w:val="007F3A45"/>
    <w:rsid w:val="007F3C85"/>
    <w:rsid w:val="007F5248"/>
    <w:rsid w:val="007F5617"/>
    <w:rsid w:val="007F617C"/>
    <w:rsid w:val="007F65A2"/>
    <w:rsid w:val="007F6AF2"/>
    <w:rsid w:val="007F6D9F"/>
    <w:rsid w:val="007F7578"/>
    <w:rsid w:val="007F79D2"/>
    <w:rsid w:val="007F7A5A"/>
    <w:rsid w:val="00800EB7"/>
    <w:rsid w:val="00801704"/>
    <w:rsid w:val="00802179"/>
    <w:rsid w:val="00802311"/>
    <w:rsid w:val="0080436D"/>
    <w:rsid w:val="00805570"/>
    <w:rsid w:val="008058CD"/>
    <w:rsid w:val="00806D26"/>
    <w:rsid w:val="00807038"/>
    <w:rsid w:val="0080792A"/>
    <w:rsid w:val="008106DE"/>
    <w:rsid w:val="00810B95"/>
    <w:rsid w:val="00810BDB"/>
    <w:rsid w:val="00810C7E"/>
    <w:rsid w:val="00812D69"/>
    <w:rsid w:val="0081318C"/>
    <w:rsid w:val="00813AAE"/>
    <w:rsid w:val="00815274"/>
    <w:rsid w:val="008157B4"/>
    <w:rsid w:val="008158D0"/>
    <w:rsid w:val="00817288"/>
    <w:rsid w:val="0081736B"/>
    <w:rsid w:val="00817407"/>
    <w:rsid w:val="008174D2"/>
    <w:rsid w:val="00817A09"/>
    <w:rsid w:val="00817B10"/>
    <w:rsid w:val="00817C4C"/>
    <w:rsid w:val="00817D40"/>
    <w:rsid w:val="008200B1"/>
    <w:rsid w:val="008203CB"/>
    <w:rsid w:val="0082087C"/>
    <w:rsid w:val="008213BE"/>
    <w:rsid w:val="00821407"/>
    <w:rsid w:val="008217BA"/>
    <w:rsid w:val="00821A95"/>
    <w:rsid w:val="00821BD9"/>
    <w:rsid w:val="00821D28"/>
    <w:rsid w:val="00822D80"/>
    <w:rsid w:val="008237F1"/>
    <w:rsid w:val="00823BC8"/>
    <w:rsid w:val="008243B1"/>
    <w:rsid w:val="00824432"/>
    <w:rsid w:val="008254FB"/>
    <w:rsid w:val="0082555B"/>
    <w:rsid w:val="00825BF9"/>
    <w:rsid w:val="00825CC6"/>
    <w:rsid w:val="0082625C"/>
    <w:rsid w:val="00826487"/>
    <w:rsid w:val="00826636"/>
    <w:rsid w:val="00827146"/>
    <w:rsid w:val="00827357"/>
    <w:rsid w:val="00827AF4"/>
    <w:rsid w:val="00827B48"/>
    <w:rsid w:val="00830883"/>
    <w:rsid w:val="008323CD"/>
    <w:rsid w:val="00832A8D"/>
    <w:rsid w:val="0083320F"/>
    <w:rsid w:val="00834D65"/>
    <w:rsid w:val="008358DC"/>
    <w:rsid w:val="00835D0D"/>
    <w:rsid w:val="008363A2"/>
    <w:rsid w:val="00837CEE"/>
    <w:rsid w:val="0084190A"/>
    <w:rsid w:val="008429E4"/>
    <w:rsid w:val="00842ADA"/>
    <w:rsid w:val="00842FE1"/>
    <w:rsid w:val="008430F9"/>
    <w:rsid w:val="00843944"/>
    <w:rsid w:val="00843AD3"/>
    <w:rsid w:val="0084431A"/>
    <w:rsid w:val="00844F2C"/>
    <w:rsid w:val="008469A0"/>
    <w:rsid w:val="00846AA9"/>
    <w:rsid w:val="008506A0"/>
    <w:rsid w:val="00850798"/>
    <w:rsid w:val="008507E3"/>
    <w:rsid w:val="00850C29"/>
    <w:rsid w:val="008513F1"/>
    <w:rsid w:val="00851415"/>
    <w:rsid w:val="00851841"/>
    <w:rsid w:val="00851AD6"/>
    <w:rsid w:val="00851DCA"/>
    <w:rsid w:val="0085268C"/>
    <w:rsid w:val="00852756"/>
    <w:rsid w:val="00853218"/>
    <w:rsid w:val="0085363E"/>
    <w:rsid w:val="00853767"/>
    <w:rsid w:val="00853F58"/>
    <w:rsid w:val="00855165"/>
    <w:rsid w:val="00855321"/>
    <w:rsid w:val="0085573B"/>
    <w:rsid w:val="00855AB6"/>
    <w:rsid w:val="00855CEC"/>
    <w:rsid w:val="00855EAA"/>
    <w:rsid w:val="00856A7E"/>
    <w:rsid w:val="00857182"/>
    <w:rsid w:val="008618EE"/>
    <w:rsid w:val="00861B02"/>
    <w:rsid w:val="00861E0A"/>
    <w:rsid w:val="00862218"/>
    <w:rsid w:val="008625D9"/>
    <w:rsid w:val="00862CA0"/>
    <w:rsid w:val="0086342A"/>
    <w:rsid w:val="00863F7A"/>
    <w:rsid w:val="008645AA"/>
    <w:rsid w:val="00864740"/>
    <w:rsid w:val="008647A4"/>
    <w:rsid w:val="00864EE3"/>
    <w:rsid w:val="00865D43"/>
    <w:rsid w:val="00866D09"/>
    <w:rsid w:val="00867106"/>
    <w:rsid w:val="00867B96"/>
    <w:rsid w:val="00867DE9"/>
    <w:rsid w:val="00870275"/>
    <w:rsid w:val="0087216B"/>
    <w:rsid w:val="00872B8D"/>
    <w:rsid w:val="008733DC"/>
    <w:rsid w:val="0087343C"/>
    <w:rsid w:val="008750F0"/>
    <w:rsid w:val="0087630C"/>
    <w:rsid w:val="00876380"/>
    <w:rsid w:val="0087664B"/>
    <w:rsid w:val="00876D1E"/>
    <w:rsid w:val="0087708A"/>
    <w:rsid w:val="008806ED"/>
    <w:rsid w:val="00880C1F"/>
    <w:rsid w:val="008813D9"/>
    <w:rsid w:val="0088237A"/>
    <w:rsid w:val="0088251C"/>
    <w:rsid w:val="00884453"/>
    <w:rsid w:val="00885006"/>
    <w:rsid w:val="008856EE"/>
    <w:rsid w:val="00885D5D"/>
    <w:rsid w:val="00885EBF"/>
    <w:rsid w:val="00886269"/>
    <w:rsid w:val="00886DA3"/>
    <w:rsid w:val="00886F65"/>
    <w:rsid w:val="00887E79"/>
    <w:rsid w:val="0089010F"/>
    <w:rsid w:val="00890177"/>
    <w:rsid w:val="00891446"/>
    <w:rsid w:val="00891DCE"/>
    <w:rsid w:val="00892A31"/>
    <w:rsid w:val="00893086"/>
    <w:rsid w:val="008931EA"/>
    <w:rsid w:val="0089334B"/>
    <w:rsid w:val="00893535"/>
    <w:rsid w:val="0089491A"/>
    <w:rsid w:val="00894B84"/>
    <w:rsid w:val="00895609"/>
    <w:rsid w:val="008956BE"/>
    <w:rsid w:val="008957F2"/>
    <w:rsid w:val="00895B40"/>
    <w:rsid w:val="008969D8"/>
    <w:rsid w:val="00897C0B"/>
    <w:rsid w:val="008A1791"/>
    <w:rsid w:val="008A298A"/>
    <w:rsid w:val="008A2AC9"/>
    <w:rsid w:val="008A3158"/>
    <w:rsid w:val="008A343D"/>
    <w:rsid w:val="008A36AE"/>
    <w:rsid w:val="008A36D2"/>
    <w:rsid w:val="008A3A4E"/>
    <w:rsid w:val="008A3AAE"/>
    <w:rsid w:val="008A3B61"/>
    <w:rsid w:val="008A3C50"/>
    <w:rsid w:val="008A453F"/>
    <w:rsid w:val="008A4618"/>
    <w:rsid w:val="008A51D3"/>
    <w:rsid w:val="008A527C"/>
    <w:rsid w:val="008A53F5"/>
    <w:rsid w:val="008A5BDF"/>
    <w:rsid w:val="008A5CE8"/>
    <w:rsid w:val="008A68F1"/>
    <w:rsid w:val="008A6BFA"/>
    <w:rsid w:val="008B050C"/>
    <w:rsid w:val="008B0558"/>
    <w:rsid w:val="008B0591"/>
    <w:rsid w:val="008B07E9"/>
    <w:rsid w:val="008B0829"/>
    <w:rsid w:val="008B0CF0"/>
    <w:rsid w:val="008B17A1"/>
    <w:rsid w:val="008B1949"/>
    <w:rsid w:val="008B19EF"/>
    <w:rsid w:val="008B1A84"/>
    <w:rsid w:val="008B1BD1"/>
    <w:rsid w:val="008B2ACD"/>
    <w:rsid w:val="008B33F3"/>
    <w:rsid w:val="008B3C2A"/>
    <w:rsid w:val="008B421E"/>
    <w:rsid w:val="008B5265"/>
    <w:rsid w:val="008B558E"/>
    <w:rsid w:val="008B5A74"/>
    <w:rsid w:val="008B65CD"/>
    <w:rsid w:val="008B6862"/>
    <w:rsid w:val="008B6DA4"/>
    <w:rsid w:val="008B7771"/>
    <w:rsid w:val="008B7893"/>
    <w:rsid w:val="008B7F05"/>
    <w:rsid w:val="008C093F"/>
    <w:rsid w:val="008C1866"/>
    <w:rsid w:val="008C1DBA"/>
    <w:rsid w:val="008C32DE"/>
    <w:rsid w:val="008C3593"/>
    <w:rsid w:val="008C4A17"/>
    <w:rsid w:val="008C4D47"/>
    <w:rsid w:val="008C4F82"/>
    <w:rsid w:val="008C5A8F"/>
    <w:rsid w:val="008C5E01"/>
    <w:rsid w:val="008C69AD"/>
    <w:rsid w:val="008C7B43"/>
    <w:rsid w:val="008C7E1F"/>
    <w:rsid w:val="008D00CD"/>
    <w:rsid w:val="008D0237"/>
    <w:rsid w:val="008D0B84"/>
    <w:rsid w:val="008D1BD1"/>
    <w:rsid w:val="008D22AA"/>
    <w:rsid w:val="008D3471"/>
    <w:rsid w:val="008D40DA"/>
    <w:rsid w:val="008D4313"/>
    <w:rsid w:val="008D49DF"/>
    <w:rsid w:val="008D4AFA"/>
    <w:rsid w:val="008D4EF6"/>
    <w:rsid w:val="008D5225"/>
    <w:rsid w:val="008D5DC5"/>
    <w:rsid w:val="008D604A"/>
    <w:rsid w:val="008D6109"/>
    <w:rsid w:val="008D63C9"/>
    <w:rsid w:val="008D661F"/>
    <w:rsid w:val="008D6D56"/>
    <w:rsid w:val="008D758A"/>
    <w:rsid w:val="008E0A45"/>
    <w:rsid w:val="008E1101"/>
    <w:rsid w:val="008E1791"/>
    <w:rsid w:val="008E1CB9"/>
    <w:rsid w:val="008E251B"/>
    <w:rsid w:val="008E2597"/>
    <w:rsid w:val="008E2825"/>
    <w:rsid w:val="008E286E"/>
    <w:rsid w:val="008E29F5"/>
    <w:rsid w:val="008E454A"/>
    <w:rsid w:val="008E57B2"/>
    <w:rsid w:val="008E59CD"/>
    <w:rsid w:val="008E6F87"/>
    <w:rsid w:val="008E6F9E"/>
    <w:rsid w:val="008E706A"/>
    <w:rsid w:val="008E768E"/>
    <w:rsid w:val="008F03E4"/>
    <w:rsid w:val="008F0757"/>
    <w:rsid w:val="008F09E3"/>
    <w:rsid w:val="008F11B3"/>
    <w:rsid w:val="008F1884"/>
    <w:rsid w:val="008F2275"/>
    <w:rsid w:val="008F235B"/>
    <w:rsid w:val="008F2515"/>
    <w:rsid w:val="008F2B45"/>
    <w:rsid w:val="008F2B58"/>
    <w:rsid w:val="008F32EF"/>
    <w:rsid w:val="008F33B7"/>
    <w:rsid w:val="008F33DF"/>
    <w:rsid w:val="008F378F"/>
    <w:rsid w:val="008F37BC"/>
    <w:rsid w:val="008F4707"/>
    <w:rsid w:val="008F47D1"/>
    <w:rsid w:val="008F5A4E"/>
    <w:rsid w:val="008F67D5"/>
    <w:rsid w:val="008F6FB0"/>
    <w:rsid w:val="009004E6"/>
    <w:rsid w:val="009011DE"/>
    <w:rsid w:val="00901921"/>
    <w:rsid w:val="00902707"/>
    <w:rsid w:val="009027B8"/>
    <w:rsid w:val="00903E07"/>
    <w:rsid w:val="0090460E"/>
    <w:rsid w:val="00904D2F"/>
    <w:rsid w:val="00905209"/>
    <w:rsid w:val="0090556D"/>
    <w:rsid w:val="00905C1A"/>
    <w:rsid w:val="009060E1"/>
    <w:rsid w:val="0090628B"/>
    <w:rsid w:val="0090657E"/>
    <w:rsid w:val="00906E90"/>
    <w:rsid w:val="00906EBE"/>
    <w:rsid w:val="009071B9"/>
    <w:rsid w:val="009072E4"/>
    <w:rsid w:val="00907ACC"/>
    <w:rsid w:val="00907D5E"/>
    <w:rsid w:val="00907D71"/>
    <w:rsid w:val="00907DBB"/>
    <w:rsid w:val="00911CD9"/>
    <w:rsid w:val="00912533"/>
    <w:rsid w:val="009126A6"/>
    <w:rsid w:val="0091292C"/>
    <w:rsid w:val="00912E51"/>
    <w:rsid w:val="0091383B"/>
    <w:rsid w:val="00913985"/>
    <w:rsid w:val="00914B22"/>
    <w:rsid w:val="00916087"/>
    <w:rsid w:val="0091727F"/>
    <w:rsid w:val="00920087"/>
    <w:rsid w:val="009202CF"/>
    <w:rsid w:val="00920481"/>
    <w:rsid w:val="009204E1"/>
    <w:rsid w:val="0092158B"/>
    <w:rsid w:val="00921A15"/>
    <w:rsid w:val="0092218E"/>
    <w:rsid w:val="009224C0"/>
    <w:rsid w:val="0092384E"/>
    <w:rsid w:val="009242E6"/>
    <w:rsid w:val="00924A67"/>
    <w:rsid w:val="00924D32"/>
    <w:rsid w:val="00925212"/>
    <w:rsid w:val="0092550D"/>
    <w:rsid w:val="009256AD"/>
    <w:rsid w:val="00925AE9"/>
    <w:rsid w:val="00925D8C"/>
    <w:rsid w:val="009261D5"/>
    <w:rsid w:val="00926376"/>
    <w:rsid w:val="00926BA1"/>
    <w:rsid w:val="0092706C"/>
    <w:rsid w:val="00930168"/>
    <w:rsid w:val="00930402"/>
    <w:rsid w:val="009306A4"/>
    <w:rsid w:val="0093103E"/>
    <w:rsid w:val="00931B5B"/>
    <w:rsid w:val="00931C8B"/>
    <w:rsid w:val="00931F62"/>
    <w:rsid w:val="009327B0"/>
    <w:rsid w:val="009335D1"/>
    <w:rsid w:val="00933677"/>
    <w:rsid w:val="00933E62"/>
    <w:rsid w:val="00934499"/>
    <w:rsid w:val="00934857"/>
    <w:rsid w:val="00934E21"/>
    <w:rsid w:val="00935E8B"/>
    <w:rsid w:val="009371DA"/>
    <w:rsid w:val="0093772B"/>
    <w:rsid w:val="009378BF"/>
    <w:rsid w:val="00940936"/>
    <w:rsid w:val="0094130C"/>
    <w:rsid w:val="009432E0"/>
    <w:rsid w:val="00943901"/>
    <w:rsid w:val="0094418C"/>
    <w:rsid w:val="00944221"/>
    <w:rsid w:val="009443C8"/>
    <w:rsid w:val="00944BCC"/>
    <w:rsid w:val="009459B7"/>
    <w:rsid w:val="00945C94"/>
    <w:rsid w:val="00947900"/>
    <w:rsid w:val="00950183"/>
    <w:rsid w:val="00950400"/>
    <w:rsid w:val="00950BC6"/>
    <w:rsid w:val="00951D27"/>
    <w:rsid w:val="00952542"/>
    <w:rsid w:val="00952EEC"/>
    <w:rsid w:val="009530E2"/>
    <w:rsid w:val="009530FF"/>
    <w:rsid w:val="0095360E"/>
    <w:rsid w:val="00953F61"/>
    <w:rsid w:val="009548C0"/>
    <w:rsid w:val="0095494B"/>
    <w:rsid w:val="009555CE"/>
    <w:rsid w:val="00955A46"/>
    <w:rsid w:val="00955BCB"/>
    <w:rsid w:val="00955C26"/>
    <w:rsid w:val="00955D98"/>
    <w:rsid w:val="00955E3B"/>
    <w:rsid w:val="00956138"/>
    <w:rsid w:val="0095744D"/>
    <w:rsid w:val="00961234"/>
    <w:rsid w:val="00961421"/>
    <w:rsid w:val="00961A11"/>
    <w:rsid w:val="00961EA2"/>
    <w:rsid w:val="009625C6"/>
    <w:rsid w:val="00963BAF"/>
    <w:rsid w:val="00964212"/>
    <w:rsid w:val="009645F7"/>
    <w:rsid w:val="00964794"/>
    <w:rsid w:val="00964863"/>
    <w:rsid w:val="00964ECA"/>
    <w:rsid w:val="00964F38"/>
    <w:rsid w:val="0096588F"/>
    <w:rsid w:val="00965A2F"/>
    <w:rsid w:val="009660EF"/>
    <w:rsid w:val="00966336"/>
    <w:rsid w:val="00966D5C"/>
    <w:rsid w:val="00966D85"/>
    <w:rsid w:val="009703DC"/>
    <w:rsid w:val="00970D03"/>
    <w:rsid w:val="00970F77"/>
    <w:rsid w:val="009721C1"/>
    <w:rsid w:val="00972A55"/>
    <w:rsid w:val="00972FB8"/>
    <w:rsid w:val="00973F50"/>
    <w:rsid w:val="009745E1"/>
    <w:rsid w:val="009759DB"/>
    <w:rsid w:val="00976C80"/>
    <w:rsid w:val="0097725D"/>
    <w:rsid w:val="00977B99"/>
    <w:rsid w:val="0098064C"/>
    <w:rsid w:val="009814E7"/>
    <w:rsid w:val="0098175C"/>
    <w:rsid w:val="00981A5D"/>
    <w:rsid w:val="0098282D"/>
    <w:rsid w:val="00982848"/>
    <w:rsid w:val="0098292B"/>
    <w:rsid w:val="00983A6B"/>
    <w:rsid w:val="00983CA8"/>
    <w:rsid w:val="00984597"/>
    <w:rsid w:val="0098494E"/>
    <w:rsid w:val="00984DAD"/>
    <w:rsid w:val="00985A18"/>
    <w:rsid w:val="00986975"/>
    <w:rsid w:val="00986ECD"/>
    <w:rsid w:val="00986FBA"/>
    <w:rsid w:val="00987223"/>
    <w:rsid w:val="00987732"/>
    <w:rsid w:val="00987E95"/>
    <w:rsid w:val="00987FE4"/>
    <w:rsid w:val="00990825"/>
    <w:rsid w:val="00990A02"/>
    <w:rsid w:val="00990AEC"/>
    <w:rsid w:val="009922EF"/>
    <w:rsid w:val="00993C26"/>
    <w:rsid w:val="00993D5F"/>
    <w:rsid w:val="009948A4"/>
    <w:rsid w:val="00994BAD"/>
    <w:rsid w:val="00994F63"/>
    <w:rsid w:val="009952A1"/>
    <w:rsid w:val="00996801"/>
    <w:rsid w:val="009975DF"/>
    <w:rsid w:val="00997654"/>
    <w:rsid w:val="00997B93"/>
    <w:rsid w:val="00997C34"/>
    <w:rsid w:val="009A0474"/>
    <w:rsid w:val="009A0DB9"/>
    <w:rsid w:val="009A0F28"/>
    <w:rsid w:val="009A1EF3"/>
    <w:rsid w:val="009A24C1"/>
    <w:rsid w:val="009A2842"/>
    <w:rsid w:val="009A29ED"/>
    <w:rsid w:val="009A2F12"/>
    <w:rsid w:val="009A305F"/>
    <w:rsid w:val="009A308F"/>
    <w:rsid w:val="009A3C73"/>
    <w:rsid w:val="009A43D9"/>
    <w:rsid w:val="009A45D8"/>
    <w:rsid w:val="009A4776"/>
    <w:rsid w:val="009A48A3"/>
    <w:rsid w:val="009A4C33"/>
    <w:rsid w:val="009A4EF8"/>
    <w:rsid w:val="009A5128"/>
    <w:rsid w:val="009A52C5"/>
    <w:rsid w:val="009A5587"/>
    <w:rsid w:val="009A56C3"/>
    <w:rsid w:val="009A65BA"/>
    <w:rsid w:val="009A6805"/>
    <w:rsid w:val="009A6C8C"/>
    <w:rsid w:val="009A70A1"/>
    <w:rsid w:val="009A720F"/>
    <w:rsid w:val="009B1157"/>
    <w:rsid w:val="009B1430"/>
    <w:rsid w:val="009B1E5C"/>
    <w:rsid w:val="009B1EC9"/>
    <w:rsid w:val="009B292E"/>
    <w:rsid w:val="009B2C35"/>
    <w:rsid w:val="009B2D0A"/>
    <w:rsid w:val="009B2E18"/>
    <w:rsid w:val="009B3CE1"/>
    <w:rsid w:val="009B4646"/>
    <w:rsid w:val="009B5B94"/>
    <w:rsid w:val="009B5E01"/>
    <w:rsid w:val="009B60A2"/>
    <w:rsid w:val="009B65AC"/>
    <w:rsid w:val="009B687D"/>
    <w:rsid w:val="009B6A0B"/>
    <w:rsid w:val="009B72B3"/>
    <w:rsid w:val="009B746F"/>
    <w:rsid w:val="009B7A07"/>
    <w:rsid w:val="009C042B"/>
    <w:rsid w:val="009C06FC"/>
    <w:rsid w:val="009C09C4"/>
    <w:rsid w:val="009C120D"/>
    <w:rsid w:val="009C1A83"/>
    <w:rsid w:val="009C1CC7"/>
    <w:rsid w:val="009C217F"/>
    <w:rsid w:val="009C436F"/>
    <w:rsid w:val="009C4428"/>
    <w:rsid w:val="009C48E3"/>
    <w:rsid w:val="009C4BD2"/>
    <w:rsid w:val="009C564F"/>
    <w:rsid w:val="009C63ED"/>
    <w:rsid w:val="009C6940"/>
    <w:rsid w:val="009D0355"/>
    <w:rsid w:val="009D278B"/>
    <w:rsid w:val="009D29CD"/>
    <w:rsid w:val="009D3AAD"/>
    <w:rsid w:val="009D3F8D"/>
    <w:rsid w:val="009D41BA"/>
    <w:rsid w:val="009D549B"/>
    <w:rsid w:val="009D650C"/>
    <w:rsid w:val="009D6F06"/>
    <w:rsid w:val="009D7C5A"/>
    <w:rsid w:val="009E2232"/>
    <w:rsid w:val="009E2340"/>
    <w:rsid w:val="009E23AB"/>
    <w:rsid w:val="009E2733"/>
    <w:rsid w:val="009E27B2"/>
    <w:rsid w:val="009E29F3"/>
    <w:rsid w:val="009E2B12"/>
    <w:rsid w:val="009E3ADD"/>
    <w:rsid w:val="009E3ED5"/>
    <w:rsid w:val="009E4EF8"/>
    <w:rsid w:val="009E4F59"/>
    <w:rsid w:val="009E56FC"/>
    <w:rsid w:val="009E5A81"/>
    <w:rsid w:val="009E5AAB"/>
    <w:rsid w:val="009E6D6D"/>
    <w:rsid w:val="009E6E7F"/>
    <w:rsid w:val="009E6FE5"/>
    <w:rsid w:val="009E7686"/>
    <w:rsid w:val="009E7725"/>
    <w:rsid w:val="009E7860"/>
    <w:rsid w:val="009E7A9D"/>
    <w:rsid w:val="009F0FA0"/>
    <w:rsid w:val="009F1C1F"/>
    <w:rsid w:val="009F20B5"/>
    <w:rsid w:val="009F21F4"/>
    <w:rsid w:val="009F24A3"/>
    <w:rsid w:val="009F250D"/>
    <w:rsid w:val="009F268B"/>
    <w:rsid w:val="009F496F"/>
    <w:rsid w:val="009F4BE9"/>
    <w:rsid w:val="009F5C99"/>
    <w:rsid w:val="009F61CE"/>
    <w:rsid w:val="009F6570"/>
    <w:rsid w:val="009F7263"/>
    <w:rsid w:val="009F7E89"/>
    <w:rsid w:val="00A01CE9"/>
    <w:rsid w:val="00A024C7"/>
    <w:rsid w:val="00A0278A"/>
    <w:rsid w:val="00A028C6"/>
    <w:rsid w:val="00A02D9E"/>
    <w:rsid w:val="00A02FF9"/>
    <w:rsid w:val="00A030C2"/>
    <w:rsid w:val="00A0423D"/>
    <w:rsid w:val="00A0507F"/>
    <w:rsid w:val="00A05962"/>
    <w:rsid w:val="00A060AF"/>
    <w:rsid w:val="00A068E4"/>
    <w:rsid w:val="00A10787"/>
    <w:rsid w:val="00A10B9E"/>
    <w:rsid w:val="00A10EDF"/>
    <w:rsid w:val="00A118DE"/>
    <w:rsid w:val="00A11BEC"/>
    <w:rsid w:val="00A11D2B"/>
    <w:rsid w:val="00A124D5"/>
    <w:rsid w:val="00A12B36"/>
    <w:rsid w:val="00A14CC2"/>
    <w:rsid w:val="00A15E67"/>
    <w:rsid w:val="00A15F05"/>
    <w:rsid w:val="00A1622C"/>
    <w:rsid w:val="00A16A88"/>
    <w:rsid w:val="00A16C2F"/>
    <w:rsid w:val="00A170B1"/>
    <w:rsid w:val="00A17E26"/>
    <w:rsid w:val="00A208BA"/>
    <w:rsid w:val="00A20C4F"/>
    <w:rsid w:val="00A20D79"/>
    <w:rsid w:val="00A219D5"/>
    <w:rsid w:val="00A21A20"/>
    <w:rsid w:val="00A21DD2"/>
    <w:rsid w:val="00A220DA"/>
    <w:rsid w:val="00A2215C"/>
    <w:rsid w:val="00A22405"/>
    <w:rsid w:val="00A22951"/>
    <w:rsid w:val="00A244C2"/>
    <w:rsid w:val="00A24BCC"/>
    <w:rsid w:val="00A24FF5"/>
    <w:rsid w:val="00A2535A"/>
    <w:rsid w:val="00A253B4"/>
    <w:rsid w:val="00A25893"/>
    <w:rsid w:val="00A25A3E"/>
    <w:rsid w:val="00A2616B"/>
    <w:rsid w:val="00A2729B"/>
    <w:rsid w:val="00A27398"/>
    <w:rsid w:val="00A275B2"/>
    <w:rsid w:val="00A276DC"/>
    <w:rsid w:val="00A27FEC"/>
    <w:rsid w:val="00A31967"/>
    <w:rsid w:val="00A31F19"/>
    <w:rsid w:val="00A32383"/>
    <w:rsid w:val="00A3297C"/>
    <w:rsid w:val="00A33005"/>
    <w:rsid w:val="00A34AB2"/>
    <w:rsid w:val="00A35389"/>
    <w:rsid w:val="00A354E6"/>
    <w:rsid w:val="00A36AA3"/>
    <w:rsid w:val="00A36C13"/>
    <w:rsid w:val="00A36CF0"/>
    <w:rsid w:val="00A40256"/>
    <w:rsid w:val="00A404BD"/>
    <w:rsid w:val="00A40C3F"/>
    <w:rsid w:val="00A410BC"/>
    <w:rsid w:val="00A4243F"/>
    <w:rsid w:val="00A42CBE"/>
    <w:rsid w:val="00A42F53"/>
    <w:rsid w:val="00A44BB4"/>
    <w:rsid w:val="00A4509F"/>
    <w:rsid w:val="00A45B71"/>
    <w:rsid w:val="00A45E26"/>
    <w:rsid w:val="00A46764"/>
    <w:rsid w:val="00A46905"/>
    <w:rsid w:val="00A5039C"/>
    <w:rsid w:val="00A505EE"/>
    <w:rsid w:val="00A50B11"/>
    <w:rsid w:val="00A519B6"/>
    <w:rsid w:val="00A51ED1"/>
    <w:rsid w:val="00A5240B"/>
    <w:rsid w:val="00A52690"/>
    <w:rsid w:val="00A54486"/>
    <w:rsid w:val="00A546CE"/>
    <w:rsid w:val="00A5506A"/>
    <w:rsid w:val="00A5524A"/>
    <w:rsid w:val="00A55586"/>
    <w:rsid w:val="00A55A09"/>
    <w:rsid w:val="00A55A47"/>
    <w:rsid w:val="00A56564"/>
    <w:rsid w:val="00A57977"/>
    <w:rsid w:val="00A5799F"/>
    <w:rsid w:val="00A57C19"/>
    <w:rsid w:val="00A6067A"/>
    <w:rsid w:val="00A627EB"/>
    <w:rsid w:val="00A63EBD"/>
    <w:rsid w:val="00A6413A"/>
    <w:rsid w:val="00A6422B"/>
    <w:rsid w:val="00A64646"/>
    <w:rsid w:val="00A66A3B"/>
    <w:rsid w:val="00A66BBF"/>
    <w:rsid w:val="00A66E3A"/>
    <w:rsid w:val="00A66E85"/>
    <w:rsid w:val="00A67268"/>
    <w:rsid w:val="00A6744A"/>
    <w:rsid w:val="00A719BF"/>
    <w:rsid w:val="00A722AC"/>
    <w:rsid w:val="00A73818"/>
    <w:rsid w:val="00A73E9B"/>
    <w:rsid w:val="00A74081"/>
    <w:rsid w:val="00A74266"/>
    <w:rsid w:val="00A751C6"/>
    <w:rsid w:val="00A75392"/>
    <w:rsid w:val="00A758B8"/>
    <w:rsid w:val="00A7624C"/>
    <w:rsid w:val="00A774A9"/>
    <w:rsid w:val="00A7787A"/>
    <w:rsid w:val="00A77B63"/>
    <w:rsid w:val="00A8012E"/>
    <w:rsid w:val="00A80306"/>
    <w:rsid w:val="00A803AD"/>
    <w:rsid w:val="00A809B4"/>
    <w:rsid w:val="00A80A27"/>
    <w:rsid w:val="00A80F4E"/>
    <w:rsid w:val="00A826CE"/>
    <w:rsid w:val="00A828DB"/>
    <w:rsid w:val="00A82D9C"/>
    <w:rsid w:val="00A82F24"/>
    <w:rsid w:val="00A82FC3"/>
    <w:rsid w:val="00A83146"/>
    <w:rsid w:val="00A83CDE"/>
    <w:rsid w:val="00A8465C"/>
    <w:rsid w:val="00A851E8"/>
    <w:rsid w:val="00A85431"/>
    <w:rsid w:val="00A85F9D"/>
    <w:rsid w:val="00A90ABC"/>
    <w:rsid w:val="00A90F22"/>
    <w:rsid w:val="00A92588"/>
    <w:rsid w:val="00A9289E"/>
    <w:rsid w:val="00A92B92"/>
    <w:rsid w:val="00A92BE3"/>
    <w:rsid w:val="00A9346F"/>
    <w:rsid w:val="00A93944"/>
    <w:rsid w:val="00A9445C"/>
    <w:rsid w:val="00A95569"/>
    <w:rsid w:val="00A956E2"/>
    <w:rsid w:val="00A958D5"/>
    <w:rsid w:val="00A95D39"/>
    <w:rsid w:val="00A95D8B"/>
    <w:rsid w:val="00A962CB"/>
    <w:rsid w:val="00A96484"/>
    <w:rsid w:val="00A96731"/>
    <w:rsid w:val="00A97AC3"/>
    <w:rsid w:val="00A97EE5"/>
    <w:rsid w:val="00A97FBB"/>
    <w:rsid w:val="00AA02E7"/>
    <w:rsid w:val="00AA04DD"/>
    <w:rsid w:val="00AA05BE"/>
    <w:rsid w:val="00AA0B3A"/>
    <w:rsid w:val="00AA1360"/>
    <w:rsid w:val="00AA143B"/>
    <w:rsid w:val="00AA14DE"/>
    <w:rsid w:val="00AA22B5"/>
    <w:rsid w:val="00AA41D2"/>
    <w:rsid w:val="00AA4617"/>
    <w:rsid w:val="00AA4DF6"/>
    <w:rsid w:val="00AA5141"/>
    <w:rsid w:val="00AA57B2"/>
    <w:rsid w:val="00AA5E5D"/>
    <w:rsid w:val="00AA65A6"/>
    <w:rsid w:val="00AA679B"/>
    <w:rsid w:val="00AA721E"/>
    <w:rsid w:val="00AA733A"/>
    <w:rsid w:val="00AB041A"/>
    <w:rsid w:val="00AB0512"/>
    <w:rsid w:val="00AB113D"/>
    <w:rsid w:val="00AB1378"/>
    <w:rsid w:val="00AB2AC3"/>
    <w:rsid w:val="00AB2ED7"/>
    <w:rsid w:val="00AB3A43"/>
    <w:rsid w:val="00AB3CEA"/>
    <w:rsid w:val="00AB3D81"/>
    <w:rsid w:val="00AB3EF9"/>
    <w:rsid w:val="00AB5AD7"/>
    <w:rsid w:val="00AB5E89"/>
    <w:rsid w:val="00AB6279"/>
    <w:rsid w:val="00AB6547"/>
    <w:rsid w:val="00AB6F58"/>
    <w:rsid w:val="00AC067E"/>
    <w:rsid w:val="00AC0A29"/>
    <w:rsid w:val="00AC0BA0"/>
    <w:rsid w:val="00AC1402"/>
    <w:rsid w:val="00AC1ECA"/>
    <w:rsid w:val="00AC290B"/>
    <w:rsid w:val="00AC3697"/>
    <w:rsid w:val="00AC3B66"/>
    <w:rsid w:val="00AC3F86"/>
    <w:rsid w:val="00AC4976"/>
    <w:rsid w:val="00AC57F6"/>
    <w:rsid w:val="00AC7207"/>
    <w:rsid w:val="00AC72EE"/>
    <w:rsid w:val="00AC7615"/>
    <w:rsid w:val="00AC7EE5"/>
    <w:rsid w:val="00AC7FD3"/>
    <w:rsid w:val="00AD0AD6"/>
    <w:rsid w:val="00AD1E5F"/>
    <w:rsid w:val="00AD1FA2"/>
    <w:rsid w:val="00AD33C7"/>
    <w:rsid w:val="00AD38BF"/>
    <w:rsid w:val="00AD48F6"/>
    <w:rsid w:val="00AD4D05"/>
    <w:rsid w:val="00AD58E0"/>
    <w:rsid w:val="00AD5E33"/>
    <w:rsid w:val="00AD6523"/>
    <w:rsid w:val="00AD6731"/>
    <w:rsid w:val="00AD74E5"/>
    <w:rsid w:val="00AE10BD"/>
    <w:rsid w:val="00AE1579"/>
    <w:rsid w:val="00AE2334"/>
    <w:rsid w:val="00AE2456"/>
    <w:rsid w:val="00AE2A9D"/>
    <w:rsid w:val="00AE3210"/>
    <w:rsid w:val="00AE33DC"/>
    <w:rsid w:val="00AE436F"/>
    <w:rsid w:val="00AE4446"/>
    <w:rsid w:val="00AE4C7B"/>
    <w:rsid w:val="00AE619E"/>
    <w:rsid w:val="00AE6CCD"/>
    <w:rsid w:val="00AE6E7D"/>
    <w:rsid w:val="00AF037F"/>
    <w:rsid w:val="00AF067E"/>
    <w:rsid w:val="00AF10D8"/>
    <w:rsid w:val="00AF27DD"/>
    <w:rsid w:val="00AF29BF"/>
    <w:rsid w:val="00AF3C51"/>
    <w:rsid w:val="00AF40CE"/>
    <w:rsid w:val="00AF472B"/>
    <w:rsid w:val="00AF4C9D"/>
    <w:rsid w:val="00AF4DC4"/>
    <w:rsid w:val="00AF4DD7"/>
    <w:rsid w:val="00AF5325"/>
    <w:rsid w:val="00AF54A8"/>
    <w:rsid w:val="00AF576B"/>
    <w:rsid w:val="00AF57E3"/>
    <w:rsid w:val="00AF5BEB"/>
    <w:rsid w:val="00AF64D5"/>
    <w:rsid w:val="00AF6FED"/>
    <w:rsid w:val="00B0015A"/>
    <w:rsid w:val="00B0136F"/>
    <w:rsid w:val="00B02254"/>
    <w:rsid w:val="00B03174"/>
    <w:rsid w:val="00B031FA"/>
    <w:rsid w:val="00B04C6D"/>
    <w:rsid w:val="00B04DCA"/>
    <w:rsid w:val="00B050E7"/>
    <w:rsid w:val="00B057B6"/>
    <w:rsid w:val="00B063EA"/>
    <w:rsid w:val="00B0750E"/>
    <w:rsid w:val="00B076A1"/>
    <w:rsid w:val="00B10326"/>
    <w:rsid w:val="00B106E9"/>
    <w:rsid w:val="00B10BAD"/>
    <w:rsid w:val="00B10C8B"/>
    <w:rsid w:val="00B112A4"/>
    <w:rsid w:val="00B118AB"/>
    <w:rsid w:val="00B119EF"/>
    <w:rsid w:val="00B122CC"/>
    <w:rsid w:val="00B1236D"/>
    <w:rsid w:val="00B123A6"/>
    <w:rsid w:val="00B1243A"/>
    <w:rsid w:val="00B133EA"/>
    <w:rsid w:val="00B14DC9"/>
    <w:rsid w:val="00B14E2C"/>
    <w:rsid w:val="00B150D2"/>
    <w:rsid w:val="00B15829"/>
    <w:rsid w:val="00B15F88"/>
    <w:rsid w:val="00B16E59"/>
    <w:rsid w:val="00B1743C"/>
    <w:rsid w:val="00B17849"/>
    <w:rsid w:val="00B17F9B"/>
    <w:rsid w:val="00B2074B"/>
    <w:rsid w:val="00B20BCE"/>
    <w:rsid w:val="00B2187C"/>
    <w:rsid w:val="00B22813"/>
    <w:rsid w:val="00B22853"/>
    <w:rsid w:val="00B22E4B"/>
    <w:rsid w:val="00B22E6D"/>
    <w:rsid w:val="00B244A2"/>
    <w:rsid w:val="00B24A46"/>
    <w:rsid w:val="00B24D38"/>
    <w:rsid w:val="00B26055"/>
    <w:rsid w:val="00B26686"/>
    <w:rsid w:val="00B27531"/>
    <w:rsid w:val="00B2773F"/>
    <w:rsid w:val="00B27F20"/>
    <w:rsid w:val="00B30B3D"/>
    <w:rsid w:val="00B312A1"/>
    <w:rsid w:val="00B32027"/>
    <w:rsid w:val="00B323DF"/>
    <w:rsid w:val="00B328E2"/>
    <w:rsid w:val="00B32D93"/>
    <w:rsid w:val="00B33CAD"/>
    <w:rsid w:val="00B341AC"/>
    <w:rsid w:val="00B34AC2"/>
    <w:rsid w:val="00B355DC"/>
    <w:rsid w:val="00B3568B"/>
    <w:rsid w:val="00B363A8"/>
    <w:rsid w:val="00B365D7"/>
    <w:rsid w:val="00B36AB0"/>
    <w:rsid w:val="00B36C07"/>
    <w:rsid w:val="00B36D11"/>
    <w:rsid w:val="00B36D8B"/>
    <w:rsid w:val="00B40542"/>
    <w:rsid w:val="00B407FD"/>
    <w:rsid w:val="00B41610"/>
    <w:rsid w:val="00B418F5"/>
    <w:rsid w:val="00B41D8F"/>
    <w:rsid w:val="00B41FEF"/>
    <w:rsid w:val="00B421E6"/>
    <w:rsid w:val="00B4281D"/>
    <w:rsid w:val="00B43145"/>
    <w:rsid w:val="00B43163"/>
    <w:rsid w:val="00B43A21"/>
    <w:rsid w:val="00B43A65"/>
    <w:rsid w:val="00B44F00"/>
    <w:rsid w:val="00B44FF4"/>
    <w:rsid w:val="00B450CB"/>
    <w:rsid w:val="00B453C7"/>
    <w:rsid w:val="00B4565F"/>
    <w:rsid w:val="00B465E0"/>
    <w:rsid w:val="00B476E2"/>
    <w:rsid w:val="00B47BBE"/>
    <w:rsid w:val="00B502F2"/>
    <w:rsid w:val="00B51900"/>
    <w:rsid w:val="00B51FBE"/>
    <w:rsid w:val="00B520A7"/>
    <w:rsid w:val="00B5251E"/>
    <w:rsid w:val="00B52BA4"/>
    <w:rsid w:val="00B52D76"/>
    <w:rsid w:val="00B52E71"/>
    <w:rsid w:val="00B5429D"/>
    <w:rsid w:val="00B54A5A"/>
    <w:rsid w:val="00B54AC7"/>
    <w:rsid w:val="00B54F5A"/>
    <w:rsid w:val="00B55027"/>
    <w:rsid w:val="00B5512E"/>
    <w:rsid w:val="00B556FF"/>
    <w:rsid w:val="00B558E9"/>
    <w:rsid w:val="00B567FD"/>
    <w:rsid w:val="00B56AEF"/>
    <w:rsid w:val="00B57213"/>
    <w:rsid w:val="00B5738F"/>
    <w:rsid w:val="00B57499"/>
    <w:rsid w:val="00B574BF"/>
    <w:rsid w:val="00B57BFC"/>
    <w:rsid w:val="00B60F02"/>
    <w:rsid w:val="00B611B6"/>
    <w:rsid w:val="00B611ED"/>
    <w:rsid w:val="00B6199C"/>
    <w:rsid w:val="00B61A68"/>
    <w:rsid w:val="00B61B29"/>
    <w:rsid w:val="00B62734"/>
    <w:rsid w:val="00B62AFF"/>
    <w:rsid w:val="00B62BF2"/>
    <w:rsid w:val="00B646AE"/>
    <w:rsid w:val="00B64D2A"/>
    <w:rsid w:val="00B650F6"/>
    <w:rsid w:val="00B65619"/>
    <w:rsid w:val="00B662C4"/>
    <w:rsid w:val="00B668B1"/>
    <w:rsid w:val="00B66EA6"/>
    <w:rsid w:val="00B6703A"/>
    <w:rsid w:val="00B671B2"/>
    <w:rsid w:val="00B67D1D"/>
    <w:rsid w:val="00B7004D"/>
    <w:rsid w:val="00B70D4F"/>
    <w:rsid w:val="00B733D1"/>
    <w:rsid w:val="00B735BC"/>
    <w:rsid w:val="00B736B1"/>
    <w:rsid w:val="00B73975"/>
    <w:rsid w:val="00B740F2"/>
    <w:rsid w:val="00B74815"/>
    <w:rsid w:val="00B75FF5"/>
    <w:rsid w:val="00B766E4"/>
    <w:rsid w:val="00B76DCF"/>
    <w:rsid w:val="00B772ED"/>
    <w:rsid w:val="00B77C1D"/>
    <w:rsid w:val="00B77C48"/>
    <w:rsid w:val="00B800DC"/>
    <w:rsid w:val="00B80B16"/>
    <w:rsid w:val="00B80B6F"/>
    <w:rsid w:val="00B816DE"/>
    <w:rsid w:val="00B830E9"/>
    <w:rsid w:val="00B832A5"/>
    <w:rsid w:val="00B83BB1"/>
    <w:rsid w:val="00B8445E"/>
    <w:rsid w:val="00B8476F"/>
    <w:rsid w:val="00B85146"/>
    <w:rsid w:val="00B85277"/>
    <w:rsid w:val="00B858DC"/>
    <w:rsid w:val="00B8591E"/>
    <w:rsid w:val="00B85D04"/>
    <w:rsid w:val="00B869E9"/>
    <w:rsid w:val="00B86DDA"/>
    <w:rsid w:val="00B8731A"/>
    <w:rsid w:val="00B876FD"/>
    <w:rsid w:val="00B87E75"/>
    <w:rsid w:val="00B900C7"/>
    <w:rsid w:val="00B9129A"/>
    <w:rsid w:val="00B919BD"/>
    <w:rsid w:val="00B91E55"/>
    <w:rsid w:val="00B92CD6"/>
    <w:rsid w:val="00B92DD1"/>
    <w:rsid w:val="00B930E1"/>
    <w:rsid w:val="00B932EE"/>
    <w:rsid w:val="00B9402D"/>
    <w:rsid w:val="00B941FD"/>
    <w:rsid w:val="00B94FC1"/>
    <w:rsid w:val="00B950A0"/>
    <w:rsid w:val="00B952BE"/>
    <w:rsid w:val="00B9561C"/>
    <w:rsid w:val="00B96E62"/>
    <w:rsid w:val="00B978C7"/>
    <w:rsid w:val="00B97F69"/>
    <w:rsid w:val="00BA03D9"/>
    <w:rsid w:val="00BA092A"/>
    <w:rsid w:val="00BA1567"/>
    <w:rsid w:val="00BA2C17"/>
    <w:rsid w:val="00BA2E7F"/>
    <w:rsid w:val="00BA332D"/>
    <w:rsid w:val="00BA427A"/>
    <w:rsid w:val="00BA48C6"/>
    <w:rsid w:val="00BA49D5"/>
    <w:rsid w:val="00BA4D10"/>
    <w:rsid w:val="00BA5DED"/>
    <w:rsid w:val="00BA6FAD"/>
    <w:rsid w:val="00BA7321"/>
    <w:rsid w:val="00BA75C9"/>
    <w:rsid w:val="00BB022E"/>
    <w:rsid w:val="00BB0FDC"/>
    <w:rsid w:val="00BB190A"/>
    <w:rsid w:val="00BB259E"/>
    <w:rsid w:val="00BB32D0"/>
    <w:rsid w:val="00BB3696"/>
    <w:rsid w:val="00BB3C1A"/>
    <w:rsid w:val="00BB3DE2"/>
    <w:rsid w:val="00BB3ED7"/>
    <w:rsid w:val="00BB3FCD"/>
    <w:rsid w:val="00BB41D3"/>
    <w:rsid w:val="00BB4641"/>
    <w:rsid w:val="00BB4FDF"/>
    <w:rsid w:val="00BB5225"/>
    <w:rsid w:val="00BB57CC"/>
    <w:rsid w:val="00BB65A6"/>
    <w:rsid w:val="00BB698A"/>
    <w:rsid w:val="00BB6A12"/>
    <w:rsid w:val="00BB76D2"/>
    <w:rsid w:val="00BB7731"/>
    <w:rsid w:val="00BB7EDB"/>
    <w:rsid w:val="00BC08F5"/>
    <w:rsid w:val="00BC1893"/>
    <w:rsid w:val="00BC1B34"/>
    <w:rsid w:val="00BC2C73"/>
    <w:rsid w:val="00BC2D5E"/>
    <w:rsid w:val="00BC34CB"/>
    <w:rsid w:val="00BC40B3"/>
    <w:rsid w:val="00BC4203"/>
    <w:rsid w:val="00BC4BA0"/>
    <w:rsid w:val="00BC533A"/>
    <w:rsid w:val="00BC5BFF"/>
    <w:rsid w:val="00BC5C92"/>
    <w:rsid w:val="00BC65AF"/>
    <w:rsid w:val="00BC7065"/>
    <w:rsid w:val="00BC7561"/>
    <w:rsid w:val="00BC7719"/>
    <w:rsid w:val="00BD0549"/>
    <w:rsid w:val="00BD0DCE"/>
    <w:rsid w:val="00BD10B5"/>
    <w:rsid w:val="00BD1963"/>
    <w:rsid w:val="00BD1C7A"/>
    <w:rsid w:val="00BD28D1"/>
    <w:rsid w:val="00BD2CD6"/>
    <w:rsid w:val="00BD3528"/>
    <w:rsid w:val="00BD35E7"/>
    <w:rsid w:val="00BD3989"/>
    <w:rsid w:val="00BD4188"/>
    <w:rsid w:val="00BD4531"/>
    <w:rsid w:val="00BD46F8"/>
    <w:rsid w:val="00BD4CD6"/>
    <w:rsid w:val="00BD57D5"/>
    <w:rsid w:val="00BD581F"/>
    <w:rsid w:val="00BD5AC2"/>
    <w:rsid w:val="00BD5B28"/>
    <w:rsid w:val="00BD6785"/>
    <w:rsid w:val="00BD6ACB"/>
    <w:rsid w:val="00BD6B2A"/>
    <w:rsid w:val="00BD6E9B"/>
    <w:rsid w:val="00BD75D9"/>
    <w:rsid w:val="00BD7752"/>
    <w:rsid w:val="00BD7AC0"/>
    <w:rsid w:val="00BD7D2A"/>
    <w:rsid w:val="00BE0BFC"/>
    <w:rsid w:val="00BE139B"/>
    <w:rsid w:val="00BE2106"/>
    <w:rsid w:val="00BE2130"/>
    <w:rsid w:val="00BE2796"/>
    <w:rsid w:val="00BE3360"/>
    <w:rsid w:val="00BE4161"/>
    <w:rsid w:val="00BE41B5"/>
    <w:rsid w:val="00BE49F3"/>
    <w:rsid w:val="00BE758A"/>
    <w:rsid w:val="00BE7A10"/>
    <w:rsid w:val="00BE7B1A"/>
    <w:rsid w:val="00BE7E72"/>
    <w:rsid w:val="00BF0800"/>
    <w:rsid w:val="00BF260D"/>
    <w:rsid w:val="00BF2A48"/>
    <w:rsid w:val="00BF2FC9"/>
    <w:rsid w:val="00BF318A"/>
    <w:rsid w:val="00BF3A5F"/>
    <w:rsid w:val="00BF3C18"/>
    <w:rsid w:val="00BF48B7"/>
    <w:rsid w:val="00BF4CA7"/>
    <w:rsid w:val="00BF5BF5"/>
    <w:rsid w:val="00BF62AF"/>
    <w:rsid w:val="00BF65DF"/>
    <w:rsid w:val="00BF6616"/>
    <w:rsid w:val="00BF67B2"/>
    <w:rsid w:val="00BF6A4F"/>
    <w:rsid w:val="00BF6FEB"/>
    <w:rsid w:val="00BF793C"/>
    <w:rsid w:val="00C00409"/>
    <w:rsid w:val="00C0072F"/>
    <w:rsid w:val="00C02DC6"/>
    <w:rsid w:val="00C0320D"/>
    <w:rsid w:val="00C032B9"/>
    <w:rsid w:val="00C05824"/>
    <w:rsid w:val="00C05BBC"/>
    <w:rsid w:val="00C05CC1"/>
    <w:rsid w:val="00C05ED6"/>
    <w:rsid w:val="00C067F6"/>
    <w:rsid w:val="00C11082"/>
    <w:rsid w:val="00C120E1"/>
    <w:rsid w:val="00C126EE"/>
    <w:rsid w:val="00C12899"/>
    <w:rsid w:val="00C13077"/>
    <w:rsid w:val="00C13663"/>
    <w:rsid w:val="00C14024"/>
    <w:rsid w:val="00C14449"/>
    <w:rsid w:val="00C14547"/>
    <w:rsid w:val="00C14642"/>
    <w:rsid w:val="00C14773"/>
    <w:rsid w:val="00C15FFE"/>
    <w:rsid w:val="00C165BF"/>
    <w:rsid w:val="00C16645"/>
    <w:rsid w:val="00C17990"/>
    <w:rsid w:val="00C17CD0"/>
    <w:rsid w:val="00C17DD2"/>
    <w:rsid w:val="00C17FB6"/>
    <w:rsid w:val="00C218C4"/>
    <w:rsid w:val="00C21AB2"/>
    <w:rsid w:val="00C21B45"/>
    <w:rsid w:val="00C21C6B"/>
    <w:rsid w:val="00C22198"/>
    <w:rsid w:val="00C22DA8"/>
    <w:rsid w:val="00C22F0F"/>
    <w:rsid w:val="00C2368C"/>
    <w:rsid w:val="00C24392"/>
    <w:rsid w:val="00C2478F"/>
    <w:rsid w:val="00C2480F"/>
    <w:rsid w:val="00C24F9A"/>
    <w:rsid w:val="00C253E9"/>
    <w:rsid w:val="00C255E7"/>
    <w:rsid w:val="00C25B85"/>
    <w:rsid w:val="00C25C4B"/>
    <w:rsid w:val="00C2793E"/>
    <w:rsid w:val="00C27D77"/>
    <w:rsid w:val="00C27E57"/>
    <w:rsid w:val="00C27F36"/>
    <w:rsid w:val="00C27FA8"/>
    <w:rsid w:val="00C30866"/>
    <w:rsid w:val="00C30B0B"/>
    <w:rsid w:val="00C31050"/>
    <w:rsid w:val="00C313A0"/>
    <w:rsid w:val="00C318E0"/>
    <w:rsid w:val="00C31B97"/>
    <w:rsid w:val="00C31E1D"/>
    <w:rsid w:val="00C32D3D"/>
    <w:rsid w:val="00C33B31"/>
    <w:rsid w:val="00C33BBF"/>
    <w:rsid w:val="00C33D9B"/>
    <w:rsid w:val="00C354FA"/>
    <w:rsid w:val="00C357A5"/>
    <w:rsid w:val="00C36C5C"/>
    <w:rsid w:val="00C3720A"/>
    <w:rsid w:val="00C37426"/>
    <w:rsid w:val="00C37EBC"/>
    <w:rsid w:val="00C4049B"/>
    <w:rsid w:val="00C404D6"/>
    <w:rsid w:val="00C407F2"/>
    <w:rsid w:val="00C40BC9"/>
    <w:rsid w:val="00C40C98"/>
    <w:rsid w:val="00C411B4"/>
    <w:rsid w:val="00C41792"/>
    <w:rsid w:val="00C41956"/>
    <w:rsid w:val="00C41EA5"/>
    <w:rsid w:val="00C431F1"/>
    <w:rsid w:val="00C4340D"/>
    <w:rsid w:val="00C4460C"/>
    <w:rsid w:val="00C45021"/>
    <w:rsid w:val="00C45316"/>
    <w:rsid w:val="00C456B3"/>
    <w:rsid w:val="00C461B7"/>
    <w:rsid w:val="00C4634C"/>
    <w:rsid w:val="00C46600"/>
    <w:rsid w:val="00C468DD"/>
    <w:rsid w:val="00C4693D"/>
    <w:rsid w:val="00C46AAE"/>
    <w:rsid w:val="00C47D59"/>
    <w:rsid w:val="00C50807"/>
    <w:rsid w:val="00C5082F"/>
    <w:rsid w:val="00C50F13"/>
    <w:rsid w:val="00C5146B"/>
    <w:rsid w:val="00C51ACE"/>
    <w:rsid w:val="00C532F0"/>
    <w:rsid w:val="00C53572"/>
    <w:rsid w:val="00C536DB"/>
    <w:rsid w:val="00C537DD"/>
    <w:rsid w:val="00C53A6F"/>
    <w:rsid w:val="00C54045"/>
    <w:rsid w:val="00C541B1"/>
    <w:rsid w:val="00C54A9A"/>
    <w:rsid w:val="00C54AFF"/>
    <w:rsid w:val="00C54B2E"/>
    <w:rsid w:val="00C54D79"/>
    <w:rsid w:val="00C551D5"/>
    <w:rsid w:val="00C559E9"/>
    <w:rsid w:val="00C55DB0"/>
    <w:rsid w:val="00C55E7A"/>
    <w:rsid w:val="00C563B1"/>
    <w:rsid w:val="00C57169"/>
    <w:rsid w:val="00C576F2"/>
    <w:rsid w:val="00C60788"/>
    <w:rsid w:val="00C60CF7"/>
    <w:rsid w:val="00C61DE7"/>
    <w:rsid w:val="00C62306"/>
    <w:rsid w:val="00C6248D"/>
    <w:rsid w:val="00C62734"/>
    <w:rsid w:val="00C62C5D"/>
    <w:rsid w:val="00C63BED"/>
    <w:rsid w:val="00C64623"/>
    <w:rsid w:val="00C64C94"/>
    <w:rsid w:val="00C64FDB"/>
    <w:rsid w:val="00C655C8"/>
    <w:rsid w:val="00C65A2E"/>
    <w:rsid w:val="00C66427"/>
    <w:rsid w:val="00C668F8"/>
    <w:rsid w:val="00C67EFD"/>
    <w:rsid w:val="00C7050E"/>
    <w:rsid w:val="00C70A68"/>
    <w:rsid w:val="00C70F4B"/>
    <w:rsid w:val="00C71574"/>
    <w:rsid w:val="00C71A01"/>
    <w:rsid w:val="00C71C3C"/>
    <w:rsid w:val="00C72D32"/>
    <w:rsid w:val="00C72DE7"/>
    <w:rsid w:val="00C73E61"/>
    <w:rsid w:val="00C7461D"/>
    <w:rsid w:val="00C76261"/>
    <w:rsid w:val="00C76790"/>
    <w:rsid w:val="00C76D36"/>
    <w:rsid w:val="00C775B7"/>
    <w:rsid w:val="00C80893"/>
    <w:rsid w:val="00C81213"/>
    <w:rsid w:val="00C81AC8"/>
    <w:rsid w:val="00C81DA0"/>
    <w:rsid w:val="00C8231E"/>
    <w:rsid w:val="00C832E7"/>
    <w:rsid w:val="00C8408A"/>
    <w:rsid w:val="00C8443A"/>
    <w:rsid w:val="00C8552F"/>
    <w:rsid w:val="00C85873"/>
    <w:rsid w:val="00C858E3"/>
    <w:rsid w:val="00C85A3D"/>
    <w:rsid w:val="00C85AE2"/>
    <w:rsid w:val="00C85E0C"/>
    <w:rsid w:val="00C8659B"/>
    <w:rsid w:val="00C872C6"/>
    <w:rsid w:val="00C879D4"/>
    <w:rsid w:val="00C90044"/>
    <w:rsid w:val="00C906A5"/>
    <w:rsid w:val="00C90BFA"/>
    <w:rsid w:val="00C90F4F"/>
    <w:rsid w:val="00C913AA"/>
    <w:rsid w:val="00C91FDB"/>
    <w:rsid w:val="00C928F0"/>
    <w:rsid w:val="00C92EBB"/>
    <w:rsid w:val="00C93FA3"/>
    <w:rsid w:val="00C94BA8"/>
    <w:rsid w:val="00C94CB9"/>
    <w:rsid w:val="00C950E9"/>
    <w:rsid w:val="00C95D16"/>
    <w:rsid w:val="00C95EBE"/>
    <w:rsid w:val="00C962AE"/>
    <w:rsid w:val="00C963C5"/>
    <w:rsid w:val="00C9652E"/>
    <w:rsid w:val="00C96E5F"/>
    <w:rsid w:val="00C9718A"/>
    <w:rsid w:val="00C979AD"/>
    <w:rsid w:val="00C97C39"/>
    <w:rsid w:val="00CA057B"/>
    <w:rsid w:val="00CA1D18"/>
    <w:rsid w:val="00CA22D0"/>
    <w:rsid w:val="00CA41FF"/>
    <w:rsid w:val="00CA512E"/>
    <w:rsid w:val="00CA5644"/>
    <w:rsid w:val="00CA5A16"/>
    <w:rsid w:val="00CA5C2F"/>
    <w:rsid w:val="00CA6838"/>
    <w:rsid w:val="00CA68A3"/>
    <w:rsid w:val="00CA723F"/>
    <w:rsid w:val="00CB0105"/>
    <w:rsid w:val="00CB0430"/>
    <w:rsid w:val="00CB11A7"/>
    <w:rsid w:val="00CB1E81"/>
    <w:rsid w:val="00CB24A7"/>
    <w:rsid w:val="00CB333B"/>
    <w:rsid w:val="00CB3549"/>
    <w:rsid w:val="00CB3BEA"/>
    <w:rsid w:val="00CB3D70"/>
    <w:rsid w:val="00CB4315"/>
    <w:rsid w:val="00CB43D1"/>
    <w:rsid w:val="00CB4B0D"/>
    <w:rsid w:val="00CB4BD9"/>
    <w:rsid w:val="00CB4FFC"/>
    <w:rsid w:val="00CB76BB"/>
    <w:rsid w:val="00CB77D0"/>
    <w:rsid w:val="00CB79C7"/>
    <w:rsid w:val="00CB7F91"/>
    <w:rsid w:val="00CC1123"/>
    <w:rsid w:val="00CC288F"/>
    <w:rsid w:val="00CC6296"/>
    <w:rsid w:val="00CC6357"/>
    <w:rsid w:val="00CC6737"/>
    <w:rsid w:val="00CC6F47"/>
    <w:rsid w:val="00CD04BA"/>
    <w:rsid w:val="00CD054E"/>
    <w:rsid w:val="00CD0F4F"/>
    <w:rsid w:val="00CD1540"/>
    <w:rsid w:val="00CD23D7"/>
    <w:rsid w:val="00CD2924"/>
    <w:rsid w:val="00CD2E63"/>
    <w:rsid w:val="00CD3AA4"/>
    <w:rsid w:val="00CD3EFF"/>
    <w:rsid w:val="00CD406A"/>
    <w:rsid w:val="00CD4DBB"/>
    <w:rsid w:val="00CD559D"/>
    <w:rsid w:val="00CD5BF2"/>
    <w:rsid w:val="00CD672F"/>
    <w:rsid w:val="00CD763B"/>
    <w:rsid w:val="00CD7F7B"/>
    <w:rsid w:val="00CD7FB9"/>
    <w:rsid w:val="00CE09A6"/>
    <w:rsid w:val="00CE1367"/>
    <w:rsid w:val="00CE138A"/>
    <w:rsid w:val="00CE1FB8"/>
    <w:rsid w:val="00CE2EC4"/>
    <w:rsid w:val="00CE332B"/>
    <w:rsid w:val="00CE4760"/>
    <w:rsid w:val="00CE5759"/>
    <w:rsid w:val="00CE66D8"/>
    <w:rsid w:val="00CF04A4"/>
    <w:rsid w:val="00CF0A1F"/>
    <w:rsid w:val="00CF0AFC"/>
    <w:rsid w:val="00CF0D76"/>
    <w:rsid w:val="00CF0E66"/>
    <w:rsid w:val="00CF110F"/>
    <w:rsid w:val="00CF1310"/>
    <w:rsid w:val="00CF2124"/>
    <w:rsid w:val="00CF241B"/>
    <w:rsid w:val="00CF35ED"/>
    <w:rsid w:val="00CF3868"/>
    <w:rsid w:val="00CF4B4C"/>
    <w:rsid w:val="00CF5B3B"/>
    <w:rsid w:val="00CF6340"/>
    <w:rsid w:val="00CF71D8"/>
    <w:rsid w:val="00CF73A5"/>
    <w:rsid w:val="00CF77D2"/>
    <w:rsid w:val="00CF78CA"/>
    <w:rsid w:val="00D0015C"/>
    <w:rsid w:val="00D00280"/>
    <w:rsid w:val="00D00A7A"/>
    <w:rsid w:val="00D01277"/>
    <w:rsid w:val="00D0142A"/>
    <w:rsid w:val="00D01893"/>
    <w:rsid w:val="00D01894"/>
    <w:rsid w:val="00D01E93"/>
    <w:rsid w:val="00D02869"/>
    <w:rsid w:val="00D029F5"/>
    <w:rsid w:val="00D02F7E"/>
    <w:rsid w:val="00D03A05"/>
    <w:rsid w:val="00D03BFA"/>
    <w:rsid w:val="00D04EA6"/>
    <w:rsid w:val="00D05525"/>
    <w:rsid w:val="00D055B7"/>
    <w:rsid w:val="00D058D5"/>
    <w:rsid w:val="00D0630A"/>
    <w:rsid w:val="00D06476"/>
    <w:rsid w:val="00D06FA4"/>
    <w:rsid w:val="00D0729F"/>
    <w:rsid w:val="00D076D3"/>
    <w:rsid w:val="00D103C7"/>
    <w:rsid w:val="00D11051"/>
    <w:rsid w:val="00D114CF"/>
    <w:rsid w:val="00D116BC"/>
    <w:rsid w:val="00D11E74"/>
    <w:rsid w:val="00D12DDB"/>
    <w:rsid w:val="00D13049"/>
    <w:rsid w:val="00D14B17"/>
    <w:rsid w:val="00D15190"/>
    <w:rsid w:val="00D1692C"/>
    <w:rsid w:val="00D17655"/>
    <w:rsid w:val="00D178BC"/>
    <w:rsid w:val="00D202DC"/>
    <w:rsid w:val="00D20E1C"/>
    <w:rsid w:val="00D2106A"/>
    <w:rsid w:val="00D2218B"/>
    <w:rsid w:val="00D23396"/>
    <w:rsid w:val="00D23448"/>
    <w:rsid w:val="00D235AC"/>
    <w:rsid w:val="00D235B1"/>
    <w:rsid w:val="00D235E2"/>
    <w:rsid w:val="00D240AE"/>
    <w:rsid w:val="00D248B3"/>
    <w:rsid w:val="00D2506B"/>
    <w:rsid w:val="00D2526A"/>
    <w:rsid w:val="00D25F67"/>
    <w:rsid w:val="00D264B2"/>
    <w:rsid w:val="00D26A80"/>
    <w:rsid w:val="00D26AE6"/>
    <w:rsid w:val="00D26C6D"/>
    <w:rsid w:val="00D26EA4"/>
    <w:rsid w:val="00D27FF6"/>
    <w:rsid w:val="00D30EFA"/>
    <w:rsid w:val="00D31D2F"/>
    <w:rsid w:val="00D31E59"/>
    <w:rsid w:val="00D33263"/>
    <w:rsid w:val="00D33CB2"/>
    <w:rsid w:val="00D34334"/>
    <w:rsid w:val="00D346FA"/>
    <w:rsid w:val="00D34DB8"/>
    <w:rsid w:val="00D34E72"/>
    <w:rsid w:val="00D357FD"/>
    <w:rsid w:val="00D36EFB"/>
    <w:rsid w:val="00D37176"/>
    <w:rsid w:val="00D37DCA"/>
    <w:rsid w:val="00D40114"/>
    <w:rsid w:val="00D405DC"/>
    <w:rsid w:val="00D41529"/>
    <w:rsid w:val="00D41F99"/>
    <w:rsid w:val="00D427B8"/>
    <w:rsid w:val="00D42B45"/>
    <w:rsid w:val="00D42B91"/>
    <w:rsid w:val="00D42F1B"/>
    <w:rsid w:val="00D43B9E"/>
    <w:rsid w:val="00D44237"/>
    <w:rsid w:val="00D4465F"/>
    <w:rsid w:val="00D4522D"/>
    <w:rsid w:val="00D45238"/>
    <w:rsid w:val="00D456B4"/>
    <w:rsid w:val="00D45F95"/>
    <w:rsid w:val="00D46939"/>
    <w:rsid w:val="00D46D42"/>
    <w:rsid w:val="00D4728E"/>
    <w:rsid w:val="00D472A2"/>
    <w:rsid w:val="00D47ED8"/>
    <w:rsid w:val="00D508B5"/>
    <w:rsid w:val="00D50B66"/>
    <w:rsid w:val="00D50F28"/>
    <w:rsid w:val="00D51413"/>
    <w:rsid w:val="00D51456"/>
    <w:rsid w:val="00D521EF"/>
    <w:rsid w:val="00D5250E"/>
    <w:rsid w:val="00D525A3"/>
    <w:rsid w:val="00D52AB2"/>
    <w:rsid w:val="00D53862"/>
    <w:rsid w:val="00D53D60"/>
    <w:rsid w:val="00D54137"/>
    <w:rsid w:val="00D54BFF"/>
    <w:rsid w:val="00D55A19"/>
    <w:rsid w:val="00D55CC8"/>
    <w:rsid w:val="00D55EE0"/>
    <w:rsid w:val="00D5683C"/>
    <w:rsid w:val="00D57182"/>
    <w:rsid w:val="00D57E1D"/>
    <w:rsid w:val="00D60035"/>
    <w:rsid w:val="00D60849"/>
    <w:rsid w:val="00D60D38"/>
    <w:rsid w:val="00D62A74"/>
    <w:rsid w:val="00D63243"/>
    <w:rsid w:val="00D63852"/>
    <w:rsid w:val="00D63FE1"/>
    <w:rsid w:val="00D64C07"/>
    <w:rsid w:val="00D65240"/>
    <w:rsid w:val="00D6546C"/>
    <w:rsid w:val="00D65574"/>
    <w:rsid w:val="00D65836"/>
    <w:rsid w:val="00D65B3E"/>
    <w:rsid w:val="00D65EF3"/>
    <w:rsid w:val="00D6744C"/>
    <w:rsid w:val="00D67669"/>
    <w:rsid w:val="00D67A3E"/>
    <w:rsid w:val="00D67B23"/>
    <w:rsid w:val="00D67E11"/>
    <w:rsid w:val="00D67E1D"/>
    <w:rsid w:val="00D71579"/>
    <w:rsid w:val="00D71E5E"/>
    <w:rsid w:val="00D72065"/>
    <w:rsid w:val="00D73C77"/>
    <w:rsid w:val="00D7498E"/>
    <w:rsid w:val="00D750A7"/>
    <w:rsid w:val="00D75D51"/>
    <w:rsid w:val="00D760C8"/>
    <w:rsid w:val="00D76B72"/>
    <w:rsid w:val="00D76EBA"/>
    <w:rsid w:val="00D778B9"/>
    <w:rsid w:val="00D8021F"/>
    <w:rsid w:val="00D81629"/>
    <w:rsid w:val="00D817E8"/>
    <w:rsid w:val="00D827A2"/>
    <w:rsid w:val="00D82E32"/>
    <w:rsid w:val="00D830B9"/>
    <w:rsid w:val="00D8353A"/>
    <w:rsid w:val="00D8376E"/>
    <w:rsid w:val="00D85DA3"/>
    <w:rsid w:val="00D85F4D"/>
    <w:rsid w:val="00D86A7B"/>
    <w:rsid w:val="00D86A8D"/>
    <w:rsid w:val="00D86E1C"/>
    <w:rsid w:val="00D87170"/>
    <w:rsid w:val="00D872B8"/>
    <w:rsid w:val="00D90EBC"/>
    <w:rsid w:val="00D9144A"/>
    <w:rsid w:val="00D92622"/>
    <w:rsid w:val="00D92DFA"/>
    <w:rsid w:val="00D93612"/>
    <w:rsid w:val="00D937BD"/>
    <w:rsid w:val="00D94189"/>
    <w:rsid w:val="00D9464E"/>
    <w:rsid w:val="00D95B55"/>
    <w:rsid w:val="00D95F88"/>
    <w:rsid w:val="00D96107"/>
    <w:rsid w:val="00D96677"/>
    <w:rsid w:val="00D96AD9"/>
    <w:rsid w:val="00D97686"/>
    <w:rsid w:val="00DA03BB"/>
    <w:rsid w:val="00DA0D4F"/>
    <w:rsid w:val="00DA0E4A"/>
    <w:rsid w:val="00DA2065"/>
    <w:rsid w:val="00DA254C"/>
    <w:rsid w:val="00DA284D"/>
    <w:rsid w:val="00DA2AAC"/>
    <w:rsid w:val="00DA2BBC"/>
    <w:rsid w:val="00DA3D54"/>
    <w:rsid w:val="00DA3FA8"/>
    <w:rsid w:val="00DA54E7"/>
    <w:rsid w:val="00DA552E"/>
    <w:rsid w:val="00DA5558"/>
    <w:rsid w:val="00DA60A2"/>
    <w:rsid w:val="00DA6421"/>
    <w:rsid w:val="00DA6D2E"/>
    <w:rsid w:val="00DA6D42"/>
    <w:rsid w:val="00DA7BB2"/>
    <w:rsid w:val="00DA7D37"/>
    <w:rsid w:val="00DA7DBD"/>
    <w:rsid w:val="00DB00E1"/>
    <w:rsid w:val="00DB0982"/>
    <w:rsid w:val="00DB0FD0"/>
    <w:rsid w:val="00DB1DD6"/>
    <w:rsid w:val="00DB1EC6"/>
    <w:rsid w:val="00DB2264"/>
    <w:rsid w:val="00DB27F2"/>
    <w:rsid w:val="00DB2A16"/>
    <w:rsid w:val="00DB2BAA"/>
    <w:rsid w:val="00DB4329"/>
    <w:rsid w:val="00DB4DCD"/>
    <w:rsid w:val="00DB5773"/>
    <w:rsid w:val="00DB61C0"/>
    <w:rsid w:val="00DB66E0"/>
    <w:rsid w:val="00DB6D18"/>
    <w:rsid w:val="00DB77F7"/>
    <w:rsid w:val="00DB7C1B"/>
    <w:rsid w:val="00DC0624"/>
    <w:rsid w:val="00DC0729"/>
    <w:rsid w:val="00DC0A9F"/>
    <w:rsid w:val="00DC0B8F"/>
    <w:rsid w:val="00DC1715"/>
    <w:rsid w:val="00DC18D3"/>
    <w:rsid w:val="00DC2A00"/>
    <w:rsid w:val="00DC35B9"/>
    <w:rsid w:val="00DC383C"/>
    <w:rsid w:val="00DC4186"/>
    <w:rsid w:val="00DC4D19"/>
    <w:rsid w:val="00DC5C7F"/>
    <w:rsid w:val="00DC6417"/>
    <w:rsid w:val="00DC6E17"/>
    <w:rsid w:val="00DC772C"/>
    <w:rsid w:val="00DC7D5B"/>
    <w:rsid w:val="00DD04FC"/>
    <w:rsid w:val="00DD0F2E"/>
    <w:rsid w:val="00DD101F"/>
    <w:rsid w:val="00DD17E0"/>
    <w:rsid w:val="00DD1828"/>
    <w:rsid w:val="00DD23E8"/>
    <w:rsid w:val="00DD25F0"/>
    <w:rsid w:val="00DD269E"/>
    <w:rsid w:val="00DD35E3"/>
    <w:rsid w:val="00DD37AC"/>
    <w:rsid w:val="00DD62D8"/>
    <w:rsid w:val="00DD6BAA"/>
    <w:rsid w:val="00DD70DB"/>
    <w:rsid w:val="00DD7A1E"/>
    <w:rsid w:val="00DE00A4"/>
    <w:rsid w:val="00DE02E1"/>
    <w:rsid w:val="00DE03AC"/>
    <w:rsid w:val="00DE1059"/>
    <w:rsid w:val="00DE2098"/>
    <w:rsid w:val="00DE26EF"/>
    <w:rsid w:val="00DE278B"/>
    <w:rsid w:val="00DE2918"/>
    <w:rsid w:val="00DE343B"/>
    <w:rsid w:val="00DE3C19"/>
    <w:rsid w:val="00DE3DDB"/>
    <w:rsid w:val="00DE41EC"/>
    <w:rsid w:val="00DE4635"/>
    <w:rsid w:val="00DE5633"/>
    <w:rsid w:val="00DE6283"/>
    <w:rsid w:val="00DE6294"/>
    <w:rsid w:val="00DE634B"/>
    <w:rsid w:val="00DE6379"/>
    <w:rsid w:val="00DE65EC"/>
    <w:rsid w:val="00DE6E92"/>
    <w:rsid w:val="00DE6FA3"/>
    <w:rsid w:val="00DE7600"/>
    <w:rsid w:val="00DE7E1E"/>
    <w:rsid w:val="00DE7F1C"/>
    <w:rsid w:val="00DF0CB4"/>
    <w:rsid w:val="00DF0E6F"/>
    <w:rsid w:val="00DF0FD2"/>
    <w:rsid w:val="00DF12F3"/>
    <w:rsid w:val="00DF3830"/>
    <w:rsid w:val="00DF3FCF"/>
    <w:rsid w:val="00DF4C62"/>
    <w:rsid w:val="00DF51C5"/>
    <w:rsid w:val="00DF5384"/>
    <w:rsid w:val="00DF53AD"/>
    <w:rsid w:val="00DF5BF8"/>
    <w:rsid w:val="00DF6518"/>
    <w:rsid w:val="00DF66BD"/>
    <w:rsid w:val="00DF6862"/>
    <w:rsid w:val="00DF6C54"/>
    <w:rsid w:val="00DF70E2"/>
    <w:rsid w:val="00E00594"/>
    <w:rsid w:val="00E006FC"/>
    <w:rsid w:val="00E008A6"/>
    <w:rsid w:val="00E00DF6"/>
    <w:rsid w:val="00E012DD"/>
    <w:rsid w:val="00E01BB1"/>
    <w:rsid w:val="00E02076"/>
    <w:rsid w:val="00E02B26"/>
    <w:rsid w:val="00E02E0E"/>
    <w:rsid w:val="00E0313A"/>
    <w:rsid w:val="00E035EB"/>
    <w:rsid w:val="00E03CF7"/>
    <w:rsid w:val="00E03E22"/>
    <w:rsid w:val="00E0495E"/>
    <w:rsid w:val="00E04A2F"/>
    <w:rsid w:val="00E05C5B"/>
    <w:rsid w:val="00E0694A"/>
    <w:rsid w:val="00E06C94"/>
    <w:rsid w:val="00E06D0A"/>
    <w:rsid w:val="00E0725C"/>
    <w:rsid w:val="00E07382"/>
    <w:rsid w:val="00E10281"/>
    <w:rsid w:val="00E11FA1"/>
    <w:rsid w:val="00E1213F"/>
    <w:rsid w:val="00E12302"/>
    <w:rsid w:val="00E12A06"/>
    <w:rsid w:val="00E12DD4"/>
    <w:rsid w:val="00E13A90"/>
    <w:rsid w:val="00E13E80"/>
    <w:rsid w:val="00E156C7"/>
    <w:rsid w:val="00E163CB"/>
    <w:rsid w:val="00E163DE"/>
    <w:rsid w:val="00E166BD"/>
    <w:rsid w:val="00E175FA"/>
    <w:rsid w:val="00E209F6"/>
    <w:rsid w:val="00E217A9"/>
    <w:rsid w:val="00E2221E"/>
    <w:rsid w:val="00E22557"/>
    <w:rsid w:val="00E226A1"/>
    <w:rsid w:val="00E22A69"/>
    <w:rsid w:val="00E22AE1"/>
    <w:rsid w:val="00E22DE1"/>
    <w:rsid w:val="00E22F0A"/>
    <w:rsid w:val="00E2478E"/>
    <w:rsid w:val="00E24A92"/>
    <w:rsid w:val="00E25550"/>
    <w:rsid w:val="00E26336"/>
    <w:rsid w:val="00E273D9"/>
    <w:rsid w:val="00E306CB"/>
    <w:rsid w:val="00E30AEE"/>
    <w:rsid w:val="00E315CB"/>
    <w:rsid w:val="00E31D71"/>
    <w:rsid w:val="00E32589"/>
    <w:rsid w:val="00E32903"/>
    <w:rsid w:val="00E32C8D"/>
    <w:rsid w:val="00E33255"/>
    <w:rsid w:val="00E3340A"/>
    <w:rsid w:val="00E33B1D"/>
    <w:rsid w:val="00E33BED"/>
    <w:rsid w:val="00E3412F"/>
    <w:rsid w:val="00E344B7"/>
    <w:rsid w:val="00E34B55"/>
    <w:rsid w:val="00E35827"/>
    <w:rsid w:val="00E35DFB"/>
    <w:rsid w:val="00E36609"/>
    <w:rsid w:val="00E366AE"/>
    <w:rsid w:val="00E36B78"/>
    <w:rsid w:val="00E372CF"/>
    <w:rsid w:val="00E37412"/>
    <w:rsid w:val="00E374D8"/>
    <w:rsid w:val="00E37633"/>
    <w:rsid w:val="00E37A3B"/>
    <w:rsid w:val="00E37D9E"/>
    <w:rsid w:val="00E40A20"/>
    <w:rsid w:val="00E41032"/>
    <w:rsid w:val="00E416FF"/>
    <w:rsid w:val="00E42439"/>
    <w:rsid w:val="00E447B4"/>
    <w:rsid w:val="00E44918"/>
    <w:rsid w:val="00E4498A"/>
    <w:rsid w:val="00E44BF8"/>
    <w:rsid w:val="00E463A7"/>
    <w:rsid w:val="00E470AC"/>
    <w:rsid w:val="00E47B11"/>
    <w:rsid w:val="00E50220"/>
    <w:rsid w:val="00E506F3"/>
    <w:rsid w:val="00E50BCE"/>
    <w:rsid w:val="00E50E7D"/>
    <w:rsid w:val="00E51F0E"/>
    <w:rsid w:val="00E52127"/>
    <w:rsid w:val="00E522BE"/>
    <w:rsid w:val="00E52B01"/>
    <w:rsid w:val="00E52F45"/>
    <w:rsid w:val="00E54634"/>
    <w:rsid w:val="00E54654"/>
    <w:rsid w:val="00E546B2"/>
    <w:rsid w:val="00E5492B"/>
    <w:rsid w:val="00E54DD1"/>
    <w:rsid w:val="00E567DB"/>
    <w:rsid w:val="00E56B58"/>
    <w:rsid w:val="00E570A5"/>
    <w:rsid w:val="00E57605"/>
    <w:rsid w:val="00E60405"/>
    <w:rsid w:val="00E60954"/>
    <w:rsid w:val="00E623F8"/>
    <w:rsid w:val="00E62B93"/>
    <w:rsid w:val="00E63284"/>
    <w:rsid w:val="00E6359F"/>
    <w:rsid w:val="00E63683"/>
    <w:rsid w:val="00E639D0"/>
    <w:rsid w:val="00E63CC2"/>
    <w:rsid w:val="00E63D16"/>
    <w:rsid w:val="00E63EC9"/>
    <w:rsid w:val="00E640F4"/>
    <w:rsid w:val="00E6458B"/>
    <w:rsid w:val="00E64677"/>
    <w:rsid w:val="00E65045"/>
    <w:rsid w:val="00E650E7"/>
    <w:rsid w:val="00E651A6"/>
    <w:rsid w:val="00E65D10"/>
    <w:rsid w:val="00E65D1B"/>
    <w:rsid w:val="00E7098D"/>
    <w:rsid w:val="00E70C36"/>
    <w:rsid w:val="00E712B2"/>
    <w:rsid w:val="00E7151A"/>
    <w:rsid w:val="00E71EAD"/>
    <w:rsid w:val="00E723C0"/>
    <w:rsid w:val="00E72C6A"/>
    <w:rsid w:val="00E7335A"/>
    <w:rsid w:val="00E743C6"/>
    <w:rsid w:val="00E74E6F"/>
    <w:rsid w:val="00E75433"/>
    <w:rsid w:val="00E756CA"/>
    <w:rsid w:val="00E7686C"/>
    <w:rsid w:val="00E76BB9"/>
    <w:rsid w:val="00E76EB2"/>
    <w:rsid w:val="00E771A8"/>
    <w:rsid w:val="00E77D7E"/>
    <w:rsid w:val="00E77E7E"/>
    <w:rsid w:val="00E80125"/>
    <w:rsid w:val="00E8058F"/>
    <w:rsid w:val="00E80705"/>
    <w:rsid w:val="00E818E6"/>
    <w:rsid w:val="00E81A67"/>
    <w:rsid w:val="00E82192"/>
    <w:rsid w:val="00E82465"/>
    <w:rsid w:val="00E827D8"/>
    <w:rsid w:val="00E8313E"/>
    <w:rsid w:val="00E8359B"/>
    <w:rsid w:val="00E83771"/>
    <w:rsid w:val="00E84882"/>
    <w:rsid w:val="00E85812"/>
    <w:rsid w:val="00E876CC"/>
    <w:rsid w:val="00E90816"/>
    <w:rsid w:val="00E90F0A"/>
    <w:rsid w:val="00E91156"/>
    <w:rsid w:val="00E91607"/>
    <w:rsid w:val="00E91823"/>
    <w:rsid w:val="00E92D5E"/>
    <w:rsid w:val="00E93898"/>
    <w:rsid w:val="00E93D2F"/>
    <w:rsid w:val="00E93DB8"/>
    <w:rsid w:val="00E93DD4"/>
    <w:rsid w:val="00E93DDF"/>
    <w:rsid w:val="00E941AD"/>
    <w:rsid w:val="00E9457E"/>
    <w:rsid w:val="00E9577A"/>
    <w:rsid w:val="00E95CE9"/>
    <w:rsid w:val="00E9601D"/>
    <w:rsid w:val="00E96095"/>
    <w:rsid w:val="00E968F8"/>
    <w:rsid w:val="00E96A77"/>
    <w:rsid w:val="00E9706E"/>
    <w:rsid w:val="00E9730D"/>
    <w:rsid w:val="00E9740E"/>
    <w:rsid w:val="00E97C79"/>
    <w:rsid w:val="00E97E18"/>
    <w:rsid w:val="00E97ED0"/>
    <w:rsid w:val="00EA0075"/>
    <w:rsid w:val="00EA1D28"/>
    <w:rsid w:val="00EA1E8B"/>
    <w:rsid w:val="00EA1E91"/>
    <w:rsid w:val="00EA2E93"/>
    <w:rsid w:val="00EA3661"/>
    <w:rsid w:val="00EA3A15"/>
    <w:rsid w:val="00EA3D77"/>
    <w:rsid w:val="00EA4341"/>
    <w:rsid w:val="00EA43C1"/>
    <w:rsid w:val="00EA5304"/>
    <w:rsid w:val="00EA5836"/>
    <w:rsid w:val="00EA70FD"/>
    <w:rsid w:val="00EA77AB"/>
    <w:rsid w:val="00EA7B39"/>
    <w:rsid w:val="00EB026B"/>
    <w:rsid w:val="00EB10E6"/>
    <w:rsid w:val="00EB147A"/>
    <w:rsid w:val="00EB1B4A"/>
    <w:rsid w:val="00EB1BE9"/>
    <w:rsid w:val="00EB24BE"/>
    <w:rsid w:val="00EB37AB"/>
    <w:rsid w:val="00EB392C"/>
    <w:rsid w:val="00EB3DD1"/>
    <w:rsid w:val="00EB4393"/>
    <w:rsid w:val="00EB4A74"/>
    <w:rsid w:val="00EB4B83"/>
    <w:rsid w:val="00EB4D74"/>
    <w:rsid w:val="00EB5067"/>
    <w:rsid w:val="00EB59B3"/>
    <w:rsid w:val="00EB5C89"/>
    <w:rsid w:val="00EB5F1C"/>
    <w:rsid w:val="00EB616F"/>
    <w:rsid w:val="00EB681C"/>
    <w:rsid w:val="00EB6DC7"/>
    <w:rsid w:val="00EB739D"/>
    <w:rsid w:val="00EB7AD6"/>
    <w:rsid w:val="00EB7B85"/>
    <w:rsid w:val="00EB7E76"/>
    <w:rsid w:val="00EC03CA"/>
    <w:rsid w:val="00EC0683"/>
    <w:rsid w:val="00EC08AB"/>
    <w:rsid w:val="00EC2ED3"/>
    <w:rsid w:val="00EC308C"/>
    <w:rsid w:val="00EC3200"/>
    <w:rsid w:val="00EC365E"/>
    <w:rsid w:val="00EC38A4"/>
    <w:rsid w:val="00EC3983"/>
    <w:rsid w:val="00EC3E01"/>
    <w:rsid w:val="00EC3FE9"/>
    <w:rsid w:val="00EC45B8"/>
    <w:rsid w:val="00EC4D1E"/>
    <w:rsid w:val="00EC50BA"/>
    <w:rsid w:val="00EC61D1"/>
    <w:rsid w:val="00EC6482"/>
    <w:rsid w:val="00EC6881"/>
    <w:rsid w:val="00EC7255"/>
    <w:rsid w:val="00EC74C4"/>
    <w:rsid w:val="00EC76A6"/>
    <w:rsid w:val="00EC7E6F"/>
    <w:rsid w:val="00EC7EFE"/>
    <w:rsid w:val="00ED05BD"/>
    <w:rsid w:val="00ED08BA"/>
    <w:rsid w:val="00ED0A70"/>
    <w:rsid w:val="00ED0BE5"/>
    <w:rsid w:val="00ED183A"/>
    <w:rsid w:val="00ED1DDA"/>
    <w:rsid w:val="00ED3879"/>
    <w:rsid w:val="00ED389C"/>
    <w:rsid w:val="00ED38E5"/>
    <w:rsid w:val="00ED555B"/>
    <w:rsid w:val="00ED606B"/>
    <w:rsid w:val="00ED72A6"/>
    <w:rsid w:val="00ED7769"/>
    <w:rsid w:val="00ED77AC"/>
    <w:rsid w:val="00EE0652"/>
    <w:rsid w:val="00EE1035"/>
    <w:rsid w:val="00EE1344"/>
    <w:rsid w:val="00EE1CFA"/>
    <w:rsid w:val="00EE1D1E"/>
    <w:rsid w:val="00EE2CFE"/>
    <w:rsid w:val="00EE306F"/>
    <w:rsid w:val="00EE31D5"/>
    <w:rsid w:val="00EE493D"/>
    <w:rsid w:val="00EE49C0"/>
    <w:rsid w:val="00EE5AA0"/>
    <w:rsid w:val="00EE625A"/>
    <w:rsid w:val="00EE627A"/>
    <w:rsid w:val="00EE6BAA"/>
    <w:rsid w:val="00EE7162"/>
    <w:rsid w:val="00EE7B82"/>
    <w:rsid w:val="00EE7C26"/>
    <w:rsid w:val="00EF06E5"/>
    <w:rsid w:val="00EF0966"/>
    <w:rsid w:val="00EF0EF3"/>
    <w:rsid w:val="00EF1C4B"/>
    <w:rsid w:val="00EF200C"/>
    <w:rsid w:val="00EF2128"/>
    <w:rsid w:val="00EF280D"/>
    <w:rsid w:val="00EF2E5B"/>
    <w:rsid w:val="00EF3620"/>
    <w:rsid w:val="00EF373B"/>
    <w:rsid w:val="00EF3D7D"/>
    <w:rsid w:val="00EF510A"/>
    <w:rsid w:val="00EF56A4"/>
    <w:rsid w:val="00EF5A53"/>
    <w:rsid w:val="00EF5EC5"/>
    <w:rsid w:val="00EF63C2"/>
    <w:rsid w:val="00EF6717"/>
    <w:rsid w:val="00EF6748"/>
    <w:rsid w:val="00EF67B7"/>
    <w:rsid w:val="00EF7D34"/>
    <w:rsid w:val="00F01099"/>
    <w:rsid w:val="00F010F0"/>
    <w:rsid w:val="00F01523"/>
    <w:rsid w:val="00F02B38"/>
    <w:rsid w:val="00F02C01"/>
    <w:rsid w:val="00F02CEF"/>
    <w:rsid w:val="00F02D71"/>
    <w:rsid w:val="00F040BE"/>
    <w:rsid w:val="00F04417"/>
    <w:rsid w:val="00F064D0"/>
    <w:rsid w:val="00F0751A"/>
    <w:rsid w:val="00F07A15"/>
    <w:rsid w:val="00F100D6"/>
    <w:rsid w:val="00F106A0"/>
    <w:rsid w:val="00F10F42"/>
    <w:rsid w:val="00F10F70"/>
    <w:rsid w:val="00F11A94"/>
    <w:rsid w:val="00F125DC"/>
    <w:rsid w:val="00F132EA"/>
    <w:rsid w:val="00F13377"/>
    <w:rsid w:val="00F136E4"/>
    <w:rsid w:val="00F13781"/>
    <w:rsid w:val="00F13797"/>
    <w:rsid w:val="00F13ABD"/>
    <w:rsid w:val="00F14016"/>
    <w:rsid w:val="00F14984"/>
    <w:rsid w:val="00F14C47"/>
    <w:rsid w:val="00F165D0"/>
    <w:rsid w:val="00F16752"/>
    <w:rsid w:val="00F17A2E"/>
    <w:rsid w:val="00F17CD9"/>
    <w:rsid w:val="00F17F49"/>
    <w:rsid w:val="00F206F9"/>
    <w:rsid w:val="00F2111E"/>
    <w:rsid w:val="00F215CB"/>
    <w:rsid w:val="00F215D3"/>
    <w:rsid w:val="00F21DFB"/>
    <w:rsid w:val="00F21E64"/>
    <w:rsid w:val="00F22636"/>
    <w:rsid w:val="00F22910"/>
    <w:rsid w:val="00F23ECE"/>
    <w:rsid w:val="00F2411D"/>
    <w:rsid w:val="00F24272"/>
    <w:rsid w:val="00F24E45"/>
    <w:rsid w:val="00F253CA"/>
    <w:rsid w:val="00F25D27"/>
    <w:rsid w:val="00F26300"/>
    <w:rsid w:val="00F266D7"/>
    <w:rsid w:val="00F27127"/>
    <w:rsid w:val="00F27A6F"/>
    <w:rsid w:val="00F3044D"/>
    <w:rsid w:val="00F323F3"/>
    <w:rsid w:val="00F33EFB"/>
    <w:rsid w:val="00F34037"/>
    <w:rsid w:val="00F34EE1"/>
    <w:rsid w:val="00F368C2"/>
    <w:rsid w:val="00F36A00"/>
    <w:rsid w:val="00F3712C"/>
    <w:rsid w:val="00F376BC"/>
    <w:rsid w:val="00F377AE"/>
    <w:rsid w:val="00F4018D"/>
    <w:rsid w:val="00F4086E"/>
    <w:rsid w:val="00F40D4E"/>
    <w:rsid w:val="00F40FAA"/>
    <w:rsid w:val="00F4122A"/>
    <w:rsid w:val="00F4123A"/>
    <w:rsid w:val="00F41875"/>
    <w:rsid w:val="00F42761"/>
    <w:rsid w:val="00F42B9A"/>
    <w:rsid w:val="00F42F24"/>
    <w:rsid w:val="00F43A27"/>
    <w:rsid w:val="00F4423A"/>
    <w:rsid w:val="00F44643"/>
    <w:rsid w:val="00F44AC7"/>
    <w:rsid w:val="00F45DFC"/>
    <w:rsid w:val="00F46AB7"/>
    <w:rsid w:val="00F47147"/>
    <w:rsid w:val="00F51FAF"/>
    <w:rsid w:val="00F52442"/>
    <w:rsid w:val="00F52D4F"/>
    <w:rsid w:val="00F53E8A"/>
    <w:rsid w:val="00F54147"/>
    <w:rsid w:val="00F548D2"/>
    <w:rsid w:val="00F56687"/>
    <w:rsid w:val="00F56A3D"/>
    <w:rsid w:val="00F5707B"/>
    <w:rsid w:val="00F5719B"/>
    <w:rsid w:val="00F5762B"/>
    <w:rsid w:val="00F579BA"/>
    <w:rsid w:val="00F57CC7"/>
    <w:rsid w:val="00F57F84"/>
    <w:rsid w:val="00F6038D"/>
    <w:rsid w:val="00F610A0"/>
    <w:rsid w:val="00F614C6"/>
    <w:rsid w:val="00F6171D"/>
    <w:rsid w:val="00F61EFD"/>
    <w:rsid w:val="00F62AD3"/>
    <w:rsid w:val="00F62D58"/>
    <w:rsid w:val="00F62EA1"/>
    <w:rsid w:val="00F63302"/>
    <w:rsid w:val="00F635BD"/>
    <w:rsid w:val="00F64C74"/>
    <w:rsid w:val="00F64CF7"/>
    <w:rsid w:val="00F65334"/>
    <w:rsid w:val="00F65955"/>
    <w:rsid w:val="00F6638B"/>
    <w:rsid w:val="00F66AE6"/>
    <w:rsid w:val="00F66C5F"/>
    <w:rsid w:val="00F6736B"/>
    <w:rsid w:val="00F67A70"/>
    <w:rsid w:val="00F67DB3"/>
    <w:rsid w:val="00F7016D"/>
    <w:rsid w:val="00F7025B"/>
    <w:rsid w:val="00F70769"/>
    <w:rsid w:val="00F70F63"/>
    <w:rsid w:val="00F714C8"/>
    <w:rsid w:val="00F71EAC"/>
    <w:rsid w:val="00F72A40"/>
    <w:rsid w:val="00F72B04"/>
    <w:rsid w:val="00F72BBC"/>
    <w:rsid w:val="00F72DE4"/>
    <w:rsid w:val="00F72E9B"/>
    <w:rsid w:val="00F74EBC"/>
    <w:rsid w:val="00F75CAC"/>
    <w:rsid w:val="00F75EF8"/>
    <w:rsid w:val="00F7664D"/>
    <w:rsid w:val="00F7731A"/>
    <w:rsid w:val="00F773F5"/>
    <w:rsid w:val="00F77F72"/>
    <w:rsid w:val="00F81205"/>
    <w:rsid w:val="00F816E2"/>
    <w:rsid w:val="00F81F43"/>
    <w:rsid w:val="00F822FA"/>
    <w:rsid w:val="00F82433"/>
    <w:rsid w:val="00F82EF7"/>
    <w:rsid w:val="00F83012"/>
    <w:rsid w:val="00F83C50"/>
    <w:rsid w:val="00F83E44"/>
    <w:rsid w:val="00F842CE"/>
    <w:rsid w:val="00F845C9"/>
    <w:rsid w:val="00F8460D"/>
    <w:rsid w:val="00F84A48"/>
    <w:rsid w:val="00F84B24"/>
    <w:rsid w:val="00F853E8"/>
    <w:rsid w:val="00F85742"/>
    <w:rsid w:val="00F8654E"/>
    <w:rsid w:val="00F86620"/>
    <w:rsid w:val="00F871C5"/>
    <w:rsid w:val="00F87D05"/>
    <w:rsid w:val="00F91941"/>
    <w:rsid w:val="00F91FE0"/>
    <w:rsid w:val="00F931BE"/>
    <w:rsid w:val="00F941F7"/>
    <w:rsid w:val="00F94576"/>
    <w:rsid w:val="00F94619"/>
    <w:rsid w:val="00F9511B"/>
    <w:rsid w:val="00F95501"/>
    <w:rsid w:val="00F96569"/>
    <w:rsid w:val="00FA013D"/>
    <w:rsid w:val="00FA09D3"/>
    <w:rsid w:val="00FA0C2D"/>
    <w:rsid w:val="00FA2086"/>
    <w:rsid w:val="00FA23EA"/>
    <w:rsid w:val="00FA2B70"/>
    <w:rsid w:val="00FA2D3E"/>
    <w:rsid w:val="00FA3652"/>
    <w:rsid w:val="00FA3C9A"/>
    <w:rsid w:val="00FA447A"/>
    <w:rsid w:val="00FA5FA4"/>
    <w:rsid w:val="00FA6337"/>
    <w:rsid w:val="00FA79BD"/>
    <w:rsid w:val="00FB06C2"/>
    <w:rsid w:val="00FB130B"/>
    <w:rsid w:val="00FB22EB"/>
    <w:rsid w:val="00FB235C"/>
    <w:rsid w:val="00FB2CC8"/>
    <w:rsid w:val="00FB3104"/>
    <w:rsid w:val="00FB330E"/>
    <w:rsid w:val="00FB35DA"/>
    <w:rsid w:val="00FB37E6"/>
    <w:rsid w:val="00FB39AC"/>
    <w:rsid w:val="00FB44FE"/>
    <w:rsid w:val="00FB52F0"/>
    <w:rsid w:val="00FB5364"/>
    <w:rsid w:val="00FB5D10"/>
    <w:rsid w:val="00FC1F17"/>
    <w:rsid w:val="00FC1FBF"/>
    <w:rsid w:val="00FC20A6"/>
    <w:rsid w:val="00FC210C"/>
    <w:rsid w:val="00FC387A"/>
    <w:rsid w:val="00FC3A7A"/>
    <w:rsid w:val="00FC3F05"/>
    <w:rsid w:val="00FC4070"/>
    <w:rsid w:val="00FC43EF"/>
    <w:rsid w:val="00FC4932"/>
    <w:rsid w:val="00FC4AF6"/>
    <w:rsid w:val="00FC546B"/>
    <w:rsid w:val="00FC5478"/>
    <w:rsid w:val="00FC56DB"/>
    <w:rsid w:val="00FC5775"/>
    <w:rsid w:val="00FC59A0"/>
    <w:rsid w:val="00FC6875"/>
    <w:rsid w:val="00FC71FE"/>
    <w:rsid w:val="00FD17A8"/>
    <w:rsid w:val="00FD2B04"/>
    <w:rsid w:val="00FD2E49"/>
    <w:rsid w:val="00FD3688"/>
    <w:rsid w:val="00FD3AE9"/>
    <w:rsid w:val="00FD45B3"/>
    <w:rsid w:val="00FD4ADC"/>
    <w:rsid w:val="00FD5E67"/>
    <w:rsid w:val="00FD6248"/>
    <w:rsid w:val="00FD6EF7"/>
    <w:rsid w:val="00FD7306"/>
    <w:rsid w:val="00FD7633"/>
    <w:rsid w:val="00FD7C0E"/>
    <w:rsid w:val="00FE04FE"/>
    <w:rsid w:val="00FE0697"/>
    <w:rsid w:val="00FE0E21"/>
    <w:rsid w:val="00FE11B9"/>
    <w:rsid w:val="00FE1750"/>
    <w:rsid w:val="00FE1BBB"/>
    <w:rsid w:val="00FE2F6C"/>
    <w:rsid w:val="00FE2FF5"/>
    <w:rsid w:val="00FE3188"/>
    <w:rsid w:val="00FE43A1"/>
    <w:rsid w:val="00FE48A4"/>
    <w:rsid w:val="00FE4DD6"/>
    <w:rsid w:val="00FE5741"/>
    <w:rsid w:val="00FE5EFB"/>
    <w:rsid w:val="00FE5F70"/>
    <w:rsid w:val="00FE752C"/>
    <w:rsid w:val="00FF024A"/>
    <w:rsid w:val="00FF09FE"/>
    <w:rsid w:val="00FF200A"/>
    <w:rsid w:val="00FF3E79"/>
    <w:rsid w:val="00FF3EFB"/>
    <w:rsid w:val="00FF46F7"/>
    <w:rsid w:val="00FF495A"/>
    <w:rsid w:val="00FF4BE9"/>
    <w:rsid w:val="00FF5107"/>
    <w:rsid w:val="00FF5322"/>
    <w:rsid w:val="00FF620C"/>
    <w:rsid w:val="00FF64BC"/>
    <w:rsid w:val="00FF6868"/>
    <w:rsid w:val="00FF7AE5"/>
    <w:rsid w:val="053BF4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0DA3C"/>
  <w15:docId w15:val="{28D0EBA1-704A-4846-9D1E-6BE371F5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1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3C"/>
    <w:pPr>
      <w:spacing w:after="0" w:line="240"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30523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basedOn w:val="Normal"/>
    <w:next w:val="Normal"/>
    <w:link w:val="Heading2Char"/>
    <w:unhideWhenUsed/>
    <w:qFormat/>
    <w:rsid w:val="0030523C"/>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basedOn w:val="Sub1"/>
    <w:next w:val="Normal"/>
    <w:link w:val="Heading3Char"/>
    <w:unhideWhenUsed/>
    <w:qFormat/>
    <w:rsid w:val="008E1CB9"/>
    <w:pPr>
      <w:spacing w:after="180"/>
      <w:jc w:val="both"/>
      <w:outlineLvl w:val="2"/>
    </w:pPr>
    <w:rPr>
      <w:sz w:val="28"/>
    </w:rPr>
  </w:style>
  <w:style w:type="paragraph" w:styleId="Heading4">
    <w:name w:val="heading 4"/>
    <w:basedOn w:val="Normal"/>
    <w:next w:val="Normal"/>
    <w:link w:val="Heading4Char"/>
    <w:unhideWhenUsed/>
    <w:qFormat/>
    <w:rsid w:val="009814E7"/>
    <w:pPr>
      <w:keepNext/>
      <w:keepLines/>
      <w:spacing w:before="200"/>
      <w:outlineLvl w:val="3"/>
    </w:pPr>
    <w:rPr>
      <w:rFonts w:eastAsia="Times New Roman" w:cs="Times New Roman"/>
      <w:b/>
      <w:bCs/>
      <w:iCs/>
      <w:sz w:val="28"/>
      <w:szCs w:val="20"/>
      <w:lang w:val="x-none" w:eastAsia="x-none"/>
    </w:rPr>
  </w:style>
  <w:style w:type="paragraph" w:styleId="Heading5">
    <w:name w:val="heading 5"/>
    <w:basedOn w:val="Normal"/>
    <w:next w:val="Normal"/>
    <w:link w:val="Heading5Char"/>
    <w:unhideWhenUsed/>
    <w:qFormat/>
    <w:rsid w:val="009814E7"/>
    <w:pPr>
      <w:keepNext/>
      <w:keepLines/>
      <w:spacing w:before="200"/>
      <w:outlineLvl w:val="4"/>
    </w:pPr>
    <w:rPr>
      <w:rFonts w:eastAsia="Times New Roman" w:cs="Times New Roman"/>
      <w:b/>
      <w:i/>
      <w:color w:val="000000" w:themeColor="text1"/>
      <w:szCs w:val="20"/>
      <w:lang w:val="x-none" w:eastAsia="x-none"/>
    </w:rPr>
  </w:style>
  <w:style w:type="paragraph" w:styleId="Heading6">
    <w:name w:val="heading 6"/>
    <w:basedOn w:val="Normal"/>
    <w:next w:val="Normal"/>
    <w:link w:val="Heading6Char"/>
    <w:unhideWhenUsed/>
    <w:qFormat/>
    <w:rsid w:val="0030523C"/>
    <w:pPr>
      <w:keepNext/>
      <w:keepLines/>
      <w:spacing w:before="200"/>
      <w:outlineLvl w:val="5"/>
    </w:pPr>
    <w:rPr>
      <w:rFonts w:ascii="Calibri Light" w:eastAsia="Times New Roman" w:hAnsi="Calibri Light" w:cs="Times New Roman"/>
      <w:i/>
      <w:iCs/>
      <w:color w:val="1F4D78"/>
      <w:szCs w:val="20"/>
      <w:lang w:val="x-none" w:eastAsia="x-none"/>
    </w:rPr>
  </w:style>
  <w:style w:type="paragraph" w:styleId="Heading7">
    <w:name w:val="heading 7"/>
    <w:basedOn w:val="Normal"/>
    <w:next w:val="Normal"/>
    <w:link w:val="Heading7Char"/>
    <w:unhideWhenUsed/>
    <w:qFormat/>
    <w:rsid w:val="0030523C"/>
    <w:pPr>
      <w:keepNext/>
      <w:keepLines/>
      <w:spacing w:before="200"/>
      <w:outlineLvl w:val="6"/>
    </w:pPr>
    <w:rPr>
      <w:rFonts w:ascii="Calibri Light" w:eastAsia="Times New Roman" w:hAnsi="Calibri Light" w:cs="Times New Roman"/>
      <w:i/>
      <w:iCs/>
      <w:color w:val="404040"/>
      <w:szCs w:val="20"/>
      <w:lang w:val="x-none" w:eastAsia="x-none"/>
    </w:rPr>
  </w:style>
  <w:style w:type="paragraph" w:styleId="Heading8">
    <w:name w:val="heading 8"/>
    <w:basedOn w:val="Normal"/>
    <w:next w:val="Normal"/>
    <w:link w:val="Heading8Char"/>
    <w:unhideWhenUsed/>
    <w:qFormat/>
    <w:rsid w:val="0030523C"/>
    <w:pPr>
      <w:keepNext/>
      <w:keepLines/>
      <w:spacing w:before="200"/>
      <w:outlineLvl w:val="7"/>
    </w:pPr>
    <w:rPr>
      <w:rFonts w:ascii="Calibri Light" w:eastAsia="Times New Roman" w:hAnsi="Calibri Light" w:cs="Times New Roman"/>
      <w:color w:val="404040"/>
      <w:szCs w:val="20"/>
      <w:lang w:val="x-none" w:eastAsia="x-none"/>
    </w:rPr>
  </w:style>
  <w:style w:type="paragraph" w:styleId="Heading9">
    <w:name w:val="heading 9"/>
    <w:basedOn w:val="Normal"/>
    <w:next w:val="Normal"/>
    <w:link w:val="Heading9Char"/>
    <w:unhideWhenUsed/>
    <w:qFormat/>
    <w:rsid w:val="0030523C"/>
    <w:pPr>
      <w:keepNext/>
      <w:keepLines/>
      <w:spacing w:before="200"/>
      <w:outlineLvl w:val="8"/>
    </w:pPr>
    <w:rPr>
      <w:rFonts w:ascii="Calibri Light" w:eastAsia="Times New Roman" w:hAnsi="Calibri Light" w:cs="Times New Roman"/>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52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0523C"/>
    <w:rPr>
      <w:rFonts w:ascii="Arial" w:eastAsia="Times New Roman" w:hAnsi="Arial" w:cs="Times New Roman"/>
      <w:b/>
      <w:color w:val="000000"/>
      <w:sz w:val="24"/>
      <w:szCs w:val="26"/>
      <w:shd w:val="clear" w:color="auto" w:fill="D9D9D9"/>
    </w:rPr>
  </w:style>
  <w:style w:type="character" w:customStyle="1" w:styleId="Heading3Char">
    <w:name w:val="Heading 3 Char"/>
    <w:basedOn w:val="DefaultParagraphFont"/>
    <w:link w:val="Heading3"/>
    <w:rsid w:val="008E1CB9"/>
    <w:rPr>
      <w:b/>
      <w:color w:val="0070C0"/>
      <w:sz w:val="28"/>
    </w:rPr>
  </w:style>
  <w:style w:type="character" w:customStyle="1" w:styleId="Heading4Char">
    <w:name w:val="Heading 4 Char"/>
    <w:basedOn w:val="DefaultParagraphFont"/>
    <w:link w:val="Heading4"/>
    <w:rsid w:val="009814E7"/>
    <w:rPr>
      <w:rFonts w:eastAsia="Times New Roman" w:cs="Times New Roman"/>
      <w:b/>
      <w:bCs/>
      <w:iCs/>
      <w:sz w:val="28"/>
      <w:szCs w:val="20"/>
      <w:lang w:val="x-none" w:eastAsia="x-none"/>
    </w:rPr>
  </w:style>
  <w:style w:type="character" w:customStyle="1" w:styleId="Heading5Char">
    <w:name w:val="Heading 5 Char"/>
    <w:basedOn w:val="DefaultParagraphFont"/>
    <w:link w:val="Heading5"/>
    <w:rsid w:val="009814E7"/>
    <w:rPr>
      <w:rFonts w:eastAsia="Times New Roman" w:cs="Times New Roman"/>
      <w:b/>
      <w:i/>
      <w:color w:val="000000" w:themeColor="text1"/>
      <w:szCs w:val="20"/>
      <w:lang w:val="x-none" w:eastAsia="x-none"/>
    </w:rPr>
  </w:style>
  <w:style w:type="character" w:customStyle="1" w:styleId="Heading6Char">
    <w:name w:val="Heading 6 Char"/>
    <w:basedOn w:val="DefaultParagraphFont"/>
    <w:link w:val="Heading6"/>
    <w:rsid w:val="0030523C"/>
    <w:rPr>
      <w:rFonts w:ascii="Calibri Light" w:eastAsia="Times New Roman" w:hAnsi="Calibri Light" w:cs="Times New Roman"/>
      <w:i/>
      <w:iCs/>
      <w:color w:val="1F4D78"/>
      <w:sz w:val="20"/>
      <w:szCs w:val="20"/>
      <w:lang w:val="x-none" w:eastAsia="x-none"/>
    </w:rPr>
  </w:style>
  <w:style w:type="character" w:customStyle="1" w:styleId="Heading7Char">
    <w:name w:val="Heading 7 Char"/>
    <w:basedOn w:val="DefaultParagraphFont"/>
    <w:link w:val="Heading7"/>
    <w:rsid w:val="0030523C"/>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rsid w:val="0030523C"/>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rsid w:val="0030523C"/>
    <w:rPr>
      <w:rFonts w:ascii="Calibri Light" w:eastAsia="Times New Roman" w:hAnsi="Calibri Light" w:cs="Times New Roman"/>
      <w:i/>
      <w:iCs/>
      <w:color w:val="404040"/>
      <w:sz w:val="20"/>
      <w:szCs w:val="20"/>
      <w:lang w:val="x-none" w:eastAsia="x-none"/>
    </w:rPr>
  </w:style>
  <w:style w:type="paragraph" w:styleId="ListParagraph">
    <w:name w:val="List Paragraph"/>
    <w:aliases w:val="Bullets,List Bullet Mary,List Paragraph (numbered (a)),body bullets,Liste 1,Paragraphe  revu,List Paragraph nowy,Numbered Paragraph"/>
    <w:basedOn w:val="Normal"/>
    <w:link w:val="ListParagraphChar"/>
    <w:uiPriority w:val="34"/>
    <w:qFormat/>
    <w:rsid w:val="0030523C"/>
    <w:pPr>
      <w:ind w:left="720"/>
      <w:contextualSpacing/>
    </w:pPr>
  </w:style>
  <w:style w:type="character" w:styleId="CommentReference">
    <w:name w:val="annotation reference"/>
    <w:uiPriority w:val="99"/>
    <w:unhideWhenUsed/>
    <w:rsid w:val="0030523C"/>
    <w:rPr>
      <w:sz w:val="16"/>
      <w:szCs w:val="16"/>
    </w:rPr>
  </w:style>
  <w:style w:type="paragraph" w:styleId="CommentText">
    <w:name w:val="annotation text"/>
    <w:basedOn w:val="Normal"/>
    <w:link w:val="CommentTextChar"/>
    <w:uiPriority w:val="99"/>
    <w:unhideWhenUsed/>
    <w:rsid w:val="0030523C"/>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30523C"/>
    <w:rPr>
      <w:rFonts w:ascii="Calibri" w:eastAsia="Calibri" w:hAnsi="Calibri" w:cs="Times New Roman"/>
      <w:sz w:val="20"/>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30523C"/>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30523C"/>
    <w:rPr>
      <w:rFonts w:ascii="Arial" w:eastAsia="Calibri"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30523C"/>
    <w:rPr>
      <w:vertAlign w:val="superscript"/>
    </w:rPr>
  </w:style>
  <w:style w:type="character" w:styleId="Hyperlink">
    <w:name w:val="Hyperlink"/>
    <w:uiPriority w:val="99"/>
    <w:unhideWhenUsed/>
    <w:rsid w:val="0030523C"/>
    <w:rPr>
      <w:color w:val="0563C1"/>
      <w:u w:val="single"/>
    </w:rPr>
  </w:style>
  <w:style w:type="paragraph" w:styleId="BalloonText">
    <w:name w:val="Balloon Text"/>
    <w:basedOn w:val="Normal"/>
    <w:link w:val="BalloonTextChar"/>
    <w:uiPriority w:val="99"/>
    <w:semiHidden/>
    <w:unhideWhenUsed/>
    <w:rsid w:val="0030523C"/>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0523C"/>
    <w:rPr>
      <w:rFonts w:ascii="Segoe UI" w:eastAsia="Calibri" w:hAnsi="Segoe UI" w:cs="Times New Roman"/>
      <w:sz w:val="18"/>
      <w:szCs w:val="18"/>
      <w:lang w:val="x-none" w:eastAsia="x-none"/>
    </w:rPr>
  </w:style>
  <w:style w:type="paragraph" w:customStyle="1" w:styleId="Default">
    <w:name w:val="Default"/>
    <w:rsid w:val="0030523C"/>
    <w:pPr>
      <w:autoSpaceDE w:val="0"/>
      <w:autoSpaceDN w:val="0"/>
      <w:adjustRightInd w:val="0"/>
      <w:spacing w:after="0" w:line="240" w:lineRule="auto"/>
    </w:pPr>
    <w:rPr>
      <w:rFonts w:ascii="Univers 55" w:eastAsia="Calibri" w:hAnsi="Univers 55" w:cs="Univers 55"/>
      <w:color w:val="000000"/>
      <w:szCs w:val="24"/>
    </w:rPr>
  </w:style>
  <w:style w:type="paragraph" w:styleId="BodyText">
    <w:name w:val="Body Text"/>
    <w:link w:val="BodyTextChar"/>
    <w:rsid w:val="0030523C"/>
    <w:pPr>
      <w:numPr>
        <w:ilvl w:val="1"/>
        <w:numId w:val="1"/>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30523C"/>
    <w:rPr>
      <w:rFonts w:ascii="Humnst777 Lt BT" w:eastAsia="Times New Roman" w:hAnsi="Humnst777 Lt BT" w:cs="Times New Roman"/>
      <w:sz w:val="20"/>
      <w:szCs w:val="24"/>
      <w:lang w:eastAsia="en-GB"/>
    </w:rPr>
  </w:style>
  <w:style w:type="paragraph" w:styleId="BodyText2">
    <w:name w:val="Body Text 2"/>
    <w:basedOn w:val="BodyText"/>
    <w:link w:val="BodyText2Char"/>
    <w:rsid w:val="0030523C"/>
    <w:pPr>
      <w:numPr>
        <w:ilvl w:val="2"/>
      </w:numPr>
    </w:pPr>
    <w:rPr>
      <w:lang w:val="x-none"/>
    </w:rPr>
  </w:style>
  <w:style w:type="character" w:customStyle="1" w:styleId="BodyText2Char">
    <w:name w:val="Body Text 2 Char"/>
    <w:basedOn w:val="DefaultParagraphFont"/>
    <w:link w:val="BodyText2"/>
    <w:rsid w:val="0030523C"/>
    <w:rPr>
      <w:rFonts w:ascii="Humnst777 Lt BT" w:eastAsia="Times New Roman" w:hAnsi="Humnst777 Lt BT" w:cs="Times New Roman"/>
      <w:sz w:val="20"/>
      <w:szCs w:val="24"/>
      <w:lang w:val="x-none" w:eastAsia="en-GB"/>
    </w:rPr>
  </w:style>
  <w:style w:type="paragraph" w:customStyle="1" w:styleId="BoxHeading">
    <w:name w:val="Box Heading"/>
    <w:next w:val="BodyText3"/>
    <w:uiPriority w:val="99"/>
    <w:rsid w:val="0030523C"/>
    <w:pPr>
      <w:keepNext/>
      <w:numPr>
        <w:ilvl w:val="3"/>
        <w:numId w:val="1"/>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30523C"/>
    <w:pPr>
      <w:keepNext/>
      <w:numPr>
        <w:ilvl w:val="4"/>
        <w:numId w:val="1"/>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30523C"/>
    <w:pPr>
      <w:numPr>
        <w:ilvl w:val="5"/>
      </w:numPr>
    </w:pPr>
  </w:style>
  <w:style w:type="paragraph" w:customStyle="1" w:styleId="ChartHeading">
    <w:name w:val="Chart Heading"/>
    <w:basedOn w:val="FigureHeading"/>
    <w:uiPriority w:val="99"/>
    <w:rsid w:val="0030523C"/>
    <w:pPr>
      <w:numPr>
        <w:ilvl w:val="6"/>
      </w:numPr>
    </w:pPr>
  </w:style>
  <w:style w:type="paragraph" w:styleId="NormalWeb">
    <w:name w:val="Normal (Web)"/>
    <w:basedOn w:val="Normal"/>
    <w:uiPriority w:val="99"/>
    <w:unhideWhenUsed/>
    <w:rsid w:val="0030523C"/>
    <w:pPr>
      <w:spacing w:before="100" w:beforeAutospacing="1" w:after="100" w:afterAutospacing="1"/>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30523C"/>
    <w:pPr>
      <w:spacing w:after="120"/>
    </w:pPr>
    <w:rPr>
      <w:rFonts w:ascii="Calibri" w:hAnsi="Calibri" w:cs="Times New Roman"/>
      <w:sz w:val="16"/>
      <w:lang w:val="x-none" w:eastAsia="x-none"/>
    </w:rPr>
  </w:style>
  <w:style w:type="character" w:customStyle="1" w:styleId="BodyText3Char">
    <w:name w:val="Body Text 3 Char"/>
    <w:basedOn w:val="DefaultParagraphFont"/>
    <w:link w:val="BodyText3"/>
    <w:uiPriority w:val="99"/>
    <w:rsid w:val="0030523C"/>
    <w:rPr>
      <w:rFonts w:ascii="Calibri" w:eastAsia="Calibri" w:hAnsi="Calibri" w:cs="Times New Roman"/>
      <w:sz w:val="16"/>
      <w:szCs w:val="16"/>
      <w:lang w:val="x-none" w:eastAsia="x-none"/>
    </w:rPr>
  </w:style>
  <w:style w:type="paragraph" w:styleId="CommentSubject">
    <w:name w:val="annotation subject"/>
    <w:basedOn w:val="CommentText"/>
    <w:next w:val="CommentText"/>
    <w:link w:val="CommentSubjectChar"/>
    <w:unhideWhenUsed/>
    <w:rsid w:val="0030523C"/>
    <w:rPr>
      <w:b/>
      <w:bCs/>
    </w:rPr>
  </w:style>
  <w:style w:type="character" w:customStyle="1" w:styleId="CommentSubjectChar">
    <w:name w:val="Comment Subject Char"/>
    <w:basedOn w:val="CommentTextChar"/>
    <w:link w:val="CommentSubject"/>
    <w:rsid w:val="0030523C"/>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30523C"/>
    <w:pPr>
      <w:tabs>
        <w:tab w:val="center" w:pos="4513"/>
        <w:tab w:val="right" w:pos="9026"/>
      </w:tabs>
    </w:pPr>
  </w:style>
  <w:style w:type="character" w:customStyle="1" w:styleId="HeaderChar">
    <w:name w:val="Header Char"/>
    <w:basedOn w:val="DefaultParagraphFont"/>
    <w:link w:val="Header"/>
    <w:uiPriority w:val="99"/>
    <w:rsid w:val="0030523C"/>
    <w:rPr>
      <w:rFonts w:ascii="Arial" w:eastAsia="Calibri" w:hAnsi="Arial" w:cs="Arial"/>
      <w:sz w:val="20"/>
    </w:rPr>
  </w:style>
  <w:style w:type="paragraph" w:styleId="Footer">
    <w:name w:val="footer"/>
    <w:basedOn w:val="Normal"/>
    <w:link w:val="FooterChar"/>
    <w:uiPriority w:val="99"/>
    <w:unhideWhenUsed/>
    <w:rsid w:val="0030523C"/>
    <w:pPr>
      <w:tabs>
        <w:tab w:val="center" w:pos="4513"/>
        <w:tab w:val="right" w:pos="9026"/>
      </w:tabs>
    </w:pPr>
  </w:style>
  <w:style w:type="character" w:customStyle="1" w:styleId="FooterChar">
    <w:name w:val="Footer Char"/>
    <w:basedOn w:val="DefaultParagraphFont"/>
    <w:link w:val="Footer"/>
    <w:uiPriority w:val="99"/>
    <w:rsid w:val="0030523C"/>
    <w:rPr>
      <w:rFonts w:ascii="Arial" w:eastAsia="Calibri" w:hAnsi="Arial" w:cs="Arial"/>
      <w:sz w:val="20"/>
    </w:rPr>
  </w:style>
  <w:style w:type="paragraph" w:styleId="PlainText">
    <w:name w:val="Plain Text"/>
    <w:basedOn w:val="Normal"/>
    <w:link w:val="PlainTextChar"/>
    <w:uiPriority w:val="99"/>
    <w:unhideWhenUsed/>
    <w:rsid w:val="0030523C"/>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30523C"/>
    <w:rPr>
      <w:rFonts w:ascii="Consolas" w:eastAsia="Calibri" w:hAnsi="Consolas" w:cs="Times New Roman"/>
      <w:color w:val="000000"/>
      <w:sz w:val="21"/>
      <w:szCs w:val="21"/>
      <w:lang w:val="x-none" w:eastAsia="x-none"/>
    </w:rPr>
  </w:style>
  <w:style w:type="table" w:styleId="TableGrid">
    <w:name w:val="Table Grid"/>
    <w:basedOn w:val="TableNormal"/>
    <w:uiPriority w:val="39"/>
    <w:rsid w:val="0030523C"/>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2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523C"/>
  </w:style>
  <w:style w:type="numbering" w:customStyle="1" w:styleId="Style1">
    <w:name w:val="Style1"/>
    <w:uiPriority w:val="99"/>
    <w:rsid w:val="0030523C"/>
    <w:pPr>
      <w:numPr>
        <w:numId w:val="2"/>
      </w:numPr>
    </w:pPr>
  </w:style>
  <w:style w:type="character" w:styleId="Strong">
    <w:name w:val="Strong"/>
    <w:uiPriority w:val="22"/>
    <w:qFormat/>
    <w:rsid w:val="0030523C"/>
    <w:rPr>
      <w:b/>
      <w:bCs/>
    </w:rPr>
  </w:style>
  <w:style w:type="character" w:styleId="FollowedHyperlink">
    <w:name w:val="FollowedHyperlink"/>
    <w:uiPriority w:val="99"/>
    <w:unhideWhenUsed/>
    <w:rsid w:val="0030523C"/>
    <w:rPr>
      <w:color w:val="954F72"/>
      <w:u w:val="single"/>
    </w:rPr>
  </w:style>
  <w:style w:type="paragraph" w:styleId="NoSpacing">
    <w:name w:val="No Spacing"/>
    <w:uiPriority w:val="1"/>
    <w:qFormat/>
    <w:rsid w:val="0030523C"/>
    <w:pPr>
      <w:spacing w:after="0" w:line="240" w:lineRule="auto"/>
    </w:pPr>
    <w:rPr>
      <w:rFonts w:ascii="Calibri" w:eastAsia="Calibri" w:hAnsi="Calibri"/>
    </w:rPr>
  </w:style>
  <w:style w:type="character" w:customStyle="1" w:styleId="personname2">
    <w:name w:val="person_name2"/>
    <w:basedOn w:val="DefaultParagraphFont"/>
    <w:rsid w:val="0030523C"/>
  </w:style>
  <w:style w:type="character" w:styleId="Emphasis">
    <w:name w:val="Emphasis"/>
    <w:uiPriority w:val="20"/>
    <w:qFormat/>
    <w:rsid w:val="0030523C"/>
    <w:rPr>
      <w:i/>
      <w:iCs/>
    </w:rPr>
  </w:style>
  <w:style w:type="paragraph" w:styleId="Revision">
    <w:name w:val="Revision"/>
    <w:hidden/>
    <w:uiPriority w:val="99"/>
    <w:semiHidden/>
    <w:rsid w:val="0030523C"/>
    <w:pPr>
      <w:spacing w:after="0" w:line="240" w:lineRule="auto"/>
    </w:pPr>
    <w:rPr>
      <w:rFonts w:ascii="Calibri" w:eastAsia="Calibri" w:hAnsi="Calibri" w:cs="Times New Roman"/>
      <w:color w:val="000000"/>
      <w:szCs w:val="24"/>
    </w:rPr>
  </w:style>
  <w:style w:type="paragraph" w:styleId="EndnoteText">
    <w:name w:val="endnote text"/>
    <w:basedOn w:val="Normal"/>
    <w:link w:val="EndnoteTextChar"/>
    <w:uiPriority w:val="99"/>
    <w:semiHidden/>
    <w:unhideWhenUsed/>
    <w:rsid w:val="0030523C"/>
    <w:rPr>
      <w:rFonts w:ascii="Calibri" w:hAnsi="Calibri" w:cs="Times New Roman"/>
      <w:szCs w:val="20"/>
      <w:lang w:val="x-none" w:eastAsia="x-none"/>
    </w:rPr>
  </w:style>
  <w:style w:type="character" w:customStyle="1" w:styleId="EndnoteTextChar">
    <w:name w:val="Endnote Text Char"/>
    <w:basedOn w:val="DefaultParagraphFont"/>
    <w:link w:val="EndnoteText"/>
    <w:uiPriority w:val="99"/>
    <w:semiHidden/>
    <w:rsid w:val="0030523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30523C"/>
    <w:rPr>
      <w:vertAlign w:val="superscript"/>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rsid w:val="0030523C"/>
    <w:rPr>
      <w:rFonts w:ascii="Arial" w:eastAsia="Times New Roman" w:hAnsi="Arial" w:cs="Times New Roman"/>
      <w:b/>
      <w:bCs/>
      <w:caps/>
      <w:color w:val="FFFFFF"/>
      <w:sz w:val="24"/>
      <w:szCs w:val="28"/>
      <w:shd w:val="clear" w:color="auto" w:fill="244061"/>
      <w:lang w:val="x-none" w:eastAsia="x-none"/>
    </w:rPr>
  </w:style>
  <w:style w:type="paragraph" w:customStyle="1" w:styleId="Sub1">
    <w:name w:val="Sub 1"/>
    <w:basedOn w:val="Normal"/>
    <w:qFormat/>
    <w:rsid w:val="0030523C"/>
    <w:rPr>
      <w:b/>
      <w:color w:val="0070C0"/>
    </w:rPr>
  </w:style>
  <w:style w:type="paragraph" w:customStyle="1" w:styleId="Sub2">
    <w:name w:val="Sub 2"/>
    <w:basedOn w:val="Normal"/>
    <w:qFormat/>
    <w:rsid w:val="0030523C"/>
    <w:rPr>
      <w:rFonts w:eastAsia="Times New Roman" w:cs="Times New Roman"/>
      <w:b/>
      <w:lang w:eastAsia="en-GB"/>
    </w:rPr>
  </w:style>
  <w:style w:type="paragraph" w:customStyle="1" w:styleId="Bullet1">
    <w:name w:val="Bullet 1"/>
    <w:basedOn w:val="Normal"/>
    <w:qFormat/>
    <w:rsid w:val="0030523C"/>
    <w:pPr>
      <w:numPr>
        <w:numId w:val="3"/>
      </w:numPr>
      <w:contextualSpacing/>
    </w:pPr>
    <w:rPr>
      <w:rFonts w:cs="Times New Roman"/>
      <w:color w:val="000000"/>
      <w:lang w:val="en"/>
    </w:rPr>
  </w:style>
  <w:style w:type="paragraph" w:styleId="TOC2">
    <w:name w:val="toc 2"/>
    <w:basedOn w:val="Normal"/>
    <w:next w:val="Normal"/>
    <w:autoRedefine/>
    <w:uiPriority w:val="39"/>
    <w:unhideWhenUsed/>
    <w:rsid w:val="00745254"/>
    <w:pPr>
      <w:tabs>
        <w:tab w:val="left" w:pos="567"/>
        <w:tab w:val="right" w:leader="dot" w:pos="9060"/>
      </w:tabs>
      <w:spacing w:after="100"/>
      <w:ind w:left="850" w:hanging="562"/>
    </w:pPr>
  </w:style>
  <w:style w:type="paragraph" w:styleId="TOC1">
    <w:name w:val="toc 1"/>
    <w:basedOn w:val="Normal"/>
    <w:next w:val="Normal"/>
    <w:autoRedefine/>
    <w:uiPriority w:val="39"/>
    <w:unhideWhenUsed/>
    <w:rsid w:val="002D7F63"/>
    <w:pPr>
      <w:tabs>
        <w:tab w:val="left" w:pos="284"/>
        <w:tab w:val="right" w:leader="dot" w:pos="9060"/>
      </w:tabs>
    </w:pPr>
    <w:rPr>
      <w:b/>
      <w:caps/>
      <w:noProof/>
      <w:szCs w:val="24"/>
    </w:rPr>
  </w:style>
  <w:style w:type="character" w:styleId="PageNumber">
    <w:name w:val="page number"/>
    <w:basedOn w:val="DefaultParagraphFont"/>
    <w:rsid w:val="0030523C"/>
  </w:style>
  <w:style w:type="paragraph" w:customStyle="1" w:styleId="TableText">
    <w:name w:val="Table Text"/>
    <w:rsid w:val="0030523C"/>
    <w:pPr>
      <w:spacing w:after="0" w:line="240" w:lineRule="auto"/>
    </w:pPr>
    <w:rPr>
      <w:rFonts w:ascii="Times New Roman" w:eastAsia="Times New Roman" w:hAnsi="Times New Roman" w:cs="Times New Roman"/>
      <w:snapToGrid w:val="0"/>
      <w:color w:val="000000"/>
      <w:szCs w:val="20"/>
    </w:rPr>
  </w:style>
  <w:style w:type="paragraph" w:styleId="BlockText">
    <w:name w:val="Block Text"/>
    <w:basedOn w:val="Normal"/>
    <w:rsid w:val="0030523C"/>
    <w:pPr>
      <w:ind w:left="426" w:right="-335"/>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30523C"/>
    <w:pPr>
      <w:ind w:left="360"/>
    </w:pPr>
    <w:rPr>
      <w:rFonts w:ascii="Times New Roman" w:eastAsia="Times New Roman" w:hAnsi="Times New Roman" w:cs="Times New Roman"/>
      <w:szCs w:val="20"/>
      <w:lang w:val="en-US" w:eastAsia="x-none"/>
    </w:rPr>
  </w:style>
  <w:style w:type="character" w:customStyle="1" w:styleId="BodyTextIndent2Char">
    <w:name w:val="Body Text Indent 2 Char"/>
    <w:basedOn w:val="DefaultParagraphFont"/>
    <w:link w:val="BodyTextIndent2"/>
    <w:rsid w:val="0030523C"/>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30523C"/>
    <w:pPr>
      <w:ind w:left="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523C"/>
    <w:rPr>
      <w:rFonts w:ascii="Times New Roman" w:eastAsia="Times New Roman" w:hAnsi="Times New Roman" w:cs="Times New Roman"/>
      <w:sz w:val="20"/>
      <w:szCs w:val="20"/>
      <w:lang w:val="x-none" w:eastAsia="x-none"/>
    </w:rPr>
  </w:style>
  <w:style w:type="paragraph" w:styleId="DocumentMap">
    <w:name w:val="Document Map"/>
    <w:basedOn w:val="Normal"/>
    <w:link w:val="DocumentMapChar"/>
    <w:semiHidden/>
    <w:rsid w:val="0030523C"/>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semiHidden/>
    <w:rsid w:val="0030523C"/>
    <w:rPr>
      <w:rFonts w:ascii="Tahoma" w:eastAsia="Times New Roman" w:hAnsi="Tahoma" w:cs="Times New Roman"/>
      <w:sz w:val="24"/>
      <w:szCs w:val="20"/>
      <w:shd w:val="clear" w:color="auto" w:fill="000080"/>
      <w:lang w:val="x-none" w:eastAsia="x-none"/>
    </w:rPr>
  </w:style>
  <w:style w:type="paragraph" w:styleId="EnvelopeReturn">
    <w:name w:val="envelope return"/>
    <w:basedOn w:val="Normal"/>
    <w:rsid w:val="0030523C"/>
    <w:pPr>
      <w:jc w:val="both"/>
    </w:pPr>
    <w:rPr>
      <w:rFonts w:eastAsia="Times New Roman" w:cs="Times New Roman"/>
      <w:szCs w:val="20"/>
    </w:rPr>
  </w:style>
  <w:style w:type="paragraph" w:styleId="BodyTextIndent3">
    <w:name w:val="Body Text Indent 3"/>
    <w:basedOn w:val="Normal"/>
    <w:link w:val="BodyTextIndent3Char"/>
    <w:rsid w:val="0030523C"/>
    <w:pPr>
      <w:tabs>
        <w:tab w:val="left" w:pos="0"/>
        <w:tab w:val="left" w:pos="540"/>
        <w:tab w:val="left" w:pos="851"/>
        <w:tab w:val="left" w:pos="9072"/>
        <w:tab w:val="left" w:pos="9360"/>
      </w:tabs>
      <w:suppressAutoHyphens/>
      <w:ind w:left="993" w:hanging="284"/>
    </w:pPr>
    <w:rPr>
      <w:rFonts w:eastAsia="Times New Roman" w:cs="Times New Roman"/>
      <w:spacing w:val="-3"/>
      <w:szCs w:val="20"/>
      <w:lang w:val="x-none" w:eastAsia="x-none"/>
    </w:rPr>
  </w:style>
  <w:style w:type="character" w:customStyle="1" w:styleId="BodyTextIndent3Char">
    <w:name w:val="Body Text Indent 3 Char"/>
    <w:basedOn w:val="DefaultParagraphFont"/>
    <w:link w:val="BodyTextIndent3"/>
    <w:rsid w:val="0030523C"/>
    <w:rPr>
      <w:rFonts w:ascii="Arial" w:eastAsia="Times New Roman" w:hAnsi="Arial" w:cs="Times New Roman"/>
      <w:spacing w:val="-3"/>
      <w:sz w:val="20"/>
      <w:szCs w:val="20"/>
      <w:lang w:val="x-none" w:eastAsia="x-none"/>
    </w:rPr>
  </w:style>
  <w:style w:type="paragraph" w:customStyle="1" w:styleId="ReportBodyText">
    <w:name w:val="Report Body Text"/>
    <w:basedOn w:val="Normal"/>
    <w:rsid w:val="0030523C"/>
    <w:pPr>
      <w:spacing w:after="120"/>
      <w:jc w:val="both"/>
    </w:pPr>
    <w:rPr>
      <w:rFonts w:eastAsia="Times New Roman" w:cs="Times New Roman"/>
      <w:sz w:val="22"/>
      <w:szCs w:val="20"/>
    </w:rPr>
  </w:style>
  <w:style w:type="paragraph" w:customStyle="1" w:styleId="ReportHead1">
    <w:name w:val="Report Head 1"/>
    <w:basedOn w:val="Normal"/>
    <w:next w:val="Normal"/>
    <w:rsid w:val="0030523C"/>
    <w:pPr>
      <w:numPr>
        <w:numId w:val="5"/>
      </w:numPr>
      <w:spacing w:after="240"/>
      <w:jc w:val="both"/>
      <w:outlineLvl w:val="0"/>
    </w:pPr>
    <w:rPr>
      <w:rFonts w:eastAsia="Times New Roman" w:cs="Times New Roman"/>
      <w:b/>
      <w:caps/>
      <w:szCs w:val="20"/>
    </w:rPr>
  </w:style>
  <w:style w:type="paragraph" w:styleId="ListNumber2">
    <w:name w:val="List Number 2"/>
    <w:basedOn w:val="Normal"/>
    <w:rsid w:val="0030523C"/>
    <w:pPr>
      <w:numPr>
        <w:numId w:val="4"/>
      </w:numPr>
      <w:jc w:val="both"/>
    </w:pPr>
    <w:rPr>
      <w:rFonts w:eastAsia="Times New Roman" w:cs="Times New Roman"/>
      <w:szCs w:val="20"/>
    </w:rPr>
  </w:style>
  <w:style w:type="paragraph" w:customStyle="1" w:styleId="ReportHead2">
    <w:name w:val="Report Head 2"/>
    <w:basedOn w:val="Normal"/>
    <w:next w:val="Normal"/>
    <w:rsid w:val="0030523C"/>
    <w:pPr>
      <w:numPr>
        <w:ilvl w:val="1"/>
        <w:numId w:val="6"/>
      </w:numPr>
      <w:spacing w:after="240"/>
      <w:jc w:val="both"/>
      <w:outlineLvl w:val="1"/>
    </w:pPr>
    <w:rPr>
      <w:rFonts w:eastAsia="Times New Roman" w:cs="Times New Roman"/>
      <w:b/>
      <w:szCs w:val="20"/>
    </w:rPr>
  </w:style>
  <w:style w:type="paragraph" w:customStyle="1" w:styleId="ReportHead3">
    <w:name w:val="Report Head 3"/>
    <w:basedOn w:val="Normal"/>
    <w:next w:val="Normal"/>
    <w:rsid w:val="0030523C"/>
    <w:pPr>
      <w:numPr>
        <w:ilvl w:val="1"/>
        <w:numId w:val="5"/>
      </w:numPr>
      <w:spacing w:after="120"/>
      <w:jc w:val="both"/>
      <w:outlineLvl w:val="1"/>
    </w:pPr>
    <w:rPr>
      <w:rFonts w:eastAsia="Times New Roman" w:cs="Times New Roman"/>
      <w:szCs w:val="20"/>
    </w:rPr>
  </w:style>
  <w:style w:type="paragraph" w:customStyle="1" w:styleId="ReportHead4">
    <w:name w:val="Report Head 4"/>
    <w:basedOn w:val="Normal"/>
    <w:rsid w:val="0030523C"/>
    <w:pPr>
      <w:numPr>
        <w:ilvl w:val="2"/>
        <w:numId w:val="5"/>
      </w:numPr>
      <w:spacing w:after="120"/>
      <w:jc w:val="both"/>
      <w:outlineLvl w:val="2"/>
    </w:pPr>
    <w:rPr>
      <w:rFonts w:eastAsia="Times New Roman" w:cs="Times New Roman"/>
      <w:szCs w:val="20"/>
    </w:rPr>
  </w:style>
  <w:style w:type="paragraph" w:customStyle="1" w:styleId="ReportHead5">
    <w:name w:val="Report Head 5"/>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ReportHead6">
    <w:name w:val="Report Head 6"/>
    <w:basedOn w:val="Normal"/>
    <w:rsid w:val="0030523C"/>
    <w:pPr>
      <w:tabs>
        <w:tab w:val="num" w:pos="850"/>
      </w:tabs>
      <w:spacing w:after="120"/>
      <w:ind w:left="850" w:hanging="850"/>
      <w:jc w:val="both"/>
      <w:outlineLvl w:val="4"/>
    </w:pPr>
    <w:rPr>
      <w:rFonts w:eastAsia="Times New Roman" w:cs="Times New Roman"/>
      <w:szCs w:val="20"/>
    </w:rPr>
  </w:style>
  <w:style w:type="paragraph" w:customStyle="1" w:styleId="lefttext">
    <w:name w:val="lefttext"/>
    <w:basedOn w:val="Normal"/>
    <w:rsid w:val="0030523C"/>
    <w:pPr>
      <w:spacing w:before="100" w:beforeAutospacing="1" w:after="100" w:afterAutospacing="1"/>
    </w:pPr>
    <w:rPr>
      <w:rFonts w:ascii="Times New Roman" w:eastAsia="Times New Roman" w:hAnsi="Times New Roman" w:cs="Times New Roman"/>
      <w:szCs w:val="24"/>
      <w:lang w:val="nl-BE" w:eastAsia="nl-BE"/>
    </w:rPr>
  </w:style>
  <w:style w:type="paragraph" w:customStyle="1" w:styleId="ListBullet1">
    <w:name w:val="List Bullet 1"/>
    <w:basedOn w:val="Normal"/>
    <w:rsid w:val="0030523C"/>
    <w:pPr>
      <w:numPr>
        <w:numId w:val="7"/>
      </w:numPr>
      <w:spacing w:after="240"/>
      <w:jc w:val="both"/>
    </w:pPr>
    <w:rPr>
      <w:rFonts w:ascii="Times New Roman" w:eastAsia="Times New Roman" w:hAnsi="Times New Roman" w:cs="Times New Roman"/>
      <w:szCs w:val="20"/>
    </w:rPr>
  </w:style>
  <w:style w:type="paragraph" w:customStyle="1" w:styleId="Text1">
    <w:name w:val="Text 1"/>
    <w:basedOn w:val="Normal"/>
    <w:rsid w:val="0030523C"/>
    <w:pPr>
      <w:spacing w:after="240"/>
      <w:ind w:left="482"/>
      <w:jc w:val="both"/>
    </w:pPr>
    <w:rPr>
      <w:rFonts w:ascii="Times New Roman" w:eastAsia="Times New Roman" w:hAnsi="Times New Roman" w:cs="Times New Roman"/>
      <w:szCs w:val="20"/>
    </w:rPr>
  </w:style>
  <w:style w:type="paragraph" w:customStyle="1" w:styleId="Text3">
    <w:name w:val="Text 3"/>
    <w:basedOn w:val="Normal"/>
    <w:rsid w:val="0030523C"/>
    <w:pPr>
      <w:tabs>
        <w:tab w:val="left" w:pos="2302"/>
      </w:tabs>
      <w:spacing w:after="240"/>
      <w:ind w:left="1916"/>
      <w:jc w:val="both"/>
    </w:pPr>
    <w:rPr>
      <w:rFonts w:ascii="Times New Roman" w:eastAsia="Times New Roman" w:hAnsi="Times New Roman" w:cs="Times New Roman"/>
      <w:szCs w:val="20"/>
    </w:rPr>
  </w:style>
  <w:style w:type="paragraph" w:styleId="ListBullet2">
    <w:name w:val="List Bullet 2"/>
    <w:basedOn w:val="Normal"/>
    <w:rsid w:val="0030523C"/>
    <w:pPr>
      <w:numPr>
        <w:numId w:val="8"/>
      </w:numPr>
      <w:spacing w:after="240"/>
      <w:jc w:val="both"/>
    </w:pPr>
    <w:rPr>
      <w:rFonts w:ascii="Times New Roman" w:eastAsia="Times New Roman" w:hAnsi="Times New Roman" w:cs="Times New Roman"/>
      <w:szCs w:val="20"/>
    </w:rPr>
  </w:style>
  <w:style w:type="paragraph" w:customStyle="1" w:styleId="questionsub">
    <w:name w:val="question sub"/>
    <w:basedOn w:val="Normal"/>
    <w:rsid w:val="0030523C"/>
    <w:pPr>
      <w:spacing w:after="120"/>
      <w:ind w:left="576" w:hanging="288"/>
    </w:pPr>
    <w:rPr>
      <w:rFonts w:ascii="Times New Roman" w:eastAsia="Times New Roman" w:hAnsi="Times New Roman" w:cs="Times New Roman"/>
      <w:sz w:val="22"/>
      <w:szCs w:val="20"/>
      <w:lang w:val="en-US"/>
    </w:rPr>
  </w:style>
  <w:style w:type="paragraph" w:customStyle="1" w:styleId="TableauNormal1">
    <w:name w:val="Tableau Normal1"/>
    <w:basedOn w:val="Header"/>
    <w:rsid w:val="0030523C"/>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30523C"/>
    <w:rPr>
      <w:rFonts w:ascii="Tahoma" w:eastAsia="Times New Roman" w:hAnsi="Tahoma" w:cs="Tahoma"/>
      <w:sz w:val="16"/>
    </w:rPr>
  </w:style>
  <w:style w:type="paragraph" w:customStyle="1" w:styleId="MSStandardLevel2">
    <w:name w:val="MS Standard Level 2"/>
    <w:basedOn w:val="Normal"/>
    <w:rsid w:val="0030523C"/>
    <w:pPr>
      <w:tabs>
        <w:tab w:val="num" w:pos="850"/>
      </w:tabs>
      <w:spacing w:after="120"/>
      <w:ind w:left="850" w:hanging="850"/>
      <w:jc w:val="both"/>
      <w:outlineLvl w:val="1"/>
    </w:pPr>
    <w:rPr>
      <w:rFonts w:eastAsia="Times New Roman" w:cs="Times New Roman"/>
      <w:szCs w:val="20"/>
    </w:rPr>
  </w:style>
  <w:style w:type="paragraph" w:customStyle="1" w:styleId="MSStandardLevel3">
    <w:name w:val="MS Standard Level 3"/>
    <w:basedOn w:val="Normal"/>
    <w:rsid w:val="0030523C"/>
    <w:pPr>
      <w:tabs>
        <w:tab w:val="num" w:pos="850"/>
      </w:tabs>
      <w:spacing w:after="120"/>
      <w:ind w:left="850" w:hanging="850"/>
      <w:jc w:val="both"/>
      <w:outlineLvl w:val="2"/>
    </w:pPr>
    <w:rPr>
      <w:rFonts w:eastAsia="Times New Roman" w:cs="Times New Roman"/>
      <w:szCs w:val="20"/>
    </w:rPr>
  </w:style>
  <w:style w:type="paragraph" w:customStyle="1" w:styleId="MSStandardLevel4">
    <w:name w:val="MS Standard Level 4"/>
    <w:basedOn w:val="Normal"/>
    <w:rsid w:val="0030523C"/>
    <w:pPr>
      <w:tabs>
        <w:tab w:val="num" w:pos="1134"/>
      </w:tabs>
      <w:spacing w:after="120"/>
      <w:ind w:left="1134" w:hanging="1134"/>
      <w:jc w:val="both"/>
      <w:outlineLvl w:val="3"/>
    </w:pPr>
    <w:rPr>
      <w:rFonts w:eastAsia="Times New Roman" w:cs="Times New Roman"/>
      <w:szCs w:val="20"/>
    </w:rPr>
  </w:style>
  <w:style w:type="paragraph" w:customStyle="1" w:styleId="MSStandardLevel5">
    <w:name w:val="MS Standard Level 5"/>
    <w:basedOn w:val="Normal"/>
    <w:rsid w:val="0030523C"/>
    <w:pPr>
      <w:tabs>
        <w:tab w:val="left" w:pos="1134"/>
        <w:tab w:val="num" w:pos="1440"/>
      </w:tabs>
      <w:spacing w:after="120"/>
      <w:ind w:left="1134" w:hanging="1134"/>
      <w:jc w:val="both"/>
      <w:outlineLvl w:val="4"/>
    </w:pPr>
    <w:rPr>
      <w:rFonts w:eastAsia="Times New Roman" w:cs="Times New Roman"/>
      <w:szCs w:val="20"/>
    </w:rPr>
  </w:style>
  <w:style w:type="paragraph" w:customStyle="1" w:styleId="MSStandardLevel6">
    <w:name w:val="MS Standard Level 6"/>
    <w:basedOn w:val="Normal"/>
    <w:rsid w:val="0030523C"/>
    <w:pPr>
      <w:tabs>
        <w:tab w:val="left" w:pos="1134"/>
        <w:tab w:val="num" w:pos="1440"/>
      </w:tabs>
      <w:spacing w:after="120"/>
      <w:ind w:left="1134" w:hanging="1134"/>
      <w:jc w:val="both"/>
      <w:outlineLvl w:val="5"/>
    </w:pPr>
    <w:rPr>
      <w:rFonts w:eastAsia="Times New Roman" w:cs="Times New Roman"/>
      <w:szCs w:val="20"/>
    </w:rPr>
  </w:style>
  <w:style w:type="paragraph" w:customStyle="1" w:styleId="MSStandardLevel7">
    <w:name w:val="MS Standard Level 7"/>
    <w:basedOn w:val="Normal"/>
    <w:rsid w:val="0030523C"/>
    <w:pPr>
      <w:tabs>
        <w:tab w:val="left" w:pos="1418"/>
        <w:tab w:val="num" w:pos="1797"/>
      </w:tabs>
      <w:spacing w:after="120"/>
      <w:ind w:left="1417" w:hanging="1417"/>
      <w:jc w:val="both"/>
      <w:outlineLvl w:val="6"/>
    </w:pPr>
    <w:rPr>
      <w:rFonts w:eastAsia="Times New Roman" w:cs="Times New Roman"/>
      <w:szCs w:val="20"/>
    </w:rPr>
  </w:style>
  <w:style w:type="paragraph" w:customStyle="1" w:styleId="MSHouseLevel2">
    <w:name w:val="MS House Level 2"/>
    <w:basedOn w:val="Normal"/>
    <w:rsid w:val="0030523C"/>
    <w:pPr>
      <w:numPr>
        <w:ilvl w:val="1"/>
        <w:numId w:val="9"/>
      </w:numPr>
      <w:spacing w:after="120"/>
      <w:jc w:val="both"/>
      <w:outlineLvl w:val="1"/>
    </w:pPr>
    <w:rPr>
      <w:rFonts w:eastAsia="Times New Roman" w:cs="Times New Roman"/>
      <w:szCs w:val="20"/>
    </w:rPr>
  </w:style>
  <w:style w:type="paragraph" w:customStyle="1" w:styleId="MSHouseLevel3">
    <w:name w:val="MS House Level 3"/>
    <w:basedOn w:val="Normal"/>
    <w:rsid w:val="0030523C"/>
    <w:pPr>
      <w:spacing w:after="120"/>
      <w:jc w:val="both"/>
      <w:outlineLvl w:val="2"/>
    </w:pPr>
    <w:rPr>
      <w:rFonts w:eastAsia="Times New Roman" w:cs="Times New Roman"/>
      <w:szCs w:val="20"/>
    </w:rPr>
  </w:style>
  <w:style w:type="paragraph" w:customStyle="1" w:styleId="MSHouseLevel4">
    <w:name w:val="MS House Level 4"/>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MSHouseLevel5">
    <w:name w:val="MS House Level 5"/>
    <w:basedOn w:val="Normal"/>
    <w:rsid w:val="0030523C"/>
    <w:pPr>
      <w:tabs>
        <w:tab w:val="num" w:pos="851"/>
      </w:tabs>
      <w:spacing w:after="120"/>
      <w:ind w:left="851" w:hanging="851"/>
      <w:jc w:val="both"/>
      <w:outlineLvl w:val="4"/>
    </w:pPr>
    <w:rPr>
      <w:rFonts w:eastAsia="Times New Roman" w:cs="Times New Roman"/>
      <w:szCs w:val="20"/>
    </w:rPr>
  </w:style>
  <w:style w:type="paragraph" w:customStyle="1" w:styleId="MSHouseLevel6">
    <w:name w:val="MS House Level 6"/>
    <w:basedOn w:val="Normal"/>
    <w:rsid w:val="0030523C"/>
    <w:pPr>
      <w:tabs>
        <w:tab w:val="num" w:pos="1418"/>
      </w:tabs>
      <w:spacing w:after="120"/>
      <w:ind w:left="1418" w:hanging="567"/>
      <w:jc w:val="both"/>
      <w:outlineLvl w:val="5"/>
    </w:pPr>
    <w:rPr>
      <w:rFonts w:eastAsia="Times New Roman" w:cs="Times New Roman"/>
      <w:szCs w:val="20"/>
    </w:rPr>
  </w:style>
  <w:style w:type="paragraph" w:customStyle="1" w:styleId="MSHouseLevel7">
    <w:name w:val="MS House Level 7"/>
    <w:basedOn w:val="Normal"/>
    <w:rsid w:val="0030523C"/>
    <w:pPr>
      <w:tabs>
        <w:tab w:val="num" w:pos="1985"/>
      </w:tabs>
      <w:spacing w:after="120"/>
      <w:ind w:left="1985" w:hanging="567"/>
      <w:jc w:val="both"/>
      <w:outlineLvl w:val="6"/>
    </w:pPr>
    <w:rPr>
      <w:rFonts w:eastAsia="Times New Roman" w:cs="Times New Roman"/>
      <w:szCs w:val="20"/>
    </w:rPr>
  </w:style>
  <w:style w:type="paragraph" w:customStyle="1" w:styleId="MSLetterLevel2">
    <w:name w:val="MS Letter Level 2"/>
    <w:basedOn w:val="MSLetterLevel1"/>
    <w:rsid w:val="0030523C"/>
  </w:style>
  <w:style w:type="paragraph" w:customStyle="1" w:styleId="MSLetterLevel1">
    <w:name w:val="MS Letter Level 1"/>
    <w:basedOn w:val="Normal"/>
    <w:rsid w:val="0030523C"/>
    <w:pPr>
      <w:tabs>
        <w:tab w:val="num" w:pos="360"/>
      </w:tabs>
      <w:spacing w:after="120"/>
      <w:ind w:left="360" w:hanging="360"/>
      <w:jc w:val="both"/>
    </w:pPr>
    <w:rPr>
      <w:rFonts w:eastAsia="Times New Roman" w:cs="Times New Roman"/>
      <w:szCs w:val="20"/>
    </w:rPr>
  </w:style>
  <w:style w:type="paragraph" w:customStyle="1" w:styleId="MSLetterLevel3">
    <w:name w:val="MS Letter Level 3"/>
    <w:basedOn w:val="MSLetterLevel2"/>
    <w:rsid w:val="0030523C"/>
    <w:pPr>
      <w:tabs>
        <w:tab w:val="left" w:pos="1134"/>
      </w:tabs>
    </w:pPr>
  </w:style>
  <w:style w:type="paragraph" w:customStyle="1" w:styleId="NoteHead">
    <w:name w:val="NoteHead"/>
    <w:basedOn w:val="Normal"/>
    <w:next w:val="Subject"/>
    <w:rsid w:val="0030523C"/>
    <w:pPr>
      <w:spacing w:before="720" w:after="720"/>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30523C"/>
    <w:pPr>
      <w:spacing w:after="480"/>
      <w:ind w:left="1191" w:hanging="1191"/>
    </w:pPr>
    <w:rPr>
      <w:rFonts w:ascii="Times New Roman" w:eastAsia="Times New Roman" w:hAnsi="Times New Roman" w:cs="Times New Roman"/>
      <w:b/>
      <w:szCs w:val="20"/>
    </w:rPr>
  </w:style>
  <w:style w:type="paragraph" w:customStyle="1" w:styleId="References">
    <w:name w:val="References"/>
    <w:basedOn w:val="Normal"/>
    <w:next w:val="AddressTR"/>
    <w:rsid w:val="0030523C"/>
    <w:pPr>
      <w:spacing w:after="240"/>
      <w:ind w:left="5103"/>
    </w:pPr>
    <w:rPr>
      <w:rFonts w:ascii="Times New Roman" w:eastAsia="Times New Roman" w:hAnsi="Times New Roman" w:cs="Times New Roman"/>
      <w:szCs w:val="20"/>
    </w:rPr>
  </w:style>
  <w:style w:type="paragraph" w:customStyle="1" w:styleId="AddressTR">
    <w:name w:val="AddressTR"/>
    <w:basedOn w:val="Normal"/>
    <w:next w:val="Normal"/>
    <w:rsid w:val="0030523C"/>
    <w:pPr>
      <w:spacing w:after="720"/>
      <w:ind w:left="5103"/>
    </w:pPr>
    <w:rPr>
      <w:rFonts w:ascii="Times New Roman" w:eastAsia="Times New Roman" w:hAnsi="Times New Roman" w:cs="Times New Roman"/>
      <w:szCs w:val="20"/>
    </w:rPr>
  </w:style>
  <w:style w:type="paragraph" w:styleId="Title">
    <w:name w:val="Title"/>
    <w:basedOn w:val="Normal"/>
    <w:next w:val="SubTitle1"/>
    <w:link w:val="TitleChar"/>
    <w:qFormat/>
    <w:rsid w:val="0030523C"/>
    <w:pPr>
      <w:spacing w:after="480"/>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30523C"/>
    <w:rPr>
      <w:rFonts w:ascii="Times New Roman" w:eastAsia="Times New Roman" w:hAnsi="Times New Roman" w:cs="Times New Roman"/>
      <w:b/>
      <w:kern w:val="28"/>
      <w:sz w:val="48"/>
      <w:szCs w:val="20"/>
      <w:lang w:val="x-none" w:eastAsia="x-none"/>
    </w:rPr>
  </w:style>
  <w:style w:type="paragraph" w:customStyle="1" w:styleId="SubTitle1">
    <w:name w:val="SubTitle 1"/>
    <w:basedOn w:val="Normal"/>
    <w:next w:val="SubTitle2"/>
    <w:rsid w:val="0030523C"/>
    <w:pPr>
      <w:spacing w:after="240"/>
      <w:jc w:val="center"/>
    </w:pPr>
    <w:rPr>
      <w:rFonts w:ascii="Times New Roman" w:eastAsia="Times New Roman" w:hAnsi="Times New Roman" w:cs="Times New Roman"/>
      <w:b/>
      <w:sz w:val="40"/>
      <w:szCs w:val="20"/>
    </w:rPr>
  </w:style>
  <w:style w:type="paragraph" w:customStyle="1" w:styleId="SubTitle2">
    <w:name w:val="SubTitle 2"/>
    <w:basedOn w:val="Normal"/>
    <w:rsid w:val="0030523C"/>
    <w:pPr>
      <w:spacing w:after="240"/>
      <w:jc w:val="center"/>
    </w:pPr>
    <w:rPr>
      <w:rFonts w:ascii="Times New Roman" w:eastAsia="Times New Roman" w:hAnsi="Times New Roman" w:cs="Times New Roman"/>
      <w:b/>
      <w:sz w:val="32"/>
      <w:szCs w:val="20"/>
    </w:rPr>
  </w:style>
  <w:style w:type="paragraph" w:customStyle="1" w:styleId="Text2">
    <w:name w:val="Text 2"/>
    <w:basedOn w:val="Normal"/>
    <w:rsid w:val="0030523C"/>
    <w:pPr>
      <w:tabs>
        <w:tab w:val="left" w:pos="2161"/>
      </w:tabs>
      <w:spacing w:after="240"/>
      <w:ind w:left="1202"/>
      <w:jc w:val="both"/>
    </w:pPr>
    <w:rPr>
      <w:rFonts w:ascii="Times New Roman" w:eastAsia="Times New Roman" w:hAnsi="Times New Roman" w:cs="Times New Roman"/>
      <w:szCs w:val="20"/>
    </w:rPr>
  </w:style>
  <w:style w:type="paragraph" w:customStyle="1" w:styleId="ChapterTitle">
    <w:name w:val="ChapterTitle"/>
    <w:basedOn w:val="Normal"/>
    <w:next w:val="SectionTitle"/>
    <w:rsid w:val="0030523C"/>
    <w:pPr>
      <w:keepNext/>
      <w:spacing w:after="480"/>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rsid w:val="0030523C"/>
    <w:pPr>
      <w:keepNext/>
      <w:spacing w:after="480"/>
      <w:jc w:val="center"/>
    </w:pPr>
    <w:rPr>
      <w:rFonts w:ascii="Times New Roman" w:eastAsia="Times New Roman" w:hAnsi="Times New Roman" w:cs="Times New Roman"/>
      <w:b/>
      <w:smallCaps/>
      <w:sz w:val="28"/>
      <w:szCs w:val="20"/>
    </w:rPr>
  </w:style>
  <w:style w:type="paragraph" w:styleId="Index7">
    <w:name w:val="index 7"/>
    <w:basedOn w:val="Normal"/>
    <w:next w:val="Normal"/>
    <w:autoRedefine/>
    <w:semiHidden/>
    <w:rsid w:val="0030523C"/>
    <w:pPr>
      <w:spacing w:after="240"/>
      <w:ind w:left="168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30523C"/>
    <w:pPr>
      <w:spacing w:after="240"/>
      <w:ind w:left="2160" w:hanging="240"/>
      <w:jc w:val="both"/>
    </w:pPr>
    <w:rPr>
      <w:rFonts w:ascii="Times New Roman" w:eastAsia="Times New Roman" w:hAnsi="Times New Roman" w:cs="Times New Roman"/>
      <w:szCs w:val="20"/>
    </w:rPr>
  </w:style>
  <w:style w:type="paragraph" w:customStyle="1" w:styleId="MSHouseLevel1">
    <w:name w:val="MS House Level 1"/>
    <w:basedOn w:val="Normal"/>
    <w:rsid w:val="0030523C"/>
    <w:pPr>
      <w:numPr>
        <w:numId w:val="9"/>
      </w:numPr>
      <w:spacing w:after="240"/>
      <w:jc w:val="both"/>
      <w:outlineLvl w:val="0"/>
    </w:pPr>
    <w:rPr>
      <w:rFonts w:eastAsia="Times New Roman" w:cs="Times New Roman"/>
      <w:b/>
      <w:caps/>
      <w:sz w:val="22"/>
      <w:szCs w:val="20"/>
    </w:rPr>
  </w:style>
  <w:style w:type="paragraph" w:styleId="TOC3">
    <w:name w:val="toc 3"/>
    <w:basedOn w:val="Normal"/>
    <w:next w:val="Normal"/>
    <w:autoRedefine/>
    <w:uiPriority w:val="39"/>
    <w:rsid w:val="0030523C"/>
    <w:pPr>
      <w:tabs>
        <w:tab w:val="left" w:pos="1200"/>
        <w:tab w:val="right" w:leader="dot" w:pos="8778"/>
      </w:tabs>
      <w:ind w:left="480"/>
    </w:pPr>
    <w:rPr>
      <w:rFonts w:eastAsia="Times New Roman"/>
      <w:noProof/>
      <w:szCs w:val="20"/>
    </w:rPr>
  </w:style>
  <w:style w:type="paragraph" w:styleId="TOC4">
    <w:name w:val="toc 4"/>
    <w:basedOn w:val="Normal"/>
    <w:next w:val="Normal"/>
    <w:autoRedefine/>
    <w:semiHidden/>
    <w:rsid w:val="0030523C"/>
    <w:pPr>
      <w:ind w:left="720"/>
    </w:pPr>
    <w:rPr>
      <w:rFonts w:ascii="Times New Roman" w:eastAsia="Times New Roman" w:hAnsi="Times New Roman" w:cs="Times New Roman"/>
      <w:szCs w:val="24"/>
    </w:rPr>
  </w:style>
  <w:style w:type="paragraph" w:styleId="TOC5">
    <w:name w:val="toc 5"/>
    <w:basedOn w:val="Normal"/>
    <w:next w:val="Normal"/>
    <w:autoRedefine/>
    <w:semiHidden/>
    <w:rsid w:val="0030523C"/>
    <w:pPr>
      <w:ind w:left="960"/>
    </w:pPr>
    <w:rPr>
      <w:rFonts w:ascii="Times New Roman" w:eastAsia="Times New Roman" w:hAnsi="Times New Roman" w:cs="Times New Roman"/>
      <w:szCs w:val="24"/>
    </w:rPr>
  </w:style>
  <w:style w:type="paragraph" w:styleId="TOC6">
    <w:name w:val="toc 6"/>
    <w:basedOn w:val="Normal"/>
    <w:next w:val="Normal"/>
    <w:autoRedefine/>
    <w:semiHidden/>
    <w:rsid w:val="0030523C"/>
    <w:pPr>
      <w:ind w:left="1200"/>
    </w:pPr>
    <w:rPr>
      <w:rFonts w:ascii="Times New Roman" w:eastAsia="Times New Roman" w:hAnsi="Times New Roman" w:cs="Times New Roman"/>
      <w:szCs w:val="24"/>
    </w:rPr>
  </w:style>
  <w:style w:type="paragraph" w:styleId="TOC7">
    <w:name w:val="toc 7"/>
    <w:basedOn w:val="Normal"/>
    <w:next w:val="Normal"/>
    <w:autoRedefine/>
    <w:semiHidden/>
    <w:rsid w:val="0030523C"/>
    <w:pPr>
      <w:ind w:left="1440"/>
    </w:pPr>
    <w:rPr>
      <w:rFonts w:ascii="Times New Roman" w:eastAsia="Times New Roman" w:hAnsi="Times New Roman" w:cs="Times New Roman"/>
      <w:szCs w:val="24"/>
    </w:rPr>
  </w:style>
  <w:style w:type="paragraph" w:styleId="TOC8">
    <w:name w:val="toc 8"/>
    <w:basedOn w:val="Normal"/>
    <w:next w:val="Normal"/>
    <w:autoRedefine/>
    <w:semiHidden/>
    <w:rsid w:val="0030523C"/>
    <w:pPr>
      <w:ind w:left="1680"/>
    </w:pPr>
    <w:rPr>
      <w:rFonts w:ascii="Times New Roman" w:eastAsia="Times New Roman" w:hAnsi="Times New Roman" w:cs="Times New Roman"/>
      <w:szCs w:val="24"/>
    </w:rPr>
  </w:style>
  <w:style w:type="paragraph" w:styleId="TOC9">
    <w:name w:val="toc 9"/>
    <w:basedOn w:val="Normal"/>
    <w:next w:val="Normal"/>
    <w:autoRedefine/>
    <w:semiHidden/>
    <w:rsid w:val="0030523C"/>
    <w:pPr>
      <w:ind w:left="1920"/>
    </w:pPr>
    <w:rPr>
      <w:rFonts w:ascii="Times New Roman" w:eastAsia="Times New Roman" w:hAnsi="Times New Roman" w:cs="Times New Roman"/>
      <w:szCs w:val="24"/>
    </w:rPr>
  </w:style>
  <w:style w:type="paragraph" w:customStyle="1" w:styleId="MSBulletLevel1">
    <w:name w:val="MS Bullet Level 1"/>
    <w:basedOn w:val="Normal"/>
    <w:rsid w:val="0030523C"/>
    <w:pPr>
      <w:numPr>
        <w:numId w:val="10"/>
      </w:numPr>
      <w:spacing w:after="120"/>
      <w:jc w:val="both"/>
    </w:pPr>
    <w:rPr>
      <w:rFonts w:eastAsia="Times New Roman" w:cs="Times New Roman"/>
      <w:szCs w:val="20"/>
    </w:rPr>
  </w:style>
  <w:style w:type="paragraph" w:styleId="Caption">
    <w:name w:val="caption"/>
    <w:basedOn w:val="Normal"/>
    <w:next w:val="Normal"/>
    <w:qFormat/>
    <w:rsid w:val="0030523C"/>
    <w:pPr>
      <w:spacing w:before="120" w:after="120"/>
      <w:jc w:val="both"/>
    </w:pPr>
    <w:rPr>
      <w:rFonts w:ascii="Times New Roman" w:eastAsia="Times New Roman" w:hAnsi="Times New Roman" w:cs="Times New Roman"/>
      <w:b/>
      <w:szCs w:val="20"/>
    </w:rPr>
  </w:style>
  <w:style w:type="paragraph" w:styleId="List">
    <w:name w:val="List"/>
    <w:basedOn w:val="Normal"/>
    <w:rsid w:val="0030523C"/>
    <w:pPr>
      <w:spacing w:after="240"/>
      <w:ind w:left="283" w:hanging="283"/>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30523C"/>
    <w:pPr>
      <w:spacing w:after="240"/>
      <w:jc w:val="both"/>
    </w:pPr>
    <w:rPr>
      <w:rFonts w:ascii="Times New Roman" w:eastAsia="Times New Roman" w:hAnsi="Times New Roman" w:cs="Times New Roman"/>
      <w:szCs w:val="20"/>
      <w:lang w:val="x-none" w:eastAsia="x-none"/>
    </w:rPr>
  </w:style>
  <w:style w:type="character" w:customStyle="1" w:styleId="NoteHeadingChar">
    <w:name w:val="Note Heading Char"/>
    <w:basedOn w:val="DefaultParagraphFont"/>
    <w:link w:val="NoteHeading"/>
    <w:rsid w:val="0030523C"/>
    <w:rPr>
      <w:rFonts w:ascii="Times New Roman" w:eastAsia="Times New Roman" w:hAnsi="Times New Roman" w:cs="Times New Roman"/>
      <w:sz w:val="24"/>
      <w:szCs w:val="20"/>
      <w:lang w:val="x-none" w:eastAsia="x-none"/>
    </w:rPr>
  </w:style>
  <w:style w:type="paragraph" w:customStyle="1" w:styleId="MSBulletLevel2">
    <w:name w:val="MS Bullet Level 2"/>
    <w:basedOn w:val="Normal"/>
    <w:rsid w:val="0030523C"/>
    <w:pPr>
      <w:numPr>
        <w:ilvl w:val="1"/>
        <w:numId w:val="11"/>
      </w:numPr>
      <w:spacing w:after="120"/>
      <w:jc w:val="both"/>
    </w:pPr>
    <w:rPr>
      <w:rFonts w:eastAsia="Times New Roman" w:cs="Times New Roman"/>
      <w:szCs w:val="20"/>
    </w:rPr>
  </w:style>
  <w:style w:type="paragraph" w:customStyle="1" w:styleId="MSBulletLevel3">
    <w:name w:val="MS Bullet Level 3"/>
    <w:basedOn w:val="Normal"/>
    <w:rsid w:val="0030523C"/>
    <w:pPr>
      <w:numPr>
        <w:ilvl w:val="2"/>
        <w:numId w:val="11"/>
      </w:numPr>
      <w:spacing w:after="120"/>
      <w:jc w:val="both"/>
    </w:pPr>
    <w:rPr>
      <w:rFonts w:eastAsia="Times New Roman" w:cs="Times New Roman"/>
      <w:szCs w:val="20"/>
    </w:rPr>
  </w:style>
  <w:style w:type="paragraph" w:styleId="ListNumber3">
    <w:name w:val="List Number 3"/>
    <w:basedOn w:val="Text3"/>
    <w:rsid w:val="0030523C"/>
    <w:pPr>
      <w:numPr>
        <w:numId w:val="12"/>
      </w:numPr>
      <w:tabs>
        <w:tab w:val="clear" w:pos="2302"/>
      </w:tabs>
    </w:pPr>
  </w:style>
  <w:style w:type="paragraph" w:customStyle="1" w:styleId="ListNumber3Level2">
    <w:name w:val="List Number 3 (Level 2)"/>
    <w:basedOn w:val="Text3"/>
    <w:rsid w:val="0030523C"/>
    <w:pPr>
      <w:numPr>
        <w:ilvl w:val="1"/>
        <w:numId w:val="12"/>
      </w:numPr>
      <w:tabs>
        <w:tab w:val="clear" w:pos="2302"/>
      </w:tabs>
    </w:pPr>
  </w:style>
  <w:style w:type="paragraph" w:customStyle="1" w:styleId="ListNumber3Level3">
    <w:name w:val="List Number 3 (Level 3)"/>
    <w:basedOn w:val="Text3"/>
    <w:rsid w:val="0030523C"/>
    <w:pPr>
      <w:numPr>
        <w:ilvl w:val="2"/>
        <w:numId w:val="12"/>
      </w:numPr>
      <w:tabs>
        <w:tab w:val="clear" w:pos="2302"/>
      </w:tabs>
    </w:pPr>
  </w:style>
  <w:style w:type="paragraph" w:customStyle="1" w:styleId="ListNumber3Level4">
    <w:name w:val="List Number 3 (Level 4)"/>
    <w:basedOn w:val="Text3"/>
    <w:rsid w:val="0030523C"/>
    <w:pPr>
      <w:numPr>
        <w:ilvl w:val="3"/>
        <w:numId w:val="12"/>
      </w:numPr>
      <w:tabs>
        <w:tab w:val="clear" w:pos="2302"/>
      </w:tabs>
    </w:pPr>
  </w:style>
  <w:style w:type="paragraph" w:customStyle="1" w:styleId="ListParagraph1">
    <w:name w:val="List Paragraph1"/>
    <w:basedOn w:val="Normal"/>
    <w:uiPriority w:val="34"/>
    <w:qFormat/>
    <w:rsid w:val="0030523C"/>
    <w:pPr>
      <w:spacing w:after="200" w:line="276" w:lineRule="auto"/>
      <w:ind w:left="720"/>
      <w:contextualSpacing/>
    </w:pPr>
    <w:rPr>
      <w:rFonts w:ascii="Calibri" w:hAnsi="Calibri" w:cs="Times New Roman"/>
      <w:sz w:val="22"/>
    </w:rPr>
  </w:style>
  <w:style w:type="paragraph" w:customStyle="1" w:styleId="Heading">
    <w:name w:val="Heading"/>
    <w:next w:val="Normal"/>
    <w:rsid w:val="0030523C"/>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30523C"/>
    <w:pPr>
      <w:spacing w:after="0" w:line="240" w:lineRule="auto"/>
      <w:jc w:val="both"/>
    </w:pPr>
    <w:rPr>
      <w:rFonts w:ascii="Calibri" w:eastAsia="ヒラギノ角ゴ Pro W3" w:hAnsi="Calibri" w:cs="Times New Roman"/>
      <w:color w:val="000000"/>
      <w:szCs w:val="20"/>
    </w:rPr>
  </w:style>
  <w:style w:type="paragraph" w:styleId="MacroText">
    <w:name w:val="macro"/>
    <w:link w:val="MacroTextChar"/>
    <w:rsid w:val="0030523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30523C"/>
    <w:rPr>
      <w:rFonts w:ascii="Courier New" w:eastAsia="Times New Roman" w:hAnsi="Courier New" w:cs="Times New Roman"/>
      <w:sz w:val="20"/>
      <w:szCs w:val="20"/>
      <w:lang w:val="fr-FR" w:eastAsia="fr-FR"/>
    </w:rPr>
  </w:style>
  <w:style w:type="paragraph" w:styleId="TOCHeading">
    <w:name w:val="TOC Heading"/>
    <w:basedOn w:val="Heading1"/>
    <w:next w:val="Normal"/>
    <w:uiPriority w:val="39"/>
    <w:semiHidden/>
    <w:unhideWhenUsed/>
    <w:qFormat/>
    <w:rsid w:val="0030523C"/>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table" w:styleId="MediumList2-Accent1">
    <w:name w:val="Medium List 2 Accent 1"/>
    <w:basedOn w:val="TableNormal"/>
    <w:uiPriority w:val="66"/>
    <w:rsid w:val="0030523C"/>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
    <w:name w:val="IFI Algeria style"/>
    <w:rsid w:val="0030523C"/>
    <w:pPr>
      <w:numPr>
        <w:numId w:val="14"/>
      </w:numPr>
    </w:pPr>
  </w:style>
  <w:style w:type="paragraph" w:customStyle="1" w:styleId="Pa5">
    <w:name w:val="Pa5"/>
    <w:basedOn w:val="Normal"/>
    <w:next w:val="Normal"/>
    <w:uiPriority w:val="99"/>
    <w:rsid w:val="0030523C"/>
    <w:pPr>
      <w:autoSpaceDE w:val="0"/>
      <w:autoSpaceDN w:val="0"/>
      <w:adjustRightInd w:val="0"/>
      <w:spacing w:line="201" w:lineRule="atLeast"/>
    </w:pPr>
    <w:rPr>
      <w:rFonts w:ascii="Myriad Pro SemiCond" w:eastAsia="Times New Roman" w:hAnsi="Myriad Pro SemiCond" w:cs="Times New Roman"/>
      <w:szCs w:val="24"/>
      <w:lang w:val="fr-FR" w:eastAsia="fr-FR"/>
    </w:rPr>
  </w:style>
  <w:style w:type="character" w:customStyle="1" w:styleId="A12">
    <w:name w:val="A12"/>
    <w:uiPriority w:val="99"/>
    <w:rsid w:val="0030523C"/>
    <w:rPr>
      <w:rFonts w:cs="Myriad Pro SemiCond"/>
      <w:color w:val="211D1E"/>
      <w:sz w:val="19"/>
      <w:szCs w:val="19"/>
    </w:rPr>
  </w:style>
  <w:style w:type="character" w:customStyle="1" w:styleId="hps">
    <w:name w:val="hps"/>
    <w:basedOn w:val="DefaultParagraphFont"/>
    <w:rsid w:val="0030523C"/>
  </w:style>
  <w:style w:type="paragraph" w:customStyle="1" w:styleId="Pa6">
    <w:name w:val="Pa6"/>
    <w:basedOn w:val="Default"/>
    <w:next w:val="Default"/>
    <w:uiPriority w:val="99"/>
    <w:rsid w:val="0030523C"/>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30523C"/>
    <w:pPr>
      <w:spacing w:before="100" w:beforeAutospacing="1" w:after="100" w:afterAutospacing="1"/>
    </w:pPr>
    <w:rPr>
      <w:rFonts w:ascii="Calibri" w:eastAsia="Times New Roman" w:hAnsi="Calibri" w:cs="Times New Roman"/>
      <w:color w:val="000000"/>
      <w:szCs w:val="20"/>
      <w:lang w:val="fr-FR" w:eastAsia="fr-FR"/>
    </w:rPr>
  </w:style>
  <w:style w:type="paragraph" w:customStyle="1" w:styleId="xl65">
    <w:name w:val="xl65"/>
    <w:basedOn w:val="Normal"/>
    <w:rsid w:val="0030523C"/>
    <w:pPr>
      <w:shd w:val="clear" w:color="000000" w:fill="244061"/>
      <w:spacing w:before="100" w:beforeAutospacing="1" w:after="100" w:afterAutospacing="1"/>
      <w:jc w:val="center"/>
      <w:textAlignment w:val="center"/>
    </w:pPr>
    <w:rPr>
      <w:rFonts w:eastAsia="Times New Roman"/>
      <w:b/>
      <w:bCs/>
      <w:color w:val="FFFFFF"/>
      <w:sz w:val="16"/>
      <w:lang w:val="fr-FR" w:eastAsia="fr-FR"/>
    </w:rPr>
  </w:style>
  <w:style w:type="paragraph" w:customStyle="1" w:styleId="xl66">
    <w:name w:val="xl66"/>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67">
    <w:name w:val="xl67"/>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68">
    <w:name w:val="xl68"/>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69">
    <w:name w:val="xl69"/>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0">
    <w:name w:val="xl70"/>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1">
    <w:name w:val="xl71"/>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2">
    <w:name w:val="xl72"/>
    <w:basedOn w:val="Normal"/>
    <w:rsid w:val="0030523C"/>
    <w:pPr>
      <w:spacing w:before="100" w:beforeAutospacing="1" w:after="100" w:afterAutospacing="1"/>
    </w:pPr>
    <w:rPr>
      <w:rFonts w:ascii="Times New Roman" w:eastAsia="Times New Roman" w:hAnsi="Times New Roman" w:cs="Times New Roman"/>
      <w:szCs w:val="24"/>
      <w:lang w:val="fr-FR" w:eastAsia="fr-FR"/>
    </w:rPr>
  </w:style>
  <w:style w:type="paragraph" w:customStyle="1" w:styleId="xl73">
    <w:name w:val="xl73"/>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74">
    <w:name w:val="xl74"/>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75">
    <w:name w:val="xl75"/>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6">
    <w:name w:val="xl76"/>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7">
    <w:name w:val="xl77"/>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8">
    <w:name w:val="xl78"/>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9">
    <w:name w:val="xl79"/>
    <w:basedOn w:val="Normal"/>
    <w:rsid w:val="0030523C"/>
    <w:pPr>
      <w:spacing w:before="100" w:beforeAutospacing="1" w:after="100" w:afterAutospacing="1"/>
      <w:jc w:val="center"/>
      <w:textAlignment w:val="center"/>
    </w:pPr>
    <w:rPr>
      <w:rFonts w:ascii="Times New Roman" w:eastAsia="Times New Roman" w:hAnsi="Times New Roman" w:cs="Times New Roman"/>
      <w:szCs w:val="24"/>
      <w:lang w:val="fr-FR" w:eastAsia="fr-FR"/>
    </w:rPr>
  </w:style>
  <w:style w:type="paragraph" w:customStyle="1" w:styleId="xl80">
    <w:name w:val="xl80"/>
    <w:basedOn w:val="Normal"/>
    <w:rsid w:val="0030523C"/>
    <w:pPr>
      <w:spacing w:before="100" w:beforeAutospacing="1" w:after="100" w:afterAutospacing="1"/>
      <w:jc w:val="center"/>
    </w:pPr>
    <w:rPr>
      <w:rFonts w:ascii="Times New Roman" w:eastAsia="Times New Roman" w:hAnsi="Times New Roman" w:cs="Times New Roman"/>
      <w:szCs w:val="24"/>
      <w:lang w:val="fr-FR" w:eastAsia="fr-FR"/>
    </w:rPr>
  </w:style>
  <w:style w:type="paragraph" w:customStyle="1" w:styleId="xl81">
    <w:name w:val="xl81"/>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82">
    <w:name w:val="xl82"/>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3">
    <w:name w:val="xl83"/>
    <w:basedOn w:val="Normal"/>
    <w:rsid w:val="0030523C"/>
    <w:pPr>
      <w:pBdr>
        <w:right w:val="single" w:sz="12" w:space="0" w:color="808080"/>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4">
    <w:name w:val="xl84"/>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5">
    <w:name w:val="xl85"/>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86">
    <w:name w:val="xl86"/>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87">
    <w:name w:val="xl87"/>
    <w:basedOn w:val="Normal"/>
    <w:rsid w:val="0030523C"/>
    <w:pPr>
      <w:pBdr>
        <w:right w:val="single" w:sz="12" w:space="0" w:color="808080"/>
      </w:pBdr>
      <w:spacing w:before="100" w:beforeAutospacing="1" w:after="100" w:afterAutospacing="1"/>
      <w:textAlignment w:val="center"/>
    </w:pPr>
    <w:rPr>
      <w:rFonts w:eastAsia="Times New Roman"/>
      <w:sz w:val="16"/>
      <w:lang w:val="fr-FR" w:eastAsia="fr-FR"/>
    </w:rPr>
  </w:style>
  <w:style w:type="paragraph" w:customStyle="1" w:styleId="xl88">
    <w:name w:val="xl88"/>
    <w:basedOn w:val="Normal"/>
    <w:rsid w:val="0030523C"/>
    <w:pPr>
      <w:pBdr>
        <w:bottom w:val="single" w:sz="12" w:space="0" w:color="4F81BD"/>
      </w:pBdr>
      <w:spacing w:before="100" w:beforeAutospacing="1" w:after="100" w:afterAutospacing="1"/>
      <w:textAlignment w:val="center"/>
    </w:pPr>
    <w:rPr>
      <w:rFonts w:eastAsia="Times New Roman"/>
      <w:sz w:val="16"/>
      <w:lang w:val="fr-FR" w:eastAsia="fr-FR"/>
    </w:rPr>
  </w:style>
  <w:style w:type="paragraph" w:customStyle="1" w:styleId="xl89">
    <w:name w:val="xl89"/>
    <w:basedOn w:val="Normal"/>
    <w:rsid w:val="0030523C"/>
    <w:pPr>
      <w:pBdr>
        <w:top w:val="single" w:sz="12" w:space="0" w:color="4F81BD"/>
      </w:pBdr>
      <w:shd w:val="clear" w:color="000000" w:fill="BFBFBF"/>
      <w:spacing w:before="100" w:beforeAutospacing="1" w:after="100" w:afterAutospacing="1"/>
      <w:jc w:val="center"/>
      <w:textAlignment w:val="center"/>
    </w:pPr>
    <w:rPr>
      <w:rFonts w:eastAsia="Times New Roman"/>
      <w:sz w:val="16"/>
      <w:lang w:val="fr-FR" w:eastAsia="fr-FR"/>
    </w:rPr>
  </w:style>
  <w:style w:type="paragraph" w:customStyle="1" w:styleId="xl90">
    <w:name w:val="xl90"/>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1">
    <w:name w:val="xl91"/>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2">
    <w:name w:val="xl92"/>
    <w:basedOn w:val="Normal"/>
    <w:rsid w:val="0030523C"/>
    <w:pPr>
      <w:spacing w:before="100" w:beforeAutospacing="1" w:after="100" w:afterAutospacing="1"/>
    </w:pPr>
    <w:rPr>
      <w:rFonts w:eastAsia="Times New Roman"/>
      <w:sz w:val="16"/>
      <w:lang w:val="fr-FR" w:eastAsia="fr-FR"/>
    </w:rPr>
  </w:style>
  <w:style w:type="paragraph" w:customStyle="1" w:styleId="xl93">
    <w:name w:val="xl93"/>
    <w:basedOn w:val="Normal"/>
    <w:rsid w:val="0030523C"/>
    <w:pPr>
      <w:spacing w:before="100" w:beforeAutospacing="1" w:after="100" w:afterAutospacing="1"/>
      <w:jc w:val="center"/>
    </w:pPr>
    <w:rPr>
      <w:rFonts w:eastAsia="Times New Roman"/>
      <w:sz w:val="16"/>
      <w:lang w:val="fr-FR" w:eastAsia="fr-FR"/>
    </w:rPr>
  </w:style>
  <w:style w:type="paragraph" w:customStyle="1" w:styleId="xl94">
    <w:name w:val="xl94"/>
    <w:basedOn w:val="Normal"/>
    <w:rsid w:val="0030523C"/>
    <w:pPr>
      <w:spacing w:before="100" w:beforeAutospacing="1" w:after="100" w:afterAutospacing="1"/>
    </w:pPr>
    <w:rPr>
      <w:rFonts w:eastAsia="Times New Roman"/>
      <w:sz w:val="16"/>
      <w:lang w:val="fr-FR" w:eastAsia="fr-FR"/>
    </w:rPr>
  </w:style>
  <w:style w:type="paragraph" w:customStyle="1" w:styleId="xl95">
    <w:name w:val="xl95"/>
    <w:basedOn w:val="Normal"/>
    <w:rsid w:val="0030523C"/>
    <w:pPr>
      <w:spacing w:before="100" w:beforeAutospacing="1" w:after="100" w:afterAutospacing="1"/>
      <w:jc w:val="center"/>
    </w:pPr>
    <w:rPr>
      <w:rFonts w:eastAsia="Times New Roman"/>
      <w:sz w:val="16"/>
      <w:lang w:val="fr-FR" w:eastAsia="fr-FR"/>
    </w:rPr>
  </w:style>
  <w:style w:type="paragraph" w:customStyle="1" w:styleId="xl96">
    <w:name w:val="xl96"/>
    <w:basedOn w:val="Normal"/>
    <w:rsid w:val="0030523C"/>
    <w:pPr>
      <w:spacing w:before="100" w:beforeAutospacing="1" w:after="100" w:afterAutospacing="1"/>
    </w:pPr>
    <w:rPr>
      <w:rFonts w:eastAsia="Times New Roman"/>
      <w:sz w:val="16"/>
      <w:lang w:val="fr-FR" w:eastAsia="fr-FR"/>
    </w:rPr>
  </w:style>
  <w:style w:type="paragraph" w:customStyle="1" w:styleId="xl97">
    <w:name w:val="xl97"/>
    <w:basedOn w:val="Normal"/>
    <w:rsid w:val="0030523C"/>
    <w:pPr>
      <w:spacing w:before="100" w:beforeAutospacing="1" w:after="100" w:afterAutospacing="1"/>
      <w:jc w:val="right"/>
      <w:textAlignment w:val="center"/>
    </w:pPr>
    <w:rPr>
      <w:rFonts w:eastAsia="Times New Roman"/>
      <w:i/>
      <w:iCs/>
      <w:sz w:val="16"/>
      <w:lang w:val="fr-FR" w:eastAsia="fr-FR"/>
    </w:rPr>
  </w:style>
  <w:style w:type="paragraph" w:customStyle="1" w:styleId="xl1961">
    <w:name w:val="xl1961"/>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2">
    <w:name w:val="xl1962"/>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3">
    <w:name w:val="xl1963"/>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4">
    <w:name w:val="xl1964"/>
    <w:basedOn w:val="Normal"/>
    <w:rsid w:val="0030523C"/>
    <w:pPr>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65">
    <w:name w:val="xl1965"/>
    <w:basedOn w:val="Normal"/>
    <w:rsid w:val="0030523C"/>
    <w:pPr>
      <w:pBdr>
        <w:bottom w:val="single" w:sz="12" w:space="0" w:color="4F81BD"/>
      </w:pBdr>
      <w:shd w:val="clear" w:color="000000" w:fill="244062"/>
      <w:spacing w:before="100" w:beforeAutospacing="1" w:after="100" w:afterAutospacing="1"/>
      <w:jc w:val="center"/>
      <w:textAlignment w:val="center"/>
    </w:pPr>
    <w:rPr>
      <w:rFonts w:ascii="Times New Roman" w:eastAsia="Times New Roman" w:hAnsi="Times New Roman" w:cs="Times New Roman"/>
      <w:b/>
      <w:bCs/>
      <w:color w:val="FFFFFF"/>
      <w:sz w:val="16"/>
      <w:lang w:eastAsia="en-GB"/>
    </w:rPr>
  </w:style>
  <w:style w:type="paragraph" w:customStyle="1" w:styleId="xl1966">
    <w:name w:val="xl1966"/>
    <w:basedOn w:val="Normal"/>
    <w:rsid w:val="0030523C"/>
    <w:pPr>
      <w:pBdr>
        <w:top w:val="single" w:sz="12" w:space="0" w:color="4F81BD"/>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6"/>
      <w:lang w:eastAsia="en-GB"/>
    </w:rPr>
  </w:style>
  <w:style w:type="paragraph" w:customStyle="1" w:styleId="xl1967">
    <w:name w:val="xl1967"/>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8">
    <w:name w:val="xl1968"/>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9">
    <w:name w:val="xl1969"/>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70">
    <w:name w:val="xl1970"/>
    <w:basedOn w:val="Normal"/>
    <w:rsid w:val="0030523C"/>
    <w:pPr>
      <w:spacing w:before="100" w:beforeAutospacing="1" w:after="100" w:afterAutospacing="1"/>
      <w:jc w:val="right"/>
      <w:textAlignment w:val="center"/>
    </w:pPr>
    <w:rPr>
      <w:rFonts w:ascii="Times New Roman" w:eastAsia="Times New Roman" w:hAnsi="Times New Roman" w:cs="Times New Roman"/>
      <w:i/>
      <w:iCs/>
      <w:color w:val="000000"/>
      <w:sz w:val="16"/>
      <w:lang w:eastAsia="en-GB"/>
    </w:rPr>
  </w:style>
  <w:style w:type="paragraph" w:customStyle="1" w:styleId="xl1971">
    <w:name w:val="xl1971"/>
    <w:basedOn w:val="Normal"/>
    <w:rsid w:val="0030523C"/>
    <w:pPr>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2">
    <w:name w:val="xl1972"/>
    <w:basedOn w:val="Normal"/>
    <w:rsid w:val="0030523C"/>
    <w:pPr>
      <w:spacing w:before="100" w:beforeAutospacing="1" w:after="100" w:afterAutospacing="1"/>
      <w:textAlignment w:val="center"/>
    </w:pPr>
    <w:rPr>
      <w:rFonts w:ascii="Calibri" w:eastAsia="Times New Roman" w:hAnsi="Calibri" w:cs="Times New Roman"/>
      <w:sz w:val="16"/>
      <w:lang w:eastAsia="en-GB"/>
    </w:rPr>
  </w:style>
  <w:style w:type="paragraph" w:customStyle="1" w:styleId="xl1973">
    <w:name w:val="xl1973"/>
    <w:basedOn w:val="Normal"/>
    <w:rsid w:val="0030523C"/>
    <w:pPr>
      <w:shd w:val="clear" w:color="000000" w:fill="B8CCE4"/>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4">
    <w:name w:val="xl1974"/>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75">
    <w:name w:val="xl1975"/>
    <w:basedOn w:val="Normal"/>
    <w:rsid w:val="0030523C"/>
    <w:pPr>
      <w:shd w:val="clear" w:color="000000" w:fill="B8CCE4"/>
      <w:spacing w:before="100" w:beforeAutospacing="1" w:after="100" w:afterAutospacing="1"/>
    </w:pPr>
    <w:rPr>
      <w:rFonts w:ascii="Times New Roman" w:eastAsia="Times New Roman" w:hAnsi="Times New Roman" w:cs="Times New Roman"/>
      <w:sz w:val="16"/>
      <w:lang w:eastAsia="en-GB"/>
    </w:rPr>
  </w:style>
  <w:style w:type="numbering" w:customStyle="1" w:styleId="Style2">
    <w:name w:val="Style2"/>
    <w:uiPriority w:val="99"/>
    <w:rsid w:val="004A11B0"/>
    <w:pPr>
      <w:numPr>
        <w:numId w:val="17"/>
      </w:numPr>
    </w:pPr>
  </w:style>
  <w:style w:type="character" w:customStyle="1" w:styleId="Mention1">
    <w:name w:val="Mention1"/>
    <w:basedOn w:val="DefaultParagraphFont"/>
    <w:uiPriority w:val="99"/>
    <w:semiHidden/>
    <w:unhideWhenUsed/>
    <w:rsid w:val="001E6D4B"/>
    <w:rPr>
      <w:color w:val="2B579A"/>
      <w:shd w:val="clear" w:color="auto" w:fill="E6E6E6"/>
    </w:rPr>
  </w:style>
  <w:style w:type="character" w:customStyle="1" w:styleId="UnresolvedMention1">
    <w:name w:val="Unresolved Mention1"/>
    <w:basedOn w:val="DefaultParagraphFont"/>
    <w:uiPriority w:val="99"/>
    <w:semiHidden/>
    <w:unhideWhenUsed/>
    <w:rsid w:val="001B1A25"/>
    <w:rPr>
      <w:color w:val="808080"/>
      <w:shd w:val="clear" w:color="auto" w:fill="E6E6E6"/>
    </w:rPr>
  </w:style>
  <w:style w:type="character" w:customStyle="1" w:styleId="UnresolvedMention2">
    <w:name w:val="Unresolved Mention2"/>
    <w:basedOn w:val="DefaultParagraphFont"/>
    <w:uiPriority w:val="99"/>
    <w:semiHidden/>
    <w:unhideWhenUsed/>
    <w:rsid w:val="00AF4DD7"/>
    <w:rPr>
      <w:color w:val="808080"/>
      <w:shd w:val="clear" w:color="auto" w:fill="E6E6E6"/>
    </w:rPr>
  </w:style>
  <w:style w:type="paragraph" w:customStyle="1" w:styleId="Pa9">
    <w:name w:val="Pa9"/>
    <w:basedOn w:val="Normal"/>
    <w:next w:val="Normal"/>
    <w:uiPriority w:val="99"/>
    <w:rsid w:val="00321E1D"/>
    <w:pPr>
      <w:autoSpaceDE w:val="0"/>
      <w:autoSpaceDN w:val="0"/>
      <w:adjustRightInd w:val="0"/>
      <w:spacing w:line="201" w:lineRule="atLeast"/>
    </w:pPr>
    <w:rPr>
      <w:rFonts w:ascii="ITC Charter Com" w:eastAsia="Times New Roman" w:hAnsi="ITC Charter Com" w:cs="Times New Roman"/>
      <w:szCs w:val="24"/>
      <w:lang w:eastAsia="en-GB"/>
    </w:rPr>
  </w:style>
  <w:style w:type="character" w:customStyle="1" w:styleId="Mentionnonrsolue1">
    <w:name w:val="Mention non résolue1"/>
    <w:basedOn w:val="DefaultParagraphFont"/>
    <w:uiPriority w:val="99"/>
    <w:semiHidden/>
    <w:unhideWhenUsed/>
    <w:rsid w:val="00551D73"/>
    <w:rPr>
      <w:color w:val="808080"/>
      <w:shd w:val="clear" w:color="auto" w:fill="E6E6E6"/>
    </w:rPr>
  </w:style>
  <w:style w:type="character" w:customStyle="1" w:styleId="ListParagraphChar">
    <w:name w:val="List Paragraph Char"/>
    <w:aliases w:val="Bullets Char,List Bullet Mary Char,List Paragraph (numbered (a)) Char,body bullets Char,Liste 1 Char,Paragraphe  revu Char,List Paragraph nowy Char,Numbered Paragraph Char"/>
    <w:link w:val="ListParagraph"/>
    <w:uiPriority w:val="34"/>
    <w:rsid w:val="002A15C3"/>
  </w:style>
  <w:style w:type="paragraph" w:styleId="TableofFigures">
    <w:name w:val="table of figures"/>
    <w:basedOn w:val="Normal"/>
    <w:next w:val="Normal"/>
    <w:uiPriority w:val="99"/>
    <w:unhideWhenUsed/>
    <w:rsid w:val="00D67E1D"/>
    <w:pPr>
      <w:spacing w:after="120"/>
    </w:pPr>
  </w:style>
  <w:style w:type="character" w:customStyle="1" w:styleId="UnresolvedMention3">
    <w:name w:val="Unresolved Mention3"/>
    <w:basedOn w:val="DefaultParagraphFont"/>
    <w:uiPriority w:val="99"/>
    <w:semiHidden/>
    <w:unhideWhenUsed/>
    <w:rsid w:val="00805570"/>
    <w:rPr>
      <w:color w:val="808080"/>
      <w:shd w:val="clear" w:color="auto" w:fill="E6E6E6"/>
    </w:rPr>
  </w:style>
  <w:style w:type="character" w:styleId="UnresolvedMention">
    <w:name w:val="Unresolved Mention"/>
    <w:basedOn w:val="DefaultParagraphFont"/>
    <w:uiPriority w:val="99"/>
    <w:semiHidden/>
    <w:unhideWhenUsed/>
    <w:rsid w:val="006629CD"/>
    <w:rPr>
      <w:color w:val="605E5C"/>
      <w:shd w:val="clear" w:color="auto" w:fill="E1DFDD"/>
    </w:rPr>
  </w:style>
  <w:style w:type="character" w:customStyle="1" w:styleId="normaltextrun">
    <w:name w:val="normaltextrun"/>
    <w:basedOn w:val="DefaultParagraphFont"/>
    <w:rsid w:val="00723E64"/>
  </w:style>
  <w:style w:type="character" w:customStyle="1" w:styleId="advancedproofingissue">
    <w:name w:val="advancedproofingissue"/>
    <w:basedOn w:val="DefaultParagraphFont"/>
    <w:rsid w:val="0072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4498245">
      <w:bodyDiv w:val="1"/>
      <w:marLeft w:val="0"/>
      <w:marRight w:val="0"/>
      <w:marTop w:val="0"/>
      <w:marBottom w:val="0"/>
      <w:divBdr>
        <w:top w:val="none" w:sz="0" w:space="0" w:color="auto"/>
        <w:left w:val="none" w:sz="0" w:space="0" w:color="auto"/>
        <w:bottom w:val="none" w:sz="0" w:space="0" w:color="auto"/>
        <w:right w:val="none" w:sz="0" w:space="0" w:color="auto"/>
      </w:divBdr>
    </w:div>
    <w:div w:id="21785530">
      <w:bodyDiv w:val="1"/>
      <w:marLeft w:val="0"/>
      <w:marRight w:val="0"/>
      <w:marTop w:val="0"/>
      <w:marBottom w:val="0"/>
      <w:divBdr>
        <w:top w:val="none" w:sz="0" w:space="0" w:color="auto"/>
        <w:left w:val="none" w:sz="0" w:space="0" w:color="auto"/>
        <w:bottom w:val="none" w:sz="0" w:space="0" w:color="auto"/>
        <w:right w:val="none" w:sz="0" w:space="0" w:color="auto"/>
      </w:divBdr>
    </w:div>
    <w:div w:id="39288207">
      <w:bodyDiv w:val="1"/>
      <w:marLeft w:val="0"/>
      <w:marRight w:val="0"/>
      <w:marTop w:val="0"/>
      <w:marBottom w:val="0"/>
      <w:divBdr>
        <w:top w:val="none" w:sz="0" w:space="0" w:color="auto"/>
        <w:left w:val="none" w:sz="0" w:space="0" w:color="auto"/>
        <w:bottom w:val="none" w:sz="0" w:space="0" w:color="auto"/>
        <w:right w:val="none" w:sz="0" w:space="0" w:color="auto"/>
      </w:divBdr>
    </w:div>
    <w:div w:id="39935956">
      <w:bodyDiv w:val="1"/>
      <w:marLeft w:val="0"/>
      <w:marRight w:val="0"/>
      <w:marTop w:val="0"/>
      <w:marBottom w:val="0"/>
      <w:divBdr>
        <w:top w:val="none" w:sz="0" w:space="0" w:color="auto"/>
        <w:left w:val="none" w:sz="0" w:space="0" w:color="auto"/>
        <w:bottom w:val="none" w:sz="0" w:space="0" w:color="auto"/>
        <w:right w:val="none" w:sz="0" w:space="0" w:color="auto"/>
      </w:divBdr>
    </w:div>
    <w:div w:id="50277901">
      <w:bodyDiv w:val="1"/>
      <w:marLeft w:val="0"/>
      <w:marRight w:val="0"/>
      <w:marTop w:val="0"/>
      <w:marBottom w:val="0"/>
      <w:divBdr>
        <w:top w:val="none" w:sz="0" w:space="0" w:color="auto"/>
        <w:left w:val="none" w:sz="0" w:space="0" w:color="auto"/>
        <w:bottom w:val="none" w:sz="0" w:space="0" w:color="auto"/>
        <w:right w:val="none" w:sz="0" w:space="0" w:color="auto"/>
      </w:divBdr>
    </w:div>
    <w:div w:id="74862034">
      <w:bodyDiv w:val="1"/>
      <w:marLeft w:val="0"/>
      <w:marRight w:val="0"/>
      <w:marTop w:val="0"/>
      <w:marBottom w:val="0"/>
      <w:divBdr>
        <w:top w:val="none" w:sz="0" w:space="0" w:color="auto"/>
        <w:left w:val="none" w:sz="0" w:space="0" w:color="auto"/>
        <w:bottom w:val="none" w:sz="0" w:space="0" w:color="auto"/>
        <w:right w:val="none" w:sz="0" w:space="0" w:color="auto"/>
      </w:divBdr>
    </w:div>
    <w:div w:id="90397503">
      <w:bodyDiv w:val="1"/>
      <w:marLeft w:val="0"/>
      <w:marRight w:val="0"/>
      <w:marTop w:val="0"/>
      <w:marBottom w:val="0"/>
      <w:divBdr>
        <w:top w:val="none" w:sz="0" w:space="0" w:color="auto"/>
        <w:left w:val="none" w:sz="0" w:space="0" w:color="auto"/>
        <w:bottom w:val="none" w:sz="0" w:space="0" w:color="auto"/>
        <w:right w:val="none" w:sz="0" w:space="0" w:color="auto"/>
      </w:divBdr>
    </w:div>
    <w:div w:id="99229522">
      <w:bodyDiv w:val="1"/>
      <w:marLeft w:val="0"/>
      <w:marRight w:val="0"/>
      <w:marTop w:val="0"/>
      <w:marBottom w:val="0"/>
      <w:divBdr>
        <w:top w:val="none" w:sz="0" w:space="0" w:color="auto"/>
        <w:left w:val="none" w:sz="0" w:space="0" w:color="auto"/>
        <w:bottom w:val="none" w:sz="0" w:space="0" w:color="auto"/>
        <w:right w:val="none" w:sz="0" w:space="0" w:color="auto"/>
      </w:divBdr>
    </w:div>
    <w:div w:id="103112132">
      <w:bodyDiv w:val="1"/>
      <w:marLeft w:val="0"/>
      <w:marRight w:val="0"/>
      <w:marTop w:val="0"/>
      <w:marBottom w:val="0"/>
      <w:divBdr>
        <w:top w:val="none" w:sz="0" w:space="0" w:color="auto"/>
        <w:left w:val="none" w:sz="0" w:space="0" w:color="auto"/>
        <w:bottom w:val="none" w:sz="0" w:space="0" w:color="auto"/>
        <w:right w:val="none" w:sz="0" w:space="0" w:color="auto"/>
      </w:divBdr>
    </w:div>
    <w:div w:id="122502081">
      <w:bodyDiv w:val="1"/>
      <w:marLeft w:val="0"/>
      <w:marRight w:val="0"/>
      <w:marTop w:val="0"/>
      <w:marBottom w:val="0"/>
      <w:divBdr>
        <w:top w:val="none" w:sz="0" w:space="0" w:color="auto"/>
        <w:left w:val="none" w:sz="0" w:space="0" w:color="auto"/>
        <w:bottom w:val="none" w:sz="0" w:space="0" w:color="auto"/>
        <w:right w:val="none" w:sz="0" w:space="0" w:color="auto"/>
      </w:divBdr>
    </w:div>
    <w:div w:id="127666636">
      <w:bodyDiv w:val="1"/>
      <w:marLeft w:val="0"/>
      <w:marRight w:val="0"/>
      <w:marTop w:val="0"/>
      <w:marBottom w:val="0"/>
      <w:divBdr>
        <w:top w:val="none" w:sz="0" w:space="0" w:color="auto"/>
        <w:left w:val="none" w:sz="0" w:space="0" w:color="auto"/>
        <w:bottom w:val="none" w:sz="0" w:space="0" w:color="auto"/>
        <w:right w:val="none" w:sz="0" w:space="0" w:color="auto"/>
      </w:divBdr>
    </w:div>
    <w:div w:id="138504533">
      <w:bodyDiv w:val="1"/>
      <w:marLeft w:val="0"/>
      <w:marRight w:val="0"/>
      <w:marTop w:val="0"/>
      <w:marBottom w:val="0"/>
      <w:divBdr>
        <w:top w:val="none" w:sz="0" w:space="0" w:color="auto"/>
        <w:left w:val="none" w:sz="0" w:space="0" w:color="auto"/>
        <w:bottom w:val="none" w:sz="0" w:space="0" w:color="auto"/>
        <w:right w:val="none" w:sz="0" w:space="0" w:color="auto"/>
      </w:divBdr>
    </w:div>
    <w:div w:id="165101190">
      <w:bodyDiv w:val="1"/>
      <w:marLeft w:val="0"/>
      <w:marRight w:val="0"/>
      <w:marTop w:val="0"/>
      <w:marBottom w:val="0"/>
      <w:divBdr>
        <w:top w:val="none" w:sz="0" w:space="0" w:color="auto"/>
        <w:left w:val="none" w:sz="0" w:space="0" w:color="auto"/>
        <w:bottom w:val="none" w:sz="0" w:space="0" w:color="auto"/>
        <w:right w:val="none" w:sz="0" w:space="0" w:color="auto"/>
      </w:divBdr>
    </w:div>
    <w:div w:id="167988834">
      <w:bodyDiv w:val="1"/>
      <w:marLeft w:val="0"/>
      <w:marRight w:val="0"/>
      <w:marTop w:val="0"/>
      <w:marBottom w:val="0"/>
      <w:divBdr>
        <w:top w:val="none" w:sz="0" w:space="0" w:color="auto"/>
        <w:left w:val="none" w:sz="0" w:space="0" w:color="auto"/>
        <w:bottom w:val="none" w:sz="0" w:space="0" w:color="auto"/>
        <w:right w:val="none" w:sz="0" w:space="0" w:color="auto"/>
      </w:divBdr>
    </w:div>
    <w:div w:id="191382044">
      <w:bodyDiv w:val="1"/>
      <w:marLeft w:val="0"/>
      <w:marRight w:val="0"/>
      <w:marTop w:val="0"/>
      <w:marBottom w:val="0"/>
      <w:divBdr>
        <w:top w:val="none" w:sz="0" w:space="0" w:color="auto"/>
        <w:left w:val="none" w:sz="0" w:space="0" w:color="auto"/>
        <w:bottom w:val="none" w:sz="0" w:space="0" w:color="auto"/>
        <w:right w:val="none" w:sz="0" w:space="0" w:color="auto"/>
      </w:divBdr>
    </w:div>
    <w:div w:id="197933317">
      <w:bodyDiv w:val="1"/>
      <w:marLeft w:val="0"/>
      <w:marRight w:val="0"/>
      <w:marTop w:val="0"/>
      <w:marBottom w:val="0"/>
      <w:divBdr>
        <w:top w:val="none" w:sz="0" w:space="0" w:color="auto"/>
        <w:left w:val="none" w:sz="0" w:space="0" w:color="auto"/>
        <w:bottom w:val="none" w:sz="0" w:space="0" w:color="auto"/>
        <w:right w:val="none" w:sz="0" w:space="0" w:color="auto"/>
      </w:divBdr>
    </w:div>
    <w:div w:id="235283476">
      <w:bodyDiv w:val="1"/>
      <w:marLeft w:val="0"/>
      <w:marRight w:val="0"/>
      <w:marTop w:val="0"/>
      <w:marBottom w:val="0"/>
      <w:divBdr>
        <w:top w:val="none" w:sz="0" w:space="0" w:color="auto"/>
        <w:left w:val="none" w:sz="0" w:space="0" w:color="auto"/>
        <w:bottom w:val="none" w:sz="0" w:space="0" w:color="auto"/>
        <w:right w:val="none" w:sz="0" w:space="0" w:color="auto"/>
      </w:divBdr>
    </w:div>
    <w:div w:id="236860904">
      <w:bodyDiv w:val="1"/>
      <w:marLeft w:val="0"/>
      <w:marRight w:val="0"/>
      <w:marTop w:val="0"/>
      <w:marBottom w:val="0"/>
      <w:divBdr>
        <w:top w:val="none" w:sz="0" w:space="0" w:color="auto"/>
        <w:left w:val="none" w:sz="0" w:space="0" w:color="auto"/>
        <w:bottom w:val="none" w:sz="0" w:space="0" w:color="auto"/>
        <w:right w:val="none" w:sz="0" w:space="0" w:color="auto"/>
      </w:divBdr>
    </w:div>
    <w:div w:id="252738345">
      <w:bodyDiv w:val="1"/>
      <w:marLeft w:val="0"/>
      <w:marRight w:val="0"/>
      <w:marTop w:val="0"/>
      <w:marBottom w:val="0"/>
      <w:divBdr>
        <w:top w:val="none" w:sz="0" w:space="0" w:color="auto"/>
        <w:left w:val="none" w:sz="0" w:space="0" w:color="auto"/>
        <w:bottom w:val="none" w:sz="0" w:space="0" w:color="auto"/>
        <w:right w:val="none" w:sz="0" w:space="0" w:color="auto"/>
      </w:divBdr>
    </w:div>
    <w:div w:id="290326126">
      <w:bodyDiv w:val="1"/>
      <w:marLeft w:val="0"/>
      <w:marRight w:val="0"/>
      <w:marTop w:val="0"/>
      <w:marBottom w:val="0"/>
      <w:divBdr>
        <w:top w:val="none" w:sz="0" w:space="0" w:color="auto"/>
        <w:left w:val="none" w:sz="0" w:space="0" w:color="auto"/>
        <w:bottom w:val="none" w:sz="0" w:space="0" w:color="auto"/>
        <w:right w:val="none" w:sz="0" w:space="0" w:color="auto"/>
      </w:divBdr>
    </w:div>
    <w:div w:id="303242809">
      <w:bodyDiv w:val="1"/>
      <w:marLeft w:val="0"/>
      <w:marRight w:val="0"/>
      <w:marTop w:val="0"/>
      <w:marBottom w:val="0"/>
      <w:divBdr>
        <w:top w:val="none" w:sz="0" w:space="0" w:color="auto"/>
        <w:left w:val="none" w:sz="0" w:space="0" w:color="auto"/>
        <w:bottom w:val="none" w:sz="0" w:space="0" w:color="auto"/>
        <w:right w:val="none" w:sz="0" w:space="0" w:color="auto"/>
      </w:divBdr>
    </w:div>
    <w:div w:id="310866975">
      <w:bodyDiv w:val="1"/>
      <w:marLeft w:val="0"/>
      <w:marRight w:val="0"/>
      <w:marTop w:val="0"/>
      <w:marBottom w:val="0"/>
      <w:divBdr>
        <w:top w:val="none" w:sz="0" w:space="0" w:color="auto"/>
        <w:left w:val="none" w:sz="0" w:space="0" w:color="auto"/>
        <w:bottom w:val="none" w:sz="0" w:space="0" w:color="auto"/>
        <w:right w:val="none" w:sz="0" w:space="0" w:color="auto"/>
      </w:divBdr>
    </w:div>
    <w:div w:id="316149525">
      <w:bodyDiv w:val="1"/>
      <w:marLeft w:val="0"/>
      <w:marRight w:val="0"/>
      <w:marTop w:val="0"/>
      <w:marBottom w:val="0"/>
      <w:divBdr>
        <w:top w:val="none" w:sz="0" w:space="0" w:color="auto"/>
        <w:left w:val="none" w:sz="0" w:space="0" w:color="auto"/>
        <w:bottom w:val="none" w:sz="0" w:space="0" w:color="auto"/>
        <w:right w:val="none" w:sz="0" w:space="0" w:color="auto"/>
      </w:divBdr>
    </w:div>
    <w:div w:id="344671704">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70037346">
      <w:bodyDiv w:val="1"/>
      <w:marLeft w:val="0"/>
      <w:marRight w:val="0"/>
      <w:marTop w:val="0"/>
      <w:marBottom w:val="0"/>
      <w:divBdr>
        <w:top w:val="none" w:sz="0" w:space="0" w:color="auto"/>
        <w:left w:val="none" w:sz="0" w:space="0" w:color="auto"/>
        <w:bottom w:val="none" w:sz="0" w:space="0" w:color="auto"/>
        <w:right w:val="none" w:sz="0" w:space="0" w:color="auto"/>
      </w:divBdr>
    </w:div>
    <w:div w:id="370376432">
      <w:bodyDiv w:val="1"/>
      <w:marLeft w:val="0"/>
      <w:marRight w:val="0"/>
      <w:marTop w:val="0"/>
      <w:marBottom w:val="0"/>
      <w:divBdr>
        <w:top w:val="none" w:sz="0" w:space="0" w:color="auto"/>
        <w:left w:val="none" w:sz="0" w:space="0" w:color="auto"/>
        <w:bottom w:val="none" w:sz="0" w:space="0" w:color="auto"/>
        <w:right w:val="none" w:sz="0" w:space="0" w:color="auto"/>
      </w:divBdr>
    </w:div>
    <w:div w:id="407700891">
      <w:bodyDiv w:val="1"/>
      <w:marLeft w:val="0"/>
      <w:marRight w:val="0"/>
      <w:marTop w:val="0"/>
      <w:marBottom w:val="0"/>
      <w:divBdr>
        <w:top w:val="none" w:sz="0" w:space="0" w:color="auto"/>
        <w:left w:val="none" w:sz="0" w:space="0" w:color="auto"/>
        <w:bottom w:val="none" w:sz="0" w:space="0" w:color="auto"/>
        <w:right w:val="none" w:sz="0" w:space="0" w:color="auto"/>
      </w:divBdr>
    </w:div>
    <w:div w:id="428238097">
      <w:bodyDiv w:val="1"/>
      <w:marLeft w:val="0"/>
      <w:marRight w:val="0"/>
      <w:marTop w:val="0"/>
      <w:marBottom w:val="0"/>
      <w:divBdr>
        <w:top w:val="none" w:sz="0" w:space="0" w:color="auto"/>
        <w:left w:val="none" w:sz="0" w:space="0" w:color="auto"/>
        <w:bottom w:val="none" w:sz="0" w:space="0" w:color="auto"/>
        <w:right w:val="none" w:sz="0" w:space="0" w:color="auto"/>
      </w:divBdr>
    </w:div>
    <w:div w:id="429467828">
      <w:bodyDiv w:val="1"/>
      <w:marLeft w:val="0"/>
      <w:marRight w:val="0"/>
      <w:marTop w:val="0"/>
      <w:marBottom w:val="0"/>
      <w:divBdr>
        <w:top w:val="none" w:sz="0" w:space="0" w:color="auto"/>
        <w:left w:val="none" w:sz="0" w:space="0" w:color="auto"/>
        <w:bottom w:val="none" w:sz="0" w:space="0" w:color="auto"/>
        <w:right w:val="none" w:sz="0" w:space="0" w:color="auto"/>
      </w:divBdr>
    </w:div>
    <w:div w:id="443697355">
      <w:bodyDiv w:val="1"/>
      <w:marLeft w:val="0"/>
      <w:marRight w:val="0"/>
      <w:marTop w:val="0"/>
      <w:marBottom w:val="0"/>
      <w:divBdr>
        <w:top w:val="none" w:sz="0" w:space="0" w:color="auto"/>
        <w:left w:val="none" w:sz="0" w:space="0" w:color="auto"/>
        <w:bottom w:val="none" w:sz="0" w:space="0" w:color="auto"/>
        <w:right w:val="none" w:sz="0" w:space="0" w:color="auto"/>
      </w:divBdr>
    </w:div>
    <w:div w:id="454760757">
      <w:bodyDiv w:val="1"/>
      <w:marLeft w:val="0"/>
      <w:marRight w:val="0"/>
      <w:marTop w:val="0"/>
      <w:marBottom w:val="0"/>
      <w:divBdr>
        <w:top w:val="none" w:sz="0" w:space="0" w:color="auto"/>
        <w:left w:val="none" w:sz="0" w:space="0" w:color="auto"/>
        <w:bottom w:val="none" w:sz="0" w:space="0" w:color="auto"/>
        <w:right w:val="none" w:sz="0" w:space="0" w:color="auto"/>
      </w:divBdr>
    </w:div>
    <w:div w:id="467019808">
      <w:bodyDiv w:val="1"/>
      <w:marLeft w:val="0"/>
      <w:marRight w:val="0"/>
      <w:marTop w:val="0"/>
      <w:marBottom w:val="0"/>
      <w:divBdr>
        <w:top w:val="none" w:sz="0" w:space="0" w:color="auto"/>
        <w:left w:val="none" w:sz="0" w:space="0" w:color="auto"/>
        <w:bottom w:val="none" w:sz="0" w:space="0" w:color="auto"/>
        <w:right w:val="none" w:sz="0" w:space="0" w:color="auto"/>
      </w:divBdr>
    </w:div>
    <w:div w:id="496926519">
      <w:bodyDiv w:val="1"/>
      <w:marLeft w:val="0"/>
      <w:marRight w:val="0"/>
      <w:marTop w:val="0"/>
      <w:marBottom w:val="0"/>
      <w:divBdr>
        <w:top w:val="none" w:sz="0" w:space="0" w:color="auto"/>
        <w:left w:val="none" w:sz="0" w:space="0" w:color="auto"/>
        <w:bottom w:val="none" w:sz="0" w:space="0" w:color="auto"/>
        <w:right w:val="none" w:sz="0" w:space="0" w:color="auto"/>
      </w:divBdr>
    </w:div>
    <w:div w:id="499078563">
      <w:bodyDiv w:val="1"/>
      <w:marLeft w:val="0"/>
      <w:marRight w:val="0"/>
      <w:marTop w:val="0"/>
      <w:marBottom w:val="0"/>
      <w:divBdr>
        <w:top w:val="none" w:sz="0" w:space="0" w:color="auto"/>
        <w:left w:val="none" w:sz="0" w:space="0" w:color="auto"/>
        <w:bottom w:val="none" w:sz="0" w:space="0" w:color="auto"/>
        <w:right w:val="none" w:sz="0" w:space="0" w:color="auto"/>
      </w:divBdr>
    </w:div>
    <w:div w:id="526917471">
      <w:bodyDiv w:val="1"/>
      <w:marLeft w:val="0"/>
      <w:marRight w:val="0"/>
      <w:marTop w:val="0"/>
      <w:marBottom w:val="0"/>
      <w:divBdr>
        <w:top w:val="none" w:sz="0" w:space="0" w:color="auto"/>
        <w:left w:val="none" w:sz="0" w:space="0" w:color="auto"/>
        <w:bottom w:val="none" w:sz="0" w:space="0" w:color="auto"/>
        <w:right w:val="none" w:sz="0" w:space="0" w:color="auto"/>
      </w:divBdr>
    </w:div>
    <w:div w:id="531694564">
      <w:bodyDiv w:val="1"/>
      <w:marLeft w:val="0"/>
      <w:marRight w:val="0"/>
      <w:marTop w:val="0"/>
      <w:marBottom w:val="0"/>
      <w:divBdr>
        <w:top w:val="none" w:sz="0" w:space="0" w:color="auto"/>
        <w:left w:val="none" w:sz="0" w:space="0" w:color="auto"/>
        <w:bottom w:val="none" w:sz="0" w:space="0" w:color="auto"/>
        <w:right w:val="none" w:sz="0" w:space="0" w:color="auto"/>
      </w:divBdr>
    </w:div>
    <w:div w:id="543373945">
      <w:bodyDiv w:val="1"/>
      <w:marLeft w:val="0"/>
      <w:marRight w:val="0"/>
      <w:marTop w:val="0"/>
      <w:marBottom w:val="0"/>
      <w:divBdr>
        <w:top w:val="none" w:sz="0" w:space="0" w:color="auto"/>
        <w:left w:val="none" w:sz="0" w:space="0" w:color="auto"/>
        <w:bottom w:val="none" w:sz="0" w:space="0" w:color="auto"/>
        <w:right w:val="none" w:sz="0" w:space="0" w:color="auto"/>
      </w:divBdr>
    </w:div>
    <w:div w:id="567500230">
      <w:bodyDiv w:val="1"/>
      <w:marLeft w:val="0"/>
      <w:marRight w:val="0"/>
      <w:marTop w:val="0"/>
      <w:marBottom w:val="0"/>
      <w:divBdr>
        <w:top w:val="none" w:sz="0" w:space="0" w:color="auto"/>
        <w:left w:val="none" w:sz="0" w:space="0" w:color="auto"/>
        <w:bottom w:val="none" w:sz="0" w:space="0" w:color="auto"/>
        <w:right w:val="none" w:sz="0" w:space="0" w:color="auto"/>
      </w:divBdr>
    </w:div>
    <w:div w:id="574096410">
      <w:bodyDiv w:val="1"/>
      <w:marLeft w:val="0"/>
      <w:marRight w:val="0"/>
      <w:marTop w:val="0"/>
      <w:marBottom w:val="0"/>
      <w:divBdr>
        <w:top w:val="none" w:sz="0" w:space="0" w:color="auto"/>
        <w:left w:val="none" w:sz="0" w:space="0" w:color="auto"/>
        <w:bottom w:val="none" w:sz="0" w:space="0" w:color="auto"/>
        <w:right w:val="none" w:sz="0" w:space="0" w:color="auto"/>
      </w:divBdr>
    </w:div>
    <w:div w:id="597786552">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644579245">
      <w:bodyDiv w:val="1"/>
      <w:marLeft w:val="0"/>
      <w:marRight w:val="0"/>
      <w:marTop w:val="0"/>
      <w:marBottom w:val="0"/>
      <w:divBdr>
        <w:top w:val="none" w:sz="0" w:space="0" w:color="auto"/>
        <w:left w:val="none" w:sz="0" w:space="0" w:color="auto"/>
        <w:bottom w:val="none" w:sz="0" w:space="0" w:color="auto"/>
        <w:right w:val="none" w:sz="0" w:space="0" w:color="auto"/>
      </w:divBdr>
    </w:div>
    <w:div w:id="670764531">
      <w:bodyDiv w:val="1"/>
      <w:marLeft w:val="0"/>
      <w:marRight w:val="0"/>
      <w:marTop w:val="0"/>
      <w:marBottom w:val="0"/>
      <w:divBdr>
        <w:top w:val="none" w:sz="0" w:space="0" w:color="auto"/>
        <w:left w:val="none" w:sz="0" w:space="0" w:color="auto"/>
        <w:bottom w:val="none" w:sz="0" w:space="0" w:color="auto"/>
        <w:right w:val="none" w:sz="0" w:space="0" w:color="auto"/>
      </w:divBdr>
    </w:div>
    <w:div w:id="674183991">
      <w:bodyDiv w:val="1"/>
      <w:marLeft w:val="0"/>
      <w:marRight w:val="0"/>
      <w:marTop w:val="0"/>
      <w:marBottom w:val="0"/>
      <w:divBdr>
        <w:top w:val="none" w:sz="0" w:space="0" w:color="auto"/>
        <w:left w:val="none" w:sz="0" w:space="0" w:color="auto"/>
        <w:bottom w:val="none" w:sz="0" w:space="0" w:color="auto"/>
        <w:right w:val="none" w:sz="0" w:space="0" w:color="auto"/>
      </w:divBdr>
    </w:div>
    <w:div w:id="688069213">
      <w:bodyDiv w:val="1"/>
      <w:marLeft w:val="0"/>
      <w:marRight w:val="0"/>
      <w:marTop w:val="0"/>
      <w:marBottom w:val="0"/>
      <w:divBdr>
        <w:top w:val="none" w:sz="0" w:space="0" w:color="auto"/>
        <w:left w:val="none" w:sz="0" w:space="0" w:color="auto"/>
        <w:bottom w:val="none" w:sz="0" w:space="0" w:color="auto"/>
        <w:right w:val="none" w:sz="0" w:space="0" w:color="auto"/>
      </w:divBdr>
    </w:div>
    <w:div w:id="694619407">
      <w:bodyDiv w:val="1"/>
      <w:marLeft w:val="0"/>
      <w:marRight w:val="0"/>
      <w:marTop w:val="0"/>
      <w:marBottom w:val="0"/>
      <w:divBdr>
        <w:top w:val="none" w:sz="0" w:space="0" w:color="auto"/>
        <w:left w:val="none" w:sz="0" w:space="0" w:color="auto"/>
        <w:bottom w:val="none" w:sz="0" w:space="0" w:color="auto"/>
        <w:right w:val="none" w:sz="0" w:space="0" w:color="auto"/>
      </w:divBdr>
    </w:div>
    <w:div w:id="697779324">
      <w:bodyDiv w:val="1"/>
      <w:marLeft w:val="0"/>
      <w:marRight w:val="0"/>
      <w:marTop w:val="0"/>
      <w:marBottom w:val="0"/>
      <w:divBdr>
        <w:top w:val="none" w:sz="0" w:space="0" w:color="auto"/>
        <w:left w:val="none" w:sz="0" w:space="0" w:color="auto"/>
        <w:bottom w:val="none" w:sz="0" w:space="0" w:color="auto"/>
        <w:right w:val="none" w:sz="0" w:space="0" w:color="auto"/>
      </w:divBdr>
    </w:div>
    <w:div w:id="699863452">
      <w:bodyDiv w:val="1"/>
      <w:marLeft w:val="0"/>
      <w:marRight w:val="0"/>
      <w:marTop w:val="0"/>
      <w:marBottom w:val="0"/>
      <w:divBdr>
        <w:top w:val="none" w:sz="0" w:space="0" w:color="auto"/>
        <w:left w:val="none" w:sz="0" w:space="0" w:color="auto"/>
        <w:bottom w:val="none" w:sz="0" w:space="0" w:color="auto"/>
        <w:right w:val="none" w:sz="0" w:space="0" w:color="auto"/>
      </w:divBdr>
    </w:div>
    <w:div w:id="711004514">
      <w:bodyDiv w:val="1"/>
      <w:marLeft w:val="0"/>
      <w:marRight w:val="0"/>
      <w:marTop w:val="0"/>
      <w:marBottom w:val="0"/>
      <w:divBdr>
        <w:top w:val="none" w:sz="0" w:space="0" w:color="auto"/>
        <w:left w:val="none" w:sz="0" w:space="0" w:color="auto"/>
        <w:bottom w:val="none" w:sz="0" w:space="0" w:color="auto"/>
        <w:right w:val="none" w:sz="0" w:space="0" w:color="auto"/>
      </w:divBdr>
    </w:div>
    <w:div w:id="718434437">
      <w:bodyDiv w:val="1"/>
      <w:marLeft w:val="0"/>
      <w:marRight w:val="0"/>
      <w:marTop w:val="0"/>
      <w:marBottom w:val="0"/>
      <w:divBdr>
        <w:top w:val="none" w:sz="0" w:space="0" w:color="auto"/>
        <w:left w:val="none" w:sz="0" w:space="0" w:color="auto"/>
        <w:bottom w:val="none" w:sz="0" w:space="0" w:color="auto"/>
        <w:right w:val="none" w:sz="0" w:space="0" w:color="auto"/>
      </w:divBdr>
    </w:div>
    <w:div w:id="721174140">
      <w:bodyDiv w:val="1"/>
      <w:marLeft w:val="0"/>
      <w:marRight w:val="0"/>
      <w:marTop w:val="0"/>
      <w:marBottom w:val="0"/>
      <w:divBdr>
        <w:top w:val="none" w:sz="0" w:space="0" w:color="auto"/>
        <w:left w:val="none" w:sz="0" w:space="0" w:color="auto"/>
        <w:bottom w:val="none" w:sz="0" w:space="0" w:color="auto"/>
        <w:right w:val="none" w:sz="0" w:space="0" w:color="auto"/>
      </w:divBdr>
    </w:div>
    <w:div w:id="729309163">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34106651">
      <w:bodyDiv w:val="1"/>
      <w:marLeft w:val="0"/>
      <w:marRight w:val="0"/>
      <w:marTop w:val="0"/>
      <w:marBottom w:val="0"/>
      <w:divBdr>
        <w:top w:val="none" w:sz="0" w:space="0" w:color="auto"/>
        <w:left w:val="none" w:sz="0" w:space="0" w:color="auto"/>
        <w:bottom w:val="none" w:sz="0" w:space="0" w:color="auto"/>
        <w:right w:val="none" w:sz="0" w:space="0" w:color="auto"/>
      </w:divBdr>
    </w:div>
    <w:div w:id="839124922">
      <w:bodyDiv w:val="1"/>
      <w:marLeft w:val="0"/>
      <w:marRight w:val="0"/>
      <w:marTop w:val="0"/>
      <w:marBottom w:val="0"/>
      <w:divBdr>
        <w:top w:val="none" w:sz="0" w:space="0" w:color="auto"/>
        <w:left w:val="none" w:sz="0" w:space="0" w:color="auto"/>
        <w:bottom w:val="none" w:sz="0" w:space="0" w:color="auto"/>
        <w:right w:val="none" w:sz="0" w:space="0" w:color="auto"/>
      </w:divBdr>
    </w:div>
    <w:div w:id="850872279">
      <w:bodyDiv w:val="1"/>
      <w:marLeft w:val="0"/>
      <w:marRight w:val="0"/>
      <w:marTop w:val="0"/>
      <w:marBottom w:val="0"/>
      <w:divBdr>
        <w:top w:val="none" w:sz="0" w:space="0" w:color="auto"/>
        <w:left w:val="none" w:sz="0" w:space="0" w:color="auto"/>
        <w:bottom w:val="none" w:sz="0" w:space="0" w:color="auto"/>
        <w:right w:val="none" w:sz="0" w:space="0" w:color="auto"/>
      </w:divBdr>
    </w:div>
    <w:div w:id="873926053">
      <w:bodyDiv w:val="1"/>
      <w:marLeft w:val="0"/>
      <w:marRight w:val="0"/>
      <w:marTop w:val="0"/>
      <w:marBottom w:val="0"/>
      <w:divBdr>
        <w:top w:val="none" w:sz="0" w:space="0" w:color="auto"/>
        <w:left w:val="none" w:sz="0" w:space="0" w:color="auto"/>
        <w:bottom w:val="none" w:sz="0" w:space="0" w:color="auto"/>
        <w:right w:val="none" w:sz="0" w:space="0" w:color="auto"/>
      </w:divBdr>
    </w:div>
    <w:div w:id="879322871">
      <w:bodyDiv w:val="1"/>
      <w:marLeft w:val="0"/>
      <w:marRight w:val="0"/>
      <w:marTop w:val="0"/>
      <w:marBottom w:val="0"/>
      <w:divBdr>
        <w:top w:val="none" w:sz="0" w:space="0" w:color="auto"/>
        <w:left w:val="none" w:sz="0" w:space="0" w:color="auto"/>
        <w:bottom w:val="none" w:sz="0" w:space="0" w:color="auto"/>
        <w:right w:val="none" w:sz="0" w:space="0" w:color="auto"/>
      </w:divBdr>
    </w:div>
    <w:div w:id="881675022">
      <w:bodyDiv w:val="1"/>
      <w:marLeft w:val="0"/>
      <w:marRight w:val="0"/>
      <w:marTop w:val="0"/>
      <w:marBottom w:val="0"/>
      <w:divBdr>
        <w:top w:val="none" w:sz="0" w:space="0" w:color="auto"/>
        <w:left w:val="none" w:sz="0" w:space="0" w:color="auto"/>
        <w:bottom w:val="none" w:sz="0" w:space="0" w:color="auto"/>
        <w:right w:val="none" w:sz="0" w:space="0" w:color="auto"/>
      </w:divBdr>
    </w:div>
    <w:div w:id="897519516">
      <w:bodyDiv w:val="1"/>
      <w:marLeft w:val="0"/>
      <w:marRight w:val="0"/>
      <w:marTop w:val="0"/>
      <w:marBottom w:val="0"/>
      <w:divBdr>
        <w:top w:val="none" w:sz="0" w:space="0" w:color="auto"/>
        <w:left w:val="none" w:sz="0" w:space="0" w:color="auto"/>
        <w:bottom w:val="none" w:sz="0" w:space="0" w:color="auto"/>
        <w:right w:val="none" w:sz="0" w:space="0" w:color="auto"/>
      </w:divBdr>
    </w:div>
    <w:div w:id="902645343">
      <w:bodyDiv w:val="1"/>
      <w:marLeft w:val="0"/>
      <w:marRight w:val="0"/>
      <w:marTop w:val="0"/>
      <w:marBottom w:val="0"/>
      <w:divBdr>
        <w:top w:val="none" w:sz="0" w:space="0" w:color="auto"/>
        <w:left w:val="none" w:sz="0" w:space="0" w:color="auto"/>
        <w:bottom w:val="none" w:sz="0" w:space="0" w:color="auto"/>
        <w:right w:val="none" w:sz="0" w:space="0" w:color="auto"/>
      </w:divBdr>
    </w:div>
    <w:div w:id="947661745">
      <w:bodyDiv w:val="1"/>
      <w:marLeft w:val="0"/>
      <w:marRight w:val="0"/>
      <w:marTop w:val="0"/>
      <w:marBottom w:val="0"/>
      <w:divBdr>
        <w:top w:val="none" w:sz="0" w:space="0" w:color="auto"/>
        <w:left w:val="none" w:sz="0" w:space="0" w:color="auto"/>
        <w:bottom w:val="none" w:sz="0" w:space="0" w:color="auto"/>
        <w:right w:val="none" w:sz="0" w:space="0" w:color="auto"/>
      </w:divBdr>
    </w:div>
    <w:div w:id="958871987">
      <w:bodyDiv w:val="1"/>
      <w:marLeft w:val="0"/>
      <w:marRight w:val="0"/>
      <w:marTop w:val="0"/>
      <w:marBottom w:val="0"/>
      <w:divBdr>
        <w:top w:val="none" w:sz="0" w:space="0" w:color="auto"/>
        <w:left w:val="none" w:sz="0" w:space="0" w:color="auto"/>
        <w:bottom w:val="none" w:sz="0" w:space="0" w:color="auto"/>
        <w:right w:val="none" w:sz="0" w:space="0" w:color="auto"/>
      </w:divBdr>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
    <w:div w:id="1001809292">
      <w:bodyDiv w:val="1"/>
      <w:marLeft w:val="0"/>
      <w:marRight w:val="0"/>
      <w:marTop w:val="0"/>
      <w:marBottom w:val="0"/>
      <w:divBdr>
        <w:top w:val="none" w:sz="0" w:space="0" w:color="auto"/>
        <w:left w:val="none" w:sz="0" w:space="0" w:color="auto"/>
        <w:bottom w:val="none" w:sz="0" w:space="0" w:color="auto"/>
        <w:right w:val="none" w:sz="0" w:space="0" w:color="auto"/>
      </w:divBdr>
    </w:div>
    <w:div w:id="1007949327">
      <w:bodyDiv w:val="1"/>
      <w:marLeft w:val="0"/>
      <w:marRight w:val="0"/>
      <w:marTop w:val="0"/>
      <w:marBottom w:val="0"/>
      <w:divBdr>
        <w:top w:val="none" w:sz="0" w:space="0" w:color="auto"/>
        <w:left w:val="none" w:sz="0" w:space="0" w:color="auto"/>
        <w:bottom w:val="none" w:sz="0" w:space="0" w:color="auto"/>
        <w:right w:val="none" w:sz="0" w:space="0" w:color="auto"/>
      </w:divBdr>
    </w:div>
    <w:div w:id="1013462310">
      <w:bodyDiv w:val="1"/>
      <w:marLeft w:val="0"/>
      <w:marRight w:val="0"/>
      <w:marTop w:val="0"/>
      <w:marBottom w:val="0"/>
      <w:divBdr>
        <w:top w:val="none" w:sz="0" w:space="0" w:color="auto"/>
        <w:left w:val="none" w:sz="0" w:space="0" w:color="auto"/>
        <w:bottom w:val="none" w:sz="0" w:space="0" w:color="auto"/>
        <w:right w:val="none" w:sz="0" w:space="0" w:color="auto"/>
      </w:divBdr>
    </w:div>
    <w:div w:id="1020861150">
      <w:bodyDiv w:val="1"/>
      <w:marLeft w:val="0"/>
      <w:marRight w:val="0"/>
      <w:marTop w:val="0"/>
      <w:marBottom w:val="0"/>
      <w:divBdr>
        <w:top w:val="none" w:sz="0" w:space="0" w:color="auto"/>
        <w:left w:val="none" w:sz="0" w:space="0" w:color="auto"/>
        <w:bottom w:val="none" w:sz="0" w:space="0" w:color="auto"/>
        <w:right w:val="none" w:sz="0" w:space="0" w:color="auto"/>
      </w:divBdr>
    </w:div>
    <w:div w:id="1026832799">
      <w:bodyDiv w:val="1"/>
      <w:marLeft w:val="0"/>
      <w:marRight w:val="0"/>
      <w:marTop w:val="0"/>
      <w:marBottom w:val="0"/>
      <w:divBdr>
        <w:top w:val="none" w:sz="0" w:space="0" w:color="auto"/>
        <w:left w:val="none" w:sz="0" w:space="0" w:color="auto"/>
        <w:bottom w:val="none" w:sz="0" w:space="0" w:color="auto"/>
        <w:right w:val="none" w:sz="0" w:space="0" w:color="auto"/>
      </w:divBdr>
    </w:div>
    <w:div w:id="1027561978">
      <w:bodyDiv w:val="1"/>
      <w:marLeft w:val="0"/>
      <w:marRight w:val="0"/>
      <w:marTop w:val="0"/>
      <w:marBottom w:val="0"/>
      <w:divBdr>
        <w:top w:val="none" w:sz="0" w:space="0" w:color="auto"/>
        <w:left w:val="none" w:sz="0" w:space="0" w:color="auto"/>
        <w:bottom w:val="none" w:sz="0" w:space="0" w:color="auto"/>
        <w:right w:val="none" w:sz="0" w:space="0" w:color="auto"/>
      </w:divBdr>
    </w:div>
    <w:div w:id="1083718493">
      <w:bodyDiv w:val="1"/>
      <w:marLeft w:val="0"/>
      <w:marRight w:val="0"/>
      <w:marTop w:val="0"/>
      <w:marBottom w:val="0"/>
      <w:divBdr>
        <w:top w:val="none" w:sz="0" w:space="0" w:color="auto"/>
        <w:left w:val="none" w:sz="0" w:space="0" w:color="auto"/>
        <w:bottom w:val="none" w:sz="0" w:space="0" w:color="auto"/>
        <w:right w:val="none" w:sz="0" w:space="0" w:color="auto"/>
      </w:divBdr>
    </w:div>
    <w:div w:id="1091199747">
      <w:bodyDiv w:val="1"/>
      <w:marLeft w:val="0"/>
      <w:marRight w:val="0"/>
      <w:marTop w:val="0"/>
      <w:marBottom w:val="0"/>
      <w:divBdr>
        <w:top w:val="none" w:sz="0" w:space="0" w:color="auto"/>
        <w:left w:val="none" w:sz="0" w:space="0" w:color="auto"/>
        <w:bottom w:val="none" w:sz="0" w:space="0" w:color="auto"/>
        <w:right w:val="none" w:sz="0" w:space="0" w:color="auto"/>
      </w:divBdr>
    </w:div>
    <w:div w:id="1099518924">
      <w:bodyDiv w:val="1"/>
      <w:marLeft w:val="0"/>
      <w:marRight w:val="0"/>
      <w:marTop w:val="0"/>
      <w:marBottom w:val="0"/>
      <w:divBdr>
        <w:top w:val="none" w:sz="0" w:space="0" w:color="auto"/>
        <w:left w:val="none" w:sz="0" w:space="0" w:color="auto"/>
        <w:bottom w:val="none" w:sz="0" w:space="0" w:color="auto"/>
        <w:right w:val="none" w:sz="0" w:space="0" w:color="auto"/>
      </w:divBdr>
    </w:div>
    <w:div w:id="1144548507">
      <w:bodyDiv w:val="1"/>
      <w:marLeft w:val="0"/>
      <w:marRight w:val="0"/>
      <w:marTop w:val="0"/>
      <w:marBottom w:val="0"/>
      <w:divBdr>
        <w:top w:val="none" w:sz="0" w:space="0" w:color="auto"/>
        <w:left w:val="none" w:sz="0" w:space="0" w:color="auto"/>
        <w:bottom w:val="none" w:sz="0" w:space="0" w:color="auto"/>
        <w:right w:val="none" w:sz="0" w:space="0" w:color="auto"/>
      </w:divBdr>
    </w:div>
    <w:div w:id="1156605170">
      <w:bodyDiv w:val="1"/>
      <w:marLeft w:val="0"/>
      <w:marRight w:val="0"/>
      <w:marTop w:val="0"/>
      <w:marBottom w:val="0"/>
      <w:divBdr>
        <w:top w:val="none" w:sz="0" w:space="0" w:color="auto"/>
        <w:left w:val="none" w:sz="0" w:space="0" w:color="auto"/>
        <w:bottom w:val="none" w:sz="0" w:space="0" w:color="auto"/>
        <w:right w:val="none" w:sz="0" w:space="0" w:color="auto"/>
      </w:divBdr>
      <w:divsChild>
        <w:div w:id="298341753">
          <w:marLeft w:val="0"/>
          <w:marRight w:val="0"/>
          <w:marTop w:val="0"/>
          <w:marBottom w:val="0"/>
          <w:divBdr>
            <w:top w:val="none" w:sz="0" w:space="0" w:color="auto"/>
            <w:left w:val="none" w:sz="0" w:space="0" w:color="auto"/>
            <w:bottom w:val="none" w:sz="0" w:space="0" w:color="auto"/>
            <w:right w:val="none" w:sz="0" w:space="0" w:color="auto"/>
          </w:divBdr>
          <w:divsChild>
            <w:div w:id="403069812">
              <w:marLeft w:val="-240"/>
              <w:marRight w:val="0"/>
              <w:marTop w:val="0"/>
              <w:marBottom w:val="0"/>
              <w:divBdr>
                <w:top w:val="none" w:sz="0" w:space="0" w:color="auto"/>
                <w:left w:val="none" w:sz="0" w:space="0" w:color="auto"/>
                <w:bottom w:val="none" w:sz="0" w:space="0" w:color="auto"/>
                <w:right w:val="none" w:sz="0" w:space="0" w:color="auto"/>
              </w:divBdr>
              <w:divsChild>
                <w:div w:id="21262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30">
      <w:bodyDiv w:val="1"/>
      <w:marLeft w:val="0"/>
      <w:marRight w:val="0"/>
      <w:marTop w:val="0"/>
      <w:marBottom w:val="0"/>
      <w:divBdr>
        <w:top w:val="none" w:sz="0" w:space="0" w:color="auto"/>
        <w:left w:val="none" w:sz="0" w:space="0" w:color="auto"/>
        <w:bottom w:val="none" w:sz="0" w:space="0" w:color="auto"/>
        <w:right w:val="none" w:sz="0" w:space="0" w:color="auto"/>
      </w:divBdr>
    </w:div>
    <w:div w:id="1165054065">
      <w:bodyDiv w:val="1"/>
      <w:marLeft w:val="0"/>
      <w:marRight w:val="0"/>
      <w:marTop w:val="0"/>
      <w:marBottom w:val="0"/>
      <w:divBdr>
        <w:top w:val="none" w:sz="0" w:space="0" w:color="auto"/>
        <w:left w:val="none" w:sz="0" w:space="0" w:color="auto"/>
        <w:bottom w:val="none" w:sz="0" w:space="0" w:color="auto"/>
        <w:right w:val="none" w:sz="0" w:space="0" w:color="auto"/>
      </w:divBdr>
    </w:div>
    <w:div w:id="1165366168">
      <w:bodyDiv w:val="1"/>
      <w:marLeft w:val="0"/>
      <w:marRight w:val="0"/>
      <w:marTop w:val="0"/>
      <w:marBottom w:val="0"/>
      <w:divBdr>
        <w:top w:val="none" w:sz="0" w:space="0" w:color="auto"/>
        <w:left w:val="none" w:sz="0" w:space="0" w:color="auto"/>
        <w:bottom w:val="none" w:sz="0" w:space="0" w:color="auto"/>
        <w:right w:val="none" w:sz="0" w:space="0" w:color="auto"/>
      </w:divBdr>
    </w:div>
    <w:div w:id="1183324802">
      <w:bodyDiv w:val="1"/>
      <w:marLeft w:val="0"/>
      <w:marRight w:val="0"/>
      <w:marTop w:val="0"/>
      <w:marBottom w:val="0"/>
      <w:divBdr>
        <w:top w:val="none" w:sz="0" w:space="0" w:color="auto"/>
        <w:left w:val="none" w:sz="0" w:space="0" w:color="auto"/>
        <w:bottom w:val="none" w:sz="0" w:space="0" w:color="auto"/>
        <w:right w:val="none" w:sz="0" w:space="0" w:color="auto"/>
      </w:divBdr>
    </w:div>
    <w:div w:id="1188060029">
      <w:bodyDiv w:val="1"/>
      <w:marLeft w:val="0"/>
      <w:marRight w:val="0"/>
      <w:marTop w:val="0"/>
      <w:marBottom w:val="0"/>
      <w:divBdr>
        <w:top w:val="none" w:sz="0" w:space="0" w:color="auto"/>
        <w:left w:val="none" w:sz="0" w:space="0" w:color="auto"/>
        <w:bottom w:val="none" w:sz="0" w:space="0" w:color="auto"/>
        <w:right w:val="none" w:sz="0" w:space="0" w:color="auto"/>
      </w:divBdr>
    </w:div>
    <w:div w:id="1189493309">
      <w:bodyDiv w:val="1"/>
      <w:marLeft w:val="0"/>
      <w:marRight w:val="0"/>
      <w:marTop w:val="0"/>
      <w:marBottom w:val="0"/>
      <w:divBdr>
        <w:top w:val="none" w:sz="0" w:space="0" w:color="auto"/>
        <w:left w:val="none" w:sz="0" w:space="0" w:color="auto"/>
        <w:bottom w:val="none" w:sz="0" w:space="0" w:color="auto"/>
        <w:right w:val="none" w:sz="0" w:space="0" w:color="auto"/>
      </w:divBdr>
    </w:div>
    <w:div w:id="1195849308">
      <w:bodyDiv w:val="1"/>
      <w:marLeft w:val="0"/>
      <w:marRight w:val="0"/>
      <w:marTop w:val="0"/>
      <w:marBottom w:val="0"/>
      <w:divBdr>
        <w:top w:val="none" w:sz="0" w:space="0" w:color="auto"/>
        <w:left w:val="none" w:sz="0" w:space="0" w:color="auto"/>
        <w:bottom w:val="none" w:sz="0" w:space="0" w:color="auto"/>
        <w:right w:val="none" w:sz="0" w:space="0" w:color="auto"/>
      </w:divBdr>
    </w:div>
    <w:div w:id="1200357863">
      <w:bodyDiv w:val="1"/>
      <w:marLeft w:val="0"/>
      <w:marRight w:val="0"/>
      <w:marTop w:val="0"/>
      <w:marBottom w:val="0"/>
      <w:divBdr>
        <w:top w:val="none" w:sz="0" w:space="0" w:color="auto"/>
        <w:left w:val="none" w:sz="0" w:space="0" w:color="auto"/>
        <w:bottom w:val="none" w:sz="0" w:space="0" w:color="auto"/>
        <w:right w:val="none" w:sz="0" w:space="0" w:color="auto"/>
      </w:divBdr>
    </w:div>
    <w:div w:id="1206453587">
      <w:bodyDiv w:val="1"/>
      <w:marLeft w:val="0"/>
      <w:marRight w:val="0"/>
      <w:marTop w:val="0"/>
      <w:marBottom w:val="0"/>
      <w:divBdr>
        <w:top w:val="none" w:sz="0" w:space="0" w:color="auto"/>
        <w:left w:val="none" w:sz="0" w:space="0" w:color="auto"/>
        <w:bottom w:val="none" w:sz="0" w:space="0" w:color="auto"/>
        <w:right w:val="none" w:sz="0" w:space="0" w:color="auto"/>
      </w:divBdr>
    </w:div>
    <w:div w:id="1208644875">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223441839">
      <w:bodyDiv w:val="1"/>
      <w:marLeft w:val="0"/>
      <w:marRight w:val="0"/>
      <w:marTop w:val="0"/>
      <w:marBottom w:val="0"/>
      <w:divBdr>
        <w:top w:val="none" w:sz="0" w:space="0" w:color="auto"/>
        <w:left w:val="none" w:sz="0" w:space="0" w:color="auto"/>
        <w:bottom w:val="none" w:sz="0" w:space="0" w:color="auto"/>
        <w:right w:val="none" w:sz="0" w:space="0" w:color="auto"/>
      </w:divBdr>
    </w:div>
    <w:div w:id="1241133602">
      <w:bodyDiv w:val="1"/>
      <w:marLeft w:val="0"/>
      <w:marRight w:val="0"/>
      <w:marTop w:val="0"/>
      <w:marBottom w:val="0"/>
      <w:divBdr>
        <w:top w:val="none" w:sz="0" w:space="0" w:color="auto"/>
        <w:left w:val="none" w:sz="0" w:space="0" w:color="auto"/>
        <w:bottom w:val="none" w:sz="0" w:space="0" w:color="auto"/>
        <w:right w:val="none" w:sz="0" w:space="0" w:color="auto"/>
      </w:divBdr>
    </w:div>
    <w:div w:id="1250306193">
      <w:bodyDiv w:val="1"/>
      <w:marLeft w:val="0"/>
      <w:marRight w:val="0"/>
      <w:marTop w:val="0"/>
      <w:marBottom w:val="0"/>
      <w:divBdr>
        <w:top w:val="none" w:sz="0" w:space="0" w:color="auto"/>
        <w:left w:val="none" w:sz="0" w:space="0" w:color="auto"/>
        <w:bottom w:val="none" w:sz="0" w:space="0" w:color="auto"/>
        <w:right w:val="none" w:sz="0" w:space="0" w:color="auto"/>
      </w:divBdr>
    </w:div>
    <w:div w:id="1258948350">
      <w:bodyDiv w:val="1"/>
      <w:marLeft w:val="0"/>
      <w:marRight w:val="0"/>
      <w:marTop w:val="0"/>
      <w:marBottom w:val="0"/>
      <w:divBdr>
        <w:top w:val="none" w:sz="0" w:space="0" w:color="auto"/>
        <w:left w:val="none" w:sz="0" w:space="0" w:color="auto"/>
        <w:bottom w:val="none" w:sz="0" w:space="0" w:color="auto"/>
        <w:right w:val="none" w:sz="0" w:space="0" w:color="auto"/>
      </w:divBdr>
    </w:div>
    <w:div w:id="1268392840">
      <w:bodyDiv w:val="1"/>
      <w:marLeft w:val="0"/>
      <w:marRight w:val="0"/>
      <w:marTop w:val="0"/>
      <w:marBottom w:val="0"/>
      <w:divBdr>
        <w:top w:val="none" w:sz="0" w:space="0" w:color="auto"/>
        <w:left w:val="none" w:sz="0" w:space="0" w:color="auto"/>
        <w:bottom w:val="none" w:sz="0" w:space="0" w:color="auto"/>
        <w:right w:val="none" w:sz="0" w:space="0" w:color="auto"/>
      </w:divBdr>
    </w:div>
    <w:div w:id="1275943553">
      <w:bodyDiv w:val="1"/>
      <w:marLeft w:val="0"/>
      <w:marRight w:val="0"/>
      <w:marTop w:val="0"/>
      <w:marBottom w:val="0"/>
      <w:divBdr>
        <w:top w:val="none" w:sz="0" w:space="0" w:color="auto"/>
        <w:left w:val="none" w:sz="0" w:space="0" w:color="auto"/>
        <w:bottom w:val="none" w:sz="0" w:space="0" w:color="auto"/>
        <w:right w:val="none" w:sz="0" w:space="0" w:color="auto"/>
      </w:divBdr>
    </w:div>
    <w:div w:id="1285310389">
      <w:bodyDiv w:val="1"/>
      <w:marLeft w:val="0"/>
      <w:marRight w:val="0"/>
      <w:marTop w:val="0"/>
      <w:marBottom w:val="0"/>
      <w:divBdr>
        <w:top w:val="none" w:sz="0" w:space="0" w:color="auto"/>
        <w:left w:val="none" w:sz="0" w:space="0" w:color="auto"/>
        <w:bottom w:val="none" w:sz="0" w:space="0" w:color="auto"/>
        <w:right w:val="none" w:sz="0" w:space="0" w:color="auto"/>
      </w:divBdr>
    </w:div>
    <w:div w:id="1292395695">
      <w:bodyDiv w:val="1"/>
      <w:marLeft w:val="0"/>
      <w:marRight w:val="0"/>
      <w:marTop w:val="0"/>
      <w:marBottom w:val="0"/>
      <w:divBdr>
        <w:top w:val="none" w:sz="0" w:space="0" w:color="auto"/>
        <w:left w:val="none" w:sz="0" w:space="0" w:color="auto"/>
        <w:bottom w:val="none" w:sz="0" w:space="0" w:color="auto"/>
        <w:right w:val="none" w:sz="0" w:space="0" w:color="auto"/>
      </w:divBdr>
    </w:div>
    <w:div w:id="1302734828">
      <w:bodyDiv w:val="1"/>
      <w:marLeft w:val="0"/>
      <w:marRight w:val="0"/>
      <w:marTop w:val="0"/>
      <w:marBottom w:val="0"/>
      <w:divBdr>
        <w:top w:val="none" w:sz="0" w:space="0" w:color="auto"/>
        <w:left w:val="none" w:sz="0" w:space="0" w:color="auto"/>
        <w:bottom w:val="none" w:sz="0" w:space="0" w:color="auto"/>
        <w:right w:val="none" w:sz="0" w:space="0" w:color="auto"/>
      </w:divBdr>
    </w:div>
    <w:div w:id="1303460917">
      <w:bodyDiv w:val="1"/>
      <w:marLeft w:val="0"/>
      <w:marRight w:val="0"/>
      <w:marTop w:val="0"/>
      <w:marBottom w:val="0"/>
      <w:divBdr>
        <w:top w:val="none" w:sz="0" w:space="0" w:color="auto"/>
        <w:left w:val="none" w:sz="0" w:space="0" w:color="auto"/>
        <w:bottom w:val="none" w:sz="0" w:space="0" w:color="auto"/>
        <w:right w:val="none" w:sz="0" w:space="0" w:color="auto"/>
      </w:divBdr>
    </w:div>
    <w:div w:id="1309557230">
      <w:bodyDiv w:val="1"/>
      <w:marLeft w:val="0"/>
      <w:marRight w:val="0"/>
      <w:marTop w:val="0"/>
      <w:marBottom w:val="0"/>
      <w:divBdr>
        <w:top w:val="none" w:sz="0" w:space="0" w:color="auto"/>
        <w:left w:val="none" w:sz="0" w:space="0" w:color="auto"/>
        <w:bottom w:val="none" w:sz="0" w:space="0" w:color="auto"/>
        <w:right w:val="none" w:sz="0" w:space="0" w:color="auto"/>
      </w:divBdr>
    </w:div>
    <w:div w:id="1310791281">
      <w:bodyDiv w:val="1"/>
      <w:marLeft w:val="0"/>
      <w:marRight w:val="0"/>
      <w:marTop w:val="0"/>
      <w:marBottom w:val="0"/>
      <w:divBdr>
        <w:top w:val="none" w:sz="0" w:space="0" w:color="auto"/>
        <w:left w:val="none" w:sz="0" w:space="0" w:color="auto"/>
        <w:bottom w:val="none" w:sz="0" w:space="0" w:color="auto"/>
        <w:right w:val="none" w:sz="0" w:space="0" w:color="auto"/>
      </w:divBdr>
    </w:div>
    <w:div w:id="1336570483">
      <w:bodyDiv w:val="1"/>
      <w:marLeft w:val="0"/>
      <w:marRight w:val="0"/>
      <w:marTop w:val="0"/>
      <w:marBottom w:val="0"/>
      <w:divBdr>
        <w:top w:val="none" w:sz="0" w:space="0" w:color="auto"/>
        <w:left w:val="none" w:sz="0" w:space="0" w:color="auto"/>
        <w:bottom w:val="none" w:sz="0" w:space="0" w:color="auto"/>
        <w:right w:val="none" w:sz="0" w:space="0" w:color="auto"/>
      </w:divBdr>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
    <w:div w:id="1351762235">
      <w:bodyDiv w:val="1"/>
      <w:marLeft w:val="0"/>
      <w:marRight w:val="0"/>
      <w:marTop w:val="0"/>
      <w:marBottom w:val="0"/>
      <w:divBdr>
        <w:top w:val="none" w:sz="0" w:space="0" w:color="auto"/>
        <w:left w:val="none" w:sz="0" w:space="0" w:color="auto"/>
        <w:bottom w:val="none" w:sz="0" w:space="0" w:color="auto"/>
        <w:right w:val="none" w:sz="0" w:space="0" w:color="auto"/>
      </w:divBdr>
    </w:div>
    <w:div w:id="1377392627">
      <w:bodyDiv w:val="1"/>
      <w:marLeft w:val="0"/>
      <w:marRight w:val="0"/>
      <w:marTop w:val="0"/>
      <w:marBottom w:val="0"/>
      <w:divBdr>
        <w:top w:val="none" w:sz="0" w:space="0" w:color="auto"/>
        <w:left w:val="none" w:sz="0" w:space="0" w:color="auto"/>
        <w:bottom w:val="none" w:sz="0" w:space="0" w:color="auto"/>
        <w:right w:val="none" w:sz="0" w:space="0" w:color="auto"/>
      </w:divBdr>
    </w:div>
    <w:div w:id="1382174683">
      <w:bodyDiv w:val="1"/>
      <w:marLeft w:val="0"/>
      <w:marRight w:val="0"/>
      <w:marTop w:val="0"/>
      <w:marBottom w:val="0"/>
      <w:divBdr>
        <w:top w:val="none" w:sz="0" w:space="0" w:color="auto"/>
        <w:left w:val="none" w:sz="0" w:space="0" w:color="auto"/>
        <w:bottom w:val="none" w:sz="0" w:space="0" w:color="auto"/>
        <w:right w:val="none" w:sz="0" w:space="0" w:color="auto"/>
      </w:divBdr>
    </w:div>
    <w:div w:id="1397317970">
      <w:bodyDiv w:val="1"/>
      <w:marLeft w:val="0"/>
      <w:marRight w:val="0"/>
      <w:marTop w:val="0"/>
      <w:marBottom w:val="0"/>
      <w:divBdr>
        <w:top w:val="none" w:sz="0" w:space="0" w:color="auto"/>
        <w:left w:val="none" w:sz="0" w:space="0" w:color="auto"/>
        <w:bottom w:val="none" w:sz="0" w:space="0" w:color="auto"/>
        <w:right w:val="none" w:sz="0" w:space="0" w:color="auto"/>
      </w:divBdr>
    </w:div>
    <w:div w:id="1432047366">
      <w:bodyDiv w:val="1"/>
      <w:marLeft w:val="0"/>
      <w:marRight w:val="0"/>
      <w:marTop w:val="0"/>
      <w:marBottom w:val="0"/>
      <w:divBdr>
        <w:top w:val="none" w:sz="0" w:space="0" w:color="auto"/>
        <w:left w:val="none" w:sz="0" w:space="0" w:color="auto"/>
        <w:bottom w:val="none" w:sz="0" w:space="0" w:color="auto"/>
        <w:right w:val="none" w:sz="0" w:space="0" w:color="auto"/>
      </w:divBdr>
    </w:div>
    <w:div w:id="1446584205">
      <w:bodyDiv w:val="1"/>
      <w:marLeft w:val="0"/>
      <w:marRight w:val="0"/>
      <w:marTop w:val="0"/>
      <w:marBottom w:val="0"/>
      <w:divBdr>
        <w:top w:val="none" w:sz="0" w:space="0" w:color="auto"/>
        <w:left w:val="none" w:sz="0" w:space="0" w:color="auto"/>
        <w:bottom w:val="none" w:sz="0" w:space="0" w:color="auto"/>
        <w:right w:val="none" w:sz="0" w:space="0" w:color="auto"/>
      </w:divBdr>
    </w:div>
    <w:div w:id="1449541045">
      <w:bodyDiv w:val="1"/>
      <w:marLeft w:val="0"/>
      <w:marRight w:val="0"/>
      <w:marTop w:val="0"/>
      <w:marBottom w:val="0"/>
      <w:divBdr>
        <w:top w:val="none" w:sz="0" w:space="0" w:color="auto"/>
        <w:left w:val="none" w:sz="0" w:space="0" w:color="auto"/>
        <w:bottom w:val="none" w:sz="0" w:space="0" w:color="auto"/>
        <w:right w:val="none" w:sz="0" w:space="0" w:color="auto"/>
      </w:divBdr>
    </w:div>
    <w:div w:id="1452432858">
      <w:bodyDiv w:val="1"/>
      <w:marLeft w:val="0"/>
      <w:marRight w:val="0"/>
      <w:marTop w:val="0"/>
      <w:marBottom w:val="0"/>
      <w:divBdr>
        <w:top w:val="none" w:sz="0" w:space="0" w:color="auto"/>
        <w:left w:val="none" w:sz="0" w:space="0" w:color="auto"/>
        <w:bottom w:val="none" w:sz="0" w:space="0" w:color="auto"/>
        <w:right w:val="none" w:sz="0" w:space="0" w:color="auto"/>
      </w:divBdr>
    </w:div>
    <w:div w:id="1465344732">
      <w:bodyDiv w:val="1"/>
      <w:marLeft w:val="0"/>
      <w:marRight w:val="0"/>
      <w:marTop w:val="0"/>
      <w:marBottom w:val="0"/>
      <w:divBdr>
        <w:top w:val="none" w:sz="0" w:space="0" w:color="auto"/>
        <w:left w:val="none" w:sz="0" w:space="0" w:color="auto"/>
        <w:bottom w:val="none" w:sz="0" w:space="0" w:color="auto"/>
        <w:right w:val="none" w:sz="0" w:space="0" w:color="auto"/>
      </w:divBdr>
    </w:div>
    <w:div w:id="1471555748">
      <w:bodyDiv w:val="1"/>
      <w:marLeft w:val="0"/>
      <w:marRight w:val="0"/>
      <w:marTop w:val="0"/>
      <w:marBottom w:val="0"/>
      <w:divBdr>
        <w:top w:val="none" w:sz="0" w:space="0" w:color="auto"/>
        <w:left w:val="none" w:sz="0" w:space="0" w:color="auto"/>
        <w:bottom w:val="none" w:sz="0" w:space="0" w:color="auto"/>
        <w:right w:val="none" w:sz="0" w:space="0" w:color="auto"/>
      </w:divBdr>
    </w:div>
    <w:div w:id="1480460460">
      <w:bodyDiv w:val="1"/>
      <w:marLeft w:val="0"/>
      <w:marRight w:val="0"/>
      <w:marTop w:val="0"/>
      <w:marBottom w:val="0"/>
      <w:divBdr>
        <w:top w:val="none" w:sz="0" w:space="0" w:color="auto"/>
        <w:left w:val="none" w:sz="0" w:space="0" w:color="auto"/>
        <w:bottom w:val="none" w:sz="0" w:space="0" w:color="auto"/>
        <w:right w:val="none" w:sz="0" w:space="0" w:color="auto"/>
      </w:divBdr>
    </w:div>
    <w:div w:id="1501316636">
      <w:bodyDiv w:val="1"/>
      <w:marLeft w:val="0"/>
      <w:marRight w:val="0"/>
      <w:marTop w:val="0"/>
      <w:marBottom w:val="0"/>
      <w:divBdr>
        <w:top w:val="none" w:sz="0" w:space="0" w:color="auto"/>
        <w:left w:val="none" w:sz="0" w:space="0" w:color="auto"/>
        <w:bottom w:val="none" w:sz="0" w:space="0" w:color="auto"/>
        <w:right w:val="none" w:sz="0" w:space="0" w:color="auto"/>
      </w:divBdr>
    </w:div>
    <w:div w:id="1505978050">
      <w:bodyDiv w:val="1"/>
      <w:marLeft w:val="0"/>
      <w:marRight w:val="0"/>
      <w:marTop w:val="0"/>
      <w:marBottom w:val="0"/>
      <w:divBdr>
        <w:top w:val="none" w:sz="0" w:space="0" w:color="auto"/>
        <w:left w:val="none" w:sz="0" w:space="0" w:color="auto"/>
        <w:bottom w:val="none" w:sz="0" w:space="0" w:color="auto"/>
        <w:right w:val="none" w:sz="0" w:space="0" w:color="auto"/>
      </w:divBdr>
    </w:div>
    <w:div w:id="1522817244">
      <w:bodyDiv w:val="1"/>
      <w:marLeft w:val="0"/>
      <w:marRight w:val="0"/>
      <w:marTop w:val="0"/>
      <w:marBottom w:val="0"/>
      <w:divBdr>
        <w:top w:val="none" w:sz="0" w:space="0" w:color="auto"/>
        <w:left w:val="none" w:sz="0" w:space="0" w:color="auto"/>
        <w:bottom w:val="none" w:sz="0" w:space="0" w:color="auto"/>
        <w:right w:val="none" w:sz="0" w:space="0" w:color="auto"/>
      </w:divBdr>
    </w:div>
    <w:div w:id="1561361323">
      <w:bodyDiv w:val="1"/>
      <w:marLeft w:val="0"/>
      <w:marRight w:val="0"/>
      <w:marTop w:val="0"/>
      <w:marBottom w:val="0"/>
      <w:divBdr>
        <w:top w:val="none" w:sz="0" w:space="0" w:color="auto"/>
        <w:left w:val="none" w:sz="0" w:space="0" w:color="auto"/>
        <w:bottom w:val="none" w:sz="0" w:space="0" w:color="auto"/>
        <w:right w:val="none" w:sz="0" w:space="0" w:color="auto"/>
      </w:divBdr>
    </w:div>
    <w:div w:id="1563830880">
      <w:bodyDiv w:val="1"/>
      <w:marLeft w:val="0"/>
      <w:marRight w:val="0"/>
      <w:marTop w:val="0"/>
      <w:marBottom w:val="0"/>
      <w:divBdr>
        <w:top w:val="none" w:sz="0" w:space="0" w:color="auto"/>
        <w:left w:val="none" w:sz="0" w:space="0" w:color="auto"/>
        <w:bottom w:val="none" w:sz="0" w:space="0" w:color="auto"/>
        <w:right w:val="none" w:sz="0" w:space="0" w:color="auto"/>
      </w:divBdr>
    </w:div>
    <w:div w:id="1565946845">
      <w:bodyDiv w:val="1"/>
      <w:marLeft w:val="0"/>
      <w:marRight w:val="0"/>
      <w:marTop w:val="0"/>
      <w:marBottom w:val="0"/>
      <w:divBdr>
        <w:top w:val="none" w:sz="0" w:space="0" w:color="auto"/>
        <w:left w:val="none" w:sz="0" w:space="0" w:color="auto"/>
        <w:bottom w:val="none" w:sz="0" w:space="0" w:color="auto"/>
        <w:right w:val="none" w:sz="0" w:space="0" w:color="auto"/>
      </w:divBdr>
    </w:div>
    <w:div w:id="1597784671">
      <w:bodyDiv w:val="1"/>
      <w:marLeft w:val="0"/>
      <w:marRight w:val="0"/>
      <w:marTop w:val="0"/>
      <w:marBottom w:val="0"/>
      <w:divBdr>
        <w:top w:val="none" w:sz="0" w:space="0" w:color="auto"/>
        <w:left w:val="none" w:sz="0" w:space="0" w:color="auto"/>
        <w:bottom w:val="none" w:sz="0" w:space="0" w:color="auto"/>
        <w:right w:val="none" w:sz="0" w:space="0" w:color="auto"/>
      </w:divBdr>
    </w:div>
    <w:div w:id="1624074182">
      <w:bodyDiv w:val="1"/>
      <w:marLeft w:val="0"/>
      <w:marRight w:val="0"/>
      <w:marTop w:val="0"/>
      <w:marBottom w:val="0"/>
      <w:divBdr>
        <w:top w:val="none" w:sz="0" w:space="0" w:color="auto"/>
        <w:left w:val="none" w:sz="0" w:space="0" w:color="auto"/>
        <w:bottom w:val="none" w:sz="0" w:space="0" w:color="auto"/>
        <w:right w:val="none" w:sz="0" w:space="0" w:color="auto"/>
      </w:divBdr>
    </w:div>
    <w:div w:id="1683629808">
      <w:bodyDiv w:val="1"/>
      <w:marLeft w:val="0"/>
      <w:marRight w:val="0"/>
      <w:marTop w:val="0"/>
      <w:marBottom w:val="0"/>
      <w:divBdr>
        <w:top w:val="none" w:sz="0" w:space="0" w:color="auto"/>
        <w:left w:val="none" w:sz="0" w:space="0" w:color="auto"/>
        <w:bottom w:val="none" w:sz="0" w:space="0" w:color="auto"/>
        <w:right w:val="none" w:sz="0" w:space="0" w:color="auto"/>
      </w:divBdr>
    </w:div>
    <w:div w:id="1698702312">
      <w:bodyDiv w:val="1"/>
      <w:marLeft w:val="0"/>
      <w:marRight w:val="0"/>
      <w:marTop w:val="0"/>
      <w:marBottom w:val="0"/>
      <w:divBdr>
        <w:top w:val="none" w:sz="0" w:space="0" w:color="auto"/>
        <w:left w:val="none" w:sz="0" w:space="0" w:color="auto"/>
        <w:bottom w:val="none" w:sz="0" w:space="0" w:color="auto"/>
        <w:right w:val="none" w:sz="0" w:space="0" w:color="auto"/>
      </w:divBdr>
    </w:div>
    <w:div w:id="1710883128">
      <w:bodyDiv w:val="1"/>
      <w:marLeft w:val="0"/>
      <w:marRight w:val="0"/>
      <w:marTop w:val="0"/>
      <w:marBottom w:val="0"/>
      <w:divBdr>
        <w:top w:val="none" w:sz="0" w:space="0" w:color="auto"/>
        <w:left w:val="none" w:sz="0" w:space="0" w:color="auto"/>
        <w:bottom w:val="none" w:sz="0" w:space="0" w:color="auto"/>
        <w:right w:val="none" w:sz="0" w:space="0" w:color="auto"/>
      </w:divBdr>
    </w:div>
    <w:div w:id="1720474549">
      <w:bodyDiv w:val="1"/>
      <w:marLeft w:val="0"/>
      <w:marRight w:val="0"/>
      <w:marTop w:val="0"/>
      <w:marBottom w:val="0"/>
      <w:divBdr>
        <w:top w:val="none" w:sz="0" w:space="0" w:color="auto"/>
        <w:left w:val="none" w:sz="0" w:space="0" w:color="auto"/>
        <w:bottom w:val="none" w:sz="0" w:space="0" w:color="auto"/>
        <w:right w:val="none" w:sz="0" w:space="0" w:color="auto"/>
      </w:divBdr>
    </w:div>
    <w:div w:id="1738746633">
      <w:bodyDiv w:val="1"/>
      <w:marLeft w:val="0"/>
      <w:marRight w:val="0"/>
      <w:marTop w:val="0"/>
      <w:marBottom w:val="0"/>
      <w:divBdr>
        <w:top w:val="none" w:sz="0" w:space="0" w:color="auto"/>
        <w:left w:val="none" w:sz="0" w:space="0" w:color="auto"/>
        <w:bottom w:val="none" w:sz="0" w:space="0" w:color="auto"/>
        <w:right w:val="none" w:sz="0" w:space="0" w:color="auto"/>
      </w:divBdr>
    </w:div>
    <w:div w:id="1784962418">
      <w:bodyDiv w:val="1"/>
      <w:marLeft w:val="0"/>
      <w:marRight w:val="0"/>
      <w:marTop w:val="0"/>
      <w:marBottom w:val="0"/>
      <w:divBdr>
        <w:top w:val="none" w:sz="0" w:space="0" w:color="auto"/>
        <w:left w:val="none" w:sz="0" w:space="0" w:color="auto"/>
        <w:bottom w:val="none" w:sz="0" w:space="0" w:color="auto"/>
        <w:right w:val="none" w:sz="0" w:space="0" w:color="auto"/>
      </w:divBdr>
    </w:div>
    <w:div w:id="1795833014">
      <w:bodyDiv w:val="1"/>
      <w:marLeft w:val="0"/>
      <w:marRight w:val="0"/>
      <w:marTop w:val="0"/>
      <w:marBottom w:val="0"/>
      <w:divBdr>
        <w:top w:val="none" w:sz="0" w:space="0" w:color="auto"/>
        <w:left w:val="none" w:sz="0" w:space="0" w:color="auto"/>
        <w:bottom w:val="none" w:sz="0" w:space="0" w:color="auto"/>
        <w:right w:val="none" w:sz="0" w:space="0" w:color="auto"/>
      </w:divBdr>
    </w:div>
    <w:div w:id="1815099362">
      <w:bodyDiv w:val="1"/>
      <w:marLeft w:val="0"/>
      <w:marRight w:val="0"/>
      <w:marTop w:val="0"/>
      <w:marBottom w:val="0"/>
      <w:divBdr>
        <w:top w:val="none" w:sz="0" w:space="0" w:color="auto"/>
        <w:left w:val="none" w:sz="0" w:space="0" w:color="auto"/>
        <w:bottom w:val="none" w:sz="0" w:space="0" w:color="auto"/>
        <w:right w:val="none" w:sz="0" w:space="0" w:color="auto"/>
      </w:divBdr>
    </w:div>
    <w:div w:id="1822383907">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839955025">
      <w:bodyDiv w:val="1"/>
      <w:marLeft w:val="0"/>
      <w:marRight w:val="0"/>
      <w:marTop w:val="0"/>
      <w:marBottom w:val="0"/>
      <w:divBdr>
        <w:top w:val="none" w:sz="0" w:space="0" w:color="auto"/>
        <w:left w:val="none" w:sz="0" w:space="0" w:color="auto"/>
        <w:bottom w:val="none" w:sz="0" w:space="0" w:color="auto"/>
        <w:right w:val="none" w:sz="0" w:space="0" w:color="auto"/>
      </w:divBdr>
    </w:div>
    <w:div w:id="1919360124">
      <w:bodyDiv w:val="1"/>
      <w:marLeft w:val="0"/>
      <w:marRight w:val="0"/>
      <w:marTop w:val="0"/>
      <w:marBottom w:val="0"/>
      <w:divBdr>
        <w:top w:val="none" w:sz="0" w:space="0" w:color="auto"/>
        <w:left w:val="none" w:sz="0" w:space="0" w:color="auto"/>
        <w:bottom w:val="none" w:sz="0" w:space="0" w:color="auto"/>
        <w:right w:val="none" w:sz="0" w:space="0" w:color="auto"/>
      </w:divBdr>
    </w:div>
    <w:div w:id="1919896413">
      <w:bodyDiv w:val="1"/>
      <w:marLeft w:val="0"/>
      <w:marRight w:val="0"/>
      <w:marTop w:val="0"/>
      <w:marBottom w:val="0"/>
      <w:divBdr>
        <w:top w:val="none" w:sz="0" w:space="0" w:color="auto"/>
        <w:left w:val="none" w:sz="0" w:space="0" w:color="auto"/>
        <w:bottom w:val="none" w:sz="0" w:space="0" w:color="auto"/>
        <w:right w:val="none" w:sz="0" w:space="0" w:color="auto"/>
      </w:divBdr>
    </w:div>
    <w:div w:id="1926574440">
      <w:bodyDiv w:val="1"/>
      <w:marLeft w:val="0"/>
      <w:marRight w:val="0"/>
      <w:marTop w:val="0"/>
      <w:marBottom w:val="0"/>
      <w:divBdr>
        <w:top w:val="none" w:sz="0" w:space="0" w:color="auto"/>
        <w:left w:val="none" w:sz="0" w:space="0" w:color="auto"/>
        <w:bottom w:val="none" w:sz="0" w:space="0" w:color="auto"/>
        <w:right w:val="none" w:sz="0" w:space="0" w:color="auto"/>
      </w:divBdr>
    </w:div>
    <w:div w:id="1927807172">
      <w:bodyDiv w:val="1"/>
      <w:marLeft w:val="0"/>
      <w:marRight w:val="0"/>
      <w:marTop w:val="0"/>
      <w:marBottom w:val="0"/>
      <w:divBdr>
        <w:top w:val="none" w:sz="0" w:space="0" w:color="auto"/>
        <w:left w:val="none" w:sz="0" w:space="0" w:color="auto"/>
        <w:bottom w:val="none" w:sz="0" w:space="0" w:color="auto"/>
        <w:right w:val="none" w:sz="0" w:space="0" w:color="auto"/>
      </w:divBdr>
    </w:div>
    <w:div w:id="1934123982">
      <w:bodyDiv w:val="1"/>
      <w:marLeft w:val="0"/>
      <w:marRight w:val="0"/>
      <w:marTop w:val="0"/>
      <w:marBottom w:val="0"/>
      <w:divBdr>
        <w:top w:val="none" w:sz="0" w:space="0" w:color="auto"/>
        <w:left w:val="none" w:sz="0" w:space="0" w:color="auto"/>
        <w:bottom w:val="none" w:sz="0" w:space="0" w:color="auto"/>
        <w:right w:val="none" w:sz="0" w:space="0" w:color="auto"/>
      </w:divBdr>
    </w:div>
    <w:div w:id="1948656945">
      <w:bodyDiv w:val="1"/>
      <w:marLeft w:val="0"/>
      <w:marRight w:val="0"/>
      <w:marTop w:val="0"/>
      <w:marBottom w:val="0"/>
      <w:divBdr>
        <w:top w:val="none" w:sz="0" w:space="0" w:color="auto"/>
        <w:left w:val="none" w:sz="0" w:space="0" w:color="auto"/>
        <w:bottom w:val="none" w:sz="0" w:space="0" w:color="auto"/>
        <w:right w:val="none" w:sz="0" w:space="0" w:color="auto"/>
      </w:divBdr>
    </w:div>
    <w:div w:id="1955019339">
      <w:bodyDiv w:val="1"/>
      <w:marLeft w:val="0"/>
      <w:marRight w:val="0"/>
      <w:marTop w:val="0"/>
      <w:marBottom w:val="0"/>
      <w:divBdr>
        <w:top w:val="none" w:sz="0" w:space="0" w:color="auto"/>
        <w:left w:val="none" w:sz="0" w:space="0" w:color="auto"/>
        <w:bottom w:val="none" w:sz="0" w:space="0" w:color="auto"/>
        <w:right w:val="none" w:sz="0" w:space="0" w:color="auto"/>
      </w:divBdr>
    </w:div>
    <w:div w:id="1960643735">
      <w:bodyDiv w:val="1"/>
      <w:marLeft w:val="0"/>
      <w:marRight w:val="0"/>
      <w:marTop w:val="0"/>
      <w:marBottom w:val="0"/>
      <w:divBdr>
        <w:top w:val="none" w:sz="0" w:space="0" w:color="auto"/>
        <w:left w:val="none" w:sz="0" w:space="0" w:color="auto"/>
        <w:bottom w:val="none" w:sz="0" w:space="0" w:color="auto"/>
        <w:right w:val="none" w:sz="0" w:space="0" w:color="auto"/>
      </w:divBdr>
    </w:div>
    <w:div w:id="1965040974">
      <w:bodyDiv w:val="1"/>
      <w:marLeft w:val="0"/>
      <w:marRight w:val="0"/>
      <w:marTop w:val="0"/>
      <w:marBottom w:val="0"/>
      <w:divBdr>
        <w:top w:val="none" w:sz="0" w:space="0" w:color="auto"/>
        <w:left w:val="none" w:sz="0" w:space="0" w:color="auto"/>
        <w:bottom w:val="none" w:sz="0" w:space="0" w:color="auto"/>
        <w:right w:val="none" w:sz="0" w:space="0" w:color="auto"/>
      </w:divBdr>
    </w:div>
    <w:div w:id="1984844379">
      <w:bodyDiv w:val="1"/>
      <w:marLeft w:val="0"/>
      <w:marRight w:val="0"/>
      <w:marTop w:val="0"/>
      <w:marBottom w:val="0"/>
      <w:divBdr>
        <w:top w:val="none" w:sz="0" w:space="0" w:color="auto"/>
        <w:left w:val="none" w:sz="0" w:space="0" w:color="auto"/>
        <w:bottom w:val="none" w:sz="0" w:space="0" w:color="auto"/>
        <w:right w:val="none" w:sz="0" w:space="0" w:color="auto"/>
      </w:divBdr>
    </w:div>
    <w:div w:id="1992370756">
      <w:bodyDiv w:val="1"/>
      <w:marLeft w:val="0"/>
      <w:marRight w:val="0"/>
      <w:marTop w:val="0"/>
      <w:marBottom w:val="0"/>
      <w:divBdr>
        <w:top w:val="none" w:sz="0" w:space="0" w:color="auto"/>
        <w:left w:val="none" w:sz="0" w:space="0" w:color="auto"/>
        <w:bottom w:val="none" w:sz="0" w:space="0" w:color="auto"/>
        <w:right w:val="none" w:sz="0" w:space="0" w:color="auto"/>
      </w:divBdr>
    </w:div>
    <w:div w:id="2000378296">
      <w:bodyDiv w:val="1"/>
      <w:marLeft w:val="0"/>
      <w:marRight w:val="0"/>
      <w:marTop w:val="0"/>
      <w:marBottom w:val="0"/>
      <w:divBdr>
        <w:top w:val="none" w:sz="0" w:space="0" w:color="auto"/>
        <w:left w:val="none" w:sz="0" w:space="0" w:color="auto"/>
        <w:bottom w:val="none" w:sz="0" w:space="0" w:color="auto"/>
        <w:right w:val="none" w:sz="0" w:space="0" w:color="auto"/>
      </w:divBdr>
    </w:div>
    <w:div w:id="2061976231">
      <w:bodyDiv w:val="1"/>
      <w:marLeft w:val="0"/>
      <w:marRight w:val="0"/>
      <w:marTop w:val="0"/>
      <w:marBottom w:val="0"/>
      <w:divBdr>
        <w:top w:val="none" w:sz="0" w:space="0" w:color="auto"/>
        <w:left w:val="none" w:sz="0" w:space="0" w:color="auto"/>
        <w:bottom w:val="none" w:sz="0" w:space="0" w:color="auto"/>
        <w:right w:val="none" w:sz="0" w:space="0" w:color="auto"/>
      </w:divBdr>
    </w:div>
    <w:div w:id="2086342821">
      <w:bodyDiv w:val="1"/>
      <w:marLeft w:val="0"/>
      <w:marRight w:val="0"/>
      <w:marTop w:val="0"/>
      <w:marBottom w:val="0"/>
      <w:divBdr>
        <w:top w:val="none" w:sz="0" w:space="0" w:color="auto"/>
        <w:left w:val="none" w:sz="0" w:space="0" w:color="auto"/>
        <w:bottom w:val="none" w:sz="0" w:space="0" w:color="auto"/>
        <w:right w:val="none" w:sz="0" w:space="0" w:color="auto"/>
      </w:divBdr>
    </w:div>
    <w:div w:id="2098363421">
      <w:bodyDiv w:val="1"/>
      <w:marLeft w:val="0"/>
      <w:marRight w:val="0"/>
      <w:marTop w:val="0"/>
      <w:marBottom w:val="0"/>
      <w:divBdr>
        <w:top w:val="none" w:sz="0" w:space="0" w:color="auto"/>
        <w:left w:val="none" w:sz="0" w:space="0" w:color="auto"/>
        <w:bottom w:val="none" w:sz="0" w:space="0" w:color="auto"/>
        <w:right w:val="none" w:sz="0" w:space="0" w:color="auto"/>
      </w:divBdr>
      <w:divsChild>
        <w:div w:id="19665000">
          <w:marLeft w:val="0"/>
          <w:marRight w:val="0"/>
          <w:marTop w:val="0"/>
          <w:marBottom w:val="0"/>
          <w:divBdr>
            <w:top w:val="none" w:sz="0" w:space="0" w:color="auto"/>
            <w:left w:val="none" w:sz="0" w:space="0" w:color="auto"/>
            <w:bottom w:val="none" w:sz="0" w:space="0" w:color="auto"/>
            <w:right w:val="none" w:sz="0" w:space="0" w:color="auto"/>
          </w:divBdr>
          <w:divsChild>
            <w:div w:id="1084912284">
              <w:marLeft w:val="0"/>
              <w:marRight w:val="0"/>
              <w:marTop w:val="0"/>
              <w:marBottom w:val="0"/>
              <w:divBdr>
                <w:top w:val="none" w:sz="0" w:space="0" w:color="auto"/>
                <w:left w:val="none" w:sz="0" w:space="0" w:color="auto"/>
                <w:bottom w:val="none" w:sz="0" w:space="0" w:color="auto"/>
                <w:right w:val="none" w:sz="0" w:space="0" w:color="auto"/>
              </w:divBdr>
              <w:divsChild>
                <w:div w:id="480660987">
                  <w:marLeft w:val="0"/>
                  <w:marRight w:val="0"/>
                  <w:marTop w:val="0"/>
                  <w:marBottom w:val="0"/>
                  <w:divBdr>
                    <w:top w:val="none" w:sz="0" w:space="0" w:color="auto"/>
                    <w:left w:val="none" w:sz="0" w:space="0" w:color="auto"/>
                    <w:bottom w:val="none" w:sz="0" w:space="0" w:color="auto"/>
                    <w:right w:val="none" w:sz="0" w:space="0" w:color="auto"/>
                  </w:divBdr>
                  <w:divsChild>
                    <w:div w:id="1470855921">
                      <w:marLeft w:val="0"/>
                      <w:marRight w:val="0"/>
                      <w:marTop w:val="0"/>
                      <w:marBottom w:val="0"/>
                      <w:divBdr>
                        <w:top w:val="none" w:sz="0" w:space="0" w:color="auto"/>
                        <w:left w:val="none" w:sz="0" w:space="0" w:color="auto"/>
                        <w:bottom w:val="none" w:sz="0" w:space="0" w:color="auto"/>
                        <w:right w:val="none" w:sz="0" w:space="0" w:color="auto"/>
                      </w:divBdr>
                      <w:divsChild>
                        <w:div w:id="89007809">
                          <w:marLeft w:val="0"/>
                          <w:marRight w:val="0"/>
                          <w:marTop w:val="0"/>
                          <w:marBottom w:val="0"/>
                          <w:divBdr>
                            <w:top w:val="none" w:sz="0" w:space="0" w:color="auto"/>
                            <w:left w:val="none" w:sz="0" w:space="0" w:color="auto"/>
                            <w:bottom w:val="none" w:sz="0" w:space="0" w:color="auto"/>
                            <w:right w:val="none" w:sz="0" w:space="0" w:color="auto"/>
                          </w:divBdr>
                          <w:divsChild>
                            <w:div w:id="653602849">
                              <w:marLeft w:val="0"/>
                              <w:marRight w:val="0"/>
                              <w:marTop w:val="0"/>
                              <w:marBottom w:val="0"/>
                              <w:divBdr>
                                <w:top w:val="none" w:sz="0" w:space="0" w:color="auto"/>
                                <w:left w:val="none" w:sz="0" w:space="0" w:color="auto"/>
                                <w:bottom w:val="none" w:sz="0" w:space="0" w:color="auto"/>
                                <w:right w:val="none" w:sz="0" w:space="0" w:color="auto"/>
                              </w:divBdr>
                              <w:divsChild>
                                <w:div w:id="14507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443138">
      <w:bodyDiv w:val="1"/>
      <w:marLeft w:val="0"/>
      <w:marRight w:val="0"/>
      <w:marTop w:val="0"/>
      <w:marBottom w:val="0"/>
      <w:divBdr>
        <w:top w:val="none" w:sz="0" w:space="0" w:color="auto"/>
        <w:left w:val="none" w:sz="0" w:space="0" w:color="auto"/>
        <w:bottom w:val="none" w:sz="0" w:space="0" w:color="auto"/>
        <w:right w:val="none" w:sz="0" w:space="0" w:color="auto"/>
      </w:divBdr>
    </w:div>
    <w:div w:id="2115585785">
      <w:bodyDiv w:val="1"/>
      <w:marLeft w:val="0"/>
      <w:marRight w:val="0"/>
      <w:marTop w:val="0"/>
      <w:marBottom w:val="0"/>
      <w:divBdr>
        <w:top w:val="none" w:sz="0" w:space="0" w:color="auto"/>
        <w:left w:val="none" w:sz="0" w:space="0" w:color="auto"/>
        <w:bottom w:val="none" w:sz="0" w:space="0" w:color="auto"/>
        <w:right w:val="none" w:sz="0" w:space="0" w:color="auto"/>
      </w:divBdr>
    </w:div>
    <w:div w:id="2126072630">
      <w:bodyDiv w:val="1"/>
      <w:marLeft w:val="0"/>
      <w:marRight w:val="0"/>
      <w:marTop w:val="0"/>
      <w:marBottom w:val="0"/>
      <w:divBdr>
        <w:top w:val="none" w:sz="0" w:space="0" w:color="auto"/>
        <w:left w:val="none" w:sz="0" w:space="0" w:color="auto"/>
        <w:bottom w:val="none" w:sz="0" w:space="0" w:color="auto"/>
        <w:right w:val="none" w:sz="0" w:space="0" w:color="auto"/>
      </w:divBdr>
    </w:div>
    <w:div w:id="2131968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ogauthority.co.uk/exploration-production/taxation/government-revenues-from-uk-oil-and-gas-produc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eur02.safelinks.protection.outlook.com/?url=https%3A%2F%2Fwww.parliament.uk%2Fbusiness%2Fpublications%2Fwritten-questions-answers-statements%2Fwritten-statement%2FCommons%2F2019-11-04%2FHCWS68%2F&amp;data=02%7C01%7CMichael.Nash%40beis.gov.uk%7Cd1fb917fbeac428396fb08d768f34052%7Ccbac700502c143ebb497e6492d1b2dd8%7C0%7C0%7C637093266266887782&amp;sdata=v8EEKlm5mZS3Tm7328SGifEWn1Z4KmQaNezYTl5iFx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gauthority.co.uk/data-centre/data-downloads-and-publications/" TargetMode="External"/><Relationship Id="rId13" Type="http://schemas.openxmlformats.org/officeDocument/2006/relationships/hyperlink" Target="https://www.ons.gov.uk/economy/grossvalueaddedgva/datasets/regionalgrossvalueaddedincomeapproach" TargetMode="External"/><Relationship Id="rId18" Type="http://schemas.openxmlformats.org/officeDocument/2006/relationships/hyperlink" Target="https://www.ons.gov.uk/economy/governmentpublicsectorandtaxes/publicsectorfinance/articles/improvementstoaccrualsmethodologyforcorporationtaxbankcorporationtaxsurchargeandthebanklevy/2017" TargetMode="External"/><Relationship Id="rId26" Type="http://schemas.openxmlformats.org/officeDocument/2006/relationships/hyperlink" Target="https://oilandgasuk.co.uk/workforce-report.cfm" TargetMode="External"/><Relationship Id="rId39" Type="http://schemas.openxmlformats.org/officeDocument/2006/relationships/hyperlink" Target="https://www.ogauthority.co.uk/licensing-consents/overview/" TargetMode="External"/><Relationship Id="rId3" Type="http://schemas.openxmlformats.org/officeDocument/2006/relationships/hyperlink" Target="https://webstore.iea.org/key-world-energy-statistics-2019" TargetMode="External"/><Relationship Id="rId21" Type="http://schemas.openxmlformats.org/officeDocument/2006/relationships/hyperlink" Target="https://www.ogauthority.co.uk/exploration-production/taxation/government-revenues-from-uk-oil-and-gas-production/" TargetMode="External"/><Relationship Id="rId34" Type="http://schemas.openxmlformats.org/officeDocument/2006/relationships/hyperlink" Target="http://eur-lex.europa.eu/legal-content/EN/TXT/PDF/?uri=CELEX:52014XG0620(01)&amp;from=EN" TargetMode="External"/><Relationship Id="rId42" Type="http://schemas.openxmlformats.org/officeDocument/2006/relationships/hyperlink" Target="https://www.gov.uk/hmrc-internal-manuals/oil-taxation-manual/ot21240" TargetMode="External"/><Relationship Id="rId7" Type="http://schemas.openxmlformats.org/officeDocument/2006/relationships/hyperlink" Target="https://www.theice.com/products/910/UK-Natural-Gas-Futures" TargetMode="External"/><Relationship Id="rId12" Type="http://schemas.openxmlformats.org/officeDocument/2006/relationships/hyperlink" Target="https://www.gov.uk/government/statistics/gas-section-4-energy-trends" TargetMode="External"/><Relationship Id="rId17" Type="http://schemas.openxmlformats.org/officeDocument/2006/relationships/hyperlink" Target="https://www.ogauthority.co.uk/data-centre/data-downloads-and-publications/ukcs-income-and-expenditure/" TargetMode="External"/><Relationship Id="rId25" Type="http://schemas.openxmlformats.org/officeDocument/2006/relationships/hyperlink" Target="https://www.ons.gov.uk/employmentandlabourmarket/peopleinwork/employmentandemployeetypes/datasets/industry235digitsicbusinessregisterandemploymentsurveybrestable2" TargetMode="External"/><Relationship Id="rId33" Type="http://schemas.openxmlformats.org/officeDocument/2006/relationships/hyperlink" Target="https://www.ogauthority.co.uk/licensing-consents/licensing-rounds/" TargetMode="External"/><Relationship Id="rId38" Type="http://schemas.openxmlformats.org/officeDocument/2006/relationships/hyperlink" Target="http://www.legislation.gov.uk/uksi/2014/1686/contents/made" TargetMode="External"/><Relationship Id="rId46" Type="http://schemas.openxmlformats.org/officeDocument/2006/relationships/hyperlink" Target="https://www.ogauthority.co.uk/regulatory-framework/legislative-context/industry-levy/" TargetMode="External"/><Relationship Id="rId2" Type="http://schemas.openxmlformats.org/officeDocument/2006/relationships/hyperlink" Target="https://www.energyvision2035.com/roadmap-2035" TargetMode="External"/><Relationship Id="rId16" Type="http://schemas.openxmlformats.org/officeDocument/2006/relationships/hyperlink" Target="https://www.bp.com/en/global/corporate/energy-economics/statistical-review-of-world-energy.html" TargetMode="External"/><Relationship Id="rId20" Type="http://schemas.openxmlformats.org/officeDocument/2006/relationships/hyperlink" Target="https://www.ons.gov.uk/economy/governmentpublicsectorandtaxes/publicsectorfinance/datasets/appendixdpublicsectorcurrentreceipts" TargetMode="External"/><Relationship Id="rId29" Type="http://schemas.openxmlformats.org/officeDocument/2006/relationships/hyperlink" Target="http://www.legislation.gov.uk/apni/1964/28/contents" TargetMode="External"/><Relationship Id="rId41" Type="http://schemas.openxmlformats.org/officeDocument/2006/relationships/hyperlink" Target="https://www.gov.uk/hmrc-internal-manuals/oil-taxation-manual/ot25999" TargetMode="External"/><Relationship Id="rId1" Type="http://schemas.openxmlformats.org/officeDocument/2006/relationships/hyperlink" Target="http://www.ogauthority.co.uk/data-centre/data-downloads-and-publications/reserves-and-resources/" TargetMode="External"/><Relationship Id="rId6" Type="http://schemas.openxmlformats.org/officeDocument/2006/relationships/hyperlink" Target="https://www.theice.com/endex" TargetMode="External"/><Relationship Id="rId11" Type="http://schemas.openxmlformats.org/officeDocument/2006/relationships/hyperlink" Target="https://www.ons.gov.uk/economy/grossvalueaddedgva/datasets/regionalgrossvalueaddedincomeapproach" TargetMode="External"/><Relationship Id="rId24" Type="http://schemas.openxmlformats.org/officeDocument/2006/relationships/hyperlink" Target="https://www.ogauthority.co.uk/data-centre/data-downloads-and-publications/production-projections/" TargetMode="External"/><Relationship Id="rId32" Type="http://schemas.openxmlformats.org/officeDocument/2006/relationships/hyperlink" Target="https://www.economy-ni.gov.uk/articles/petroleum-licensing" TargetMode="External"/><Relationship Id="rId37" Type="http://schemas.openxmlformats.org/officeDocument/2006/relationships/hyperlink" Target="http://marine.gov.scot/information/oil-gas-onshore-fields-licences-and-wells" TargetMode="External"/><Relationship Id="rId40" Type="http://schemas.openxmlformats.org/officeDocument/2006/relationships/hyperlink" Target="https://www.economy-ni.gov.uk/articles/petroleum-licensing" TargetMode="External"/><Relationship Id="rId45" Type="http://schemas.openxmlformats.org/officeDocument/2006/relationships/hyperlink" Target="https://www.parliament.uk/business/publications/written-questions-answers-statements/written-statement/Commons/2019-03-21/HCWS1435/" TargetMode="External"/><Relationship Id="rId5" Type="http://schemas.openxmlformats.org/officeDocument/2006/relationships/hyperlink" Target="http://www.bankofengland.co.uk/" TargetMode="External"/><Relationship Id="rId15" Type="http://schemas.openxmlformats.org/officeDocument/2006/relationships/hyperlink" Target="https://data-ogauthority.opendata.arcgis.com/pages/production" TargetMode="External"/><Relationship Id="rId23" Type="http://schemas.openxmlformats.org/officeDocument/2006/relationships/hyperlink" Target="https://www.woodmac.com/research/products/upstream/upstream-data-tool/" TargetMode="External"/><Relationship Id="rId28" Type="http://schemas.openxmlformats.org/officeDocument/2006/relationships/hyperlink" Target="http://www.legislation.gov.uk/ukpga/1998/17/contents" TargetMode="External"/><Relationship Id="rId36" Type="http://schemas.openxmlformats.org/officeDocument/2006/relationships/hyperlink" Target="https://www.ogauthority.co.uk/data-centre/data-downloads-and-publications/licence-data/" TargetMode="External"/><Relationship Id="rId10" Type="http://schemas.openxmlformats.org/officeDocument/2006/relationships/hyperlink" Target="https://www.gov.uk/government/collections/digest-of-uk-energy-statistics-dukes" TargetMode="External"/><Relationship Id="rId19" Type="http://schemas.openxmlformats.org/officeDocument/2006/relationships/hyperlink" Target="https://www.gov.uk/government/statistics/hmrc-tax-and-nics-receipts-for-the-uk" TargetMode="External"/><Relationship Id="rId31" Type="http://schemas.openxmlformats.org/officeDocument/2006/relationships/hyperlink" Target="https://www.ogauthority.co.uk/data-centre/interactive-maps-and-tools/" TargetMode="External"/><Relationship Id="rId44" Type="http://schemas.openxmlformats.org/officeDocument/2006/relationships/hyperlink" Target="https://assets.publishing.service.gov.uk/government/uploads/system/uploads/attachment_data/file/740258/Statistics_of_government_revenues_from_UK_oil_and_gas_production__Sept_2018_.pdf" TargetMode="External"/><Relationship Id="rId4" Type="http://schemas.openxmlformats.org/officeDocument/2006/relationships/hyperlink" Target="http://www.worldbank.org/en/research/commodity-markets" TargetMode="External"/><Relationship Id="rId9" Type="http://schemas.openxmlformats.org/officeDocument/2006/relationships/hyperlink" Target="https://www.gov.uk/government/collections/digest-of-uk-energy-statistics-dukes" TargetMode="External"/><Relationship Id="rId14" Type="http://schemas.openxmlformats.org/officeDocument/2006/relationships/hyperlink" Target="https://www.gov.uk/government/statistics/gas-section-4-energy-trends" TargetMode="External"/><Relationship Id="rId22" Type="http://schemas.openxmlformats.org/officeDocument/2006/relationships/hyperlink" Target="http://obr.uk/" TargetMode="External"/><Relationship Id="rId27" Type="http://schemas.openxmlformats.org/officeDocument/2006/relationships/hyperlink" Target="https://www.ogauthority.co.uk/licensing-consents/overview/" TargetMode="External"/><Relationship Id="rId30" Type="http://schemas.openxmlformats.org/officeDocument/2006/relationships/hyperlink" Target="https://www.ogauthority.co.uk/data-centre/data-downloads-and-publications/licence-data/" TargetMode="External"/><Relationship Id="rId35" Type="http://schemas.openxmlformats.org/officeDocument/2006/relationships/hyperlink" Target="https://www.ogauthority.co.uk/licensing-consents/licensing-system/licence-assignments/" TargetMode="External"/><Relationship Id="rId43" Type="http://schemas.openxmlformats.org/officeDocument/2006/relationships/hyperlink" Target="https://www.gov.uk/hmrc-internal-manuals/oil-taxation-manual/ot21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C2A3-9560-410A-A2B0-CE5745F55DA2}">
  <ds:schemaRefs>
    <ds:schemaRef ds:uri="http://schemas.microsoft.com/sharepoint/v3/contenttype/forms"/>
  </ds:schemaRefs>
</ds:datastoreItem>
</file>

<file path=customXml/itemProps2.xml><?xml version="1.0" encoding="utf-8"?>
<ds:datastoreItem xmlns:ds="http://schemas.openxmlformats.org/officeDocument/2006/customXml" ds:itemID="{E8AF5B60-EAA8-4356-9B83-C5AC8A7F7A39}">
  <ds:schemaRefs>
    <ds:schemaRef ds:uri="http://schemas.microsoft.com/office/2006/metadata/properties"/>
    <ds:schemaRef ds:uri="http://schemas.microsoft.com/office/infopath/2007/PartnerControls"/>
    <ds:schemaRef ds:uri="62e161b0-29ed-4b5f-9407-ee5ab8bd369f"/>
  </ds:schemaRefs>
</ds:datastoreItem>
</file>

<file path=customXml/itemProps3.xml><?xml version="1.0" encoding="utf-8"?>
<ds:datastoreItem xmlns:ds="http://schemas.openxmlformats.org/officeDocument/2006/customXml" ds:itemID="{35F7CC7C-1E7F-4A09-B5FD-DBB150A6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0D531-7FF9-4054-9E6D-FEB7C6E2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UK Extractives Industries Transparency Initiative (EITI) Report for 2016</vt:lpstr>
    </vt:vector>
  </TitlesOfParts>
  <Company>BIS</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Extractives Industries Transparency Initiative (EITI) Report for 2016</dc:title>
  <dc:subject/>
  <dc:creator>UK EITI MSG</dc:creator>
  <cp:keywords/>
  <cp:lastModifiedBy>Nash, Michael (Business Frameworks)</cp:lastModifiedBy>
  <cp:revision>2</cp:revision>
  <cp:lastPrinted>2019-11-11T12:41:00Z</cp:lastPrinted>
  <dcterms:created xsi:type="dcterms:W3CDTF">2020-03-19T15:06:00Z</dcterms:created>
  <dcterms:modified xsi:type="dcterms:W3CDTF">2020-03-19T15:06:00Z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0x0101002F90C4493E99B54591FF033CB29A0A1F</vt:lpwstr>
  </property>
  <property fmtid="{D5CDD505-2E9C-101B-9397-08002B2CF9AE}" pid="3" name="MSIP_Label_ba62f585-b40f-4ab9-bafe-39150f03d124_Enabled">
    <vt:lpwstr>true</vt:lpwstr>
  </property>
  <property fmtid="{D5CDD505-2E9C-101B-9397-08002B2CF9AE}" pid="4" name="MSIP_Label_ba62f585-b40f-4ab9-bafe-39150f03d124_SetDate">
    <vt:lpwstr>2019-09-18T08:44:45Z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7d7a9848-7a19-40cb-b2b5-00009856ba6b</vt:lpwstr>
  </property>
  <property fmtid="{D5CDD505-2E9C-101B-9397-08002B2CF9AE}" pid="9" name="MSIP_Label_ba62f585-b40f-4ab9-bafe-39150f03d124_ContentBits">
    <vt:lpwstr>0</vt:lpwstr>
  </property>
  <property fmtid="{D5CDD505-2E9C-101B-9397-08002B2CF9AE}" pid="10" name="Business Unit">
    <vt:lpwstr>91;#Company Law, Transparency and Tax|f73a51f8-bfcd-4e68-a033-6f422088fddd</vt:lpwstr>
  </property>
  <property fmtid="{D5CDD505-2E9C-101B-9397-08002B2CF9AE}" pid="11" name="_dlc_DocIdItemGuid">
    <vt:lpwstr>2beb9918-9428-4a60-8f48-e8b99c40c01a</vt:lpwstr>
  </property>
</Properties>
</file>