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3CC8E4C" w14:textId="1B142D95" w:rsidR="00805B01" w:rsidRPr="005C3EC8" w:rsidRDefault="009806ED" w:rsidP="00F229B9">
      <w:pPr>
        <w:jc w:val="center"/>
        <w:rPr>
          <w:rFonts w:ascii="Calibri" w:hAnsi="Calibri"/>
          <w:b/>
          <w:lang w:bidi="en-US"/>
        </w:rPr>
      </w:pPr>
      <w:r w:rsidRPr="005C3EC8">
        <w:rPr>
          <w:rFonts w:ascii="Calibri" w:hAnsi="Calibri"/>
          <w:noProof/>
          <w:lang w:eastAsia="ja-JP"/>
        </w:rPr>
        <mc:AlternateContent>
          <mc:Choice Requires="wps">
            <w:drawing>
              <wp:anchor distT="0" distB="0" distL="114300" distR="114300" simplePos="0" relativeHeight="251658240" behindDoc="0" locked="0" layoutInCell="1" allowOverlap="1" wp14:anchorId="5B011F07" wp14:editId="1EDC0CC7">
                <wp:simplePos x="0" y="0"/>
                <wp:positionH relativeFrom="column">
                  <wp:posOffset>-720090</wp:posOffset>
                </wp:positionH>
                <wp:positionV relativeFrom="paragraph">
                  <wp:posOffset>396609</wp:posOffset>
                </wp:positionV>
                <wp:extent cx="7823200" cy="415925"/>
                <wp:effectExtent l="0" t="0" r="0" b="3175"/>
                <wp:wrapSquare wrapText="bothSides"/>
                <wp:docPr id="4" name="Text Box 4"/>
                <wp:cNvGraphicFramePr/>
                <a:graphic xmlns:a="http://schemas.openxmlformats.org/drawingml/2006/main">
                  <a:graphicData uri="http://schemas.microsoft.com/office/word/2010/wordprocessingShape">
                    <wps:wsp>
                      <wps:cNvSpPr txBox="1"/>
                      <wps:spPr>
                        <a:xfrm>
                          <a:off x="0" y="0"/>
                          <a:ext cx="7823200" cy="415925"/>
                        </a:xfrm>
                        <a:prstGeom prst="rect">
                          <a:avLst/>
                        </a:prstGeom>
                        <a:solidFill>
                          <a:srgbClr val="4FB6E3"/>
                        </a:solidFill>
                        <a:ln>
                          <a:noFill/>
                        </a:ln>
                        <a:effectLst/>
                      </wps:spPr>
                      <wps:style>
                        <a:lnRef idx="0">
                          <a:schemeClr val="accent1"/>
                        </a:lnRef>
                        <a:fillRef idx="0">
                          <a:schemeClr val="accent1"/>
                        </a:fillRef>
                        <a:effectRef idx="0">
                          <a:schemeClr val="accent1"/>
                        </a:effectRef>
                        <a:fontRef idx="minor">
                          <a:schemeClr val="dk1"/>
                        </a:fontRef>
                      </wps:style>
                      <wps:txbx>
                        <w:txbxContent>
                          <w:p w14:paraId="788044A6" w14:textId="6704CCFC" w:rsidR="001A1618" w:rsidRPr="00DB23F6" w:rsidRDefault="001A1618" w:rsidP="00E03D03">
                            <w:pPr>
                              <w:tabs>
                                <w:tab w:val="left" w:pos="993"/>
                                <w:tab w:val="left" w:pos="8789"/>
                              </w:tabs>
                              <w:spacing w:after="0"/>
                              <w:rPr>
                                <w:b/>
                                <w:lang w:val="en-US"/>
                              </w:rPr>
                            </w:pPr>
                            <w:r>
                              <w:rPr>
                                <w:lang w:val="nb-NO"/>
                              </w:rPr>
                              <w:tab/>
                            </w:r>
                            <w:r w:rsidRPr="00DB23F6">
                              <w:rPr>
                                <w:b/>
                                <w:sz w:val="32"/>
                                <w:lang w:val="en-US"/>
                              </w:rPr>
                              <w:t>EITI International Secretariat</w:t>
                            </w:r>
                            <w:r w:rsidRPr="00DB23F6">
                              <w:rPr>
                                <w:b/>
                                <w:sz w:val="32"/>
                                <w:lang w:val="en-US"/>
                              </w:rPr>
                              <w:tab/>
                            </w:r>
                            <w:r w:rsidRPr="00DB23F6">
                              <w:rPr>
                                <w:b/>
                                <w:sz w:val="32"/>
                                <w:lang w:val="en-US"/>
                              </w:rPr>
                              <w:tab/>
                            </w:r>
                            <w:r>
                              <w:rPr>
                                <w:b/>
                                <w:sz w:val="32"/>
                                <w:lang w:val="en-US"/>
                              </w:rPr>
                              <w:t xml:space="preserve">30 April </w:t>
                            </w:r>
                            <w:r w:rsidRPr="00DB23F6">
                              <w:rPr>
                                <w:b/>
                                <w:sz w:val="32"/>
                                <w:lang w:val="en-US"/>
                              </w:rPr>
                              <w:t>201</w:t>
                            </w:r>
                            <w:r>
                              <w:rPr>
                                <w:b/>
                                <w:sz w:val="32"/>
                                <w:lang w:val="en-U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B011F07" id="_x0000_t202" coordsize="21600,21600" o:spt="202" path="m,l,21600r21600,l21600,xe">
                <v:stroke joinstyle="miter"/>
                <v:path gradientshapeok="t" o:connecttype="rect"/>
              </v:shapetype>
              <v:shape id="Text Box 4" o:spid="_x0000_s1026" type="#_x0000_t202" style="position:absolute;left:0;text-align:left;margin-left:-56.7pt;margin-top:31.25pt;width:616pt;height:32.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" fillcolor="#4fb6e3" stroked="f">
                <v:textbox>
                  <w:txbxContent>
                    <w:p w14:paraId="788044A6" w14:textId="6704CCFC" w:rsidR="001A1618" w:rsidRPr="00DB23F6" w:rsidRDefault="001A1618" w:rsidP="00E03D03">
                      <w:pPr>
                        <w:tabs>
                          <w:tab w:val="left" w:pos="993"/>
                          <w:tab w:val="left" w:pos="8789"/>
                        </w:tabs>
                        <w:spacing w:after="0"/>
                        <w:rPr>
                          <w:b/>
                          <w:lang w:val="en-US"/>
                        </w:rPr>
                      </w:pPr>
                      <w:r>
                        <w:rPr>
                          <w:lang w:val="nb-NO"/>
                        </w:rPr>
                        <w:tab/>
                      </w:r>
                      <w:r w:rsidRPr="00DB23F6">
                        <w:rPr>
                          <w:b/>
                          <w:sz w:val="32"/>
                          <w:lang w:val="en-US"/>
                        </w:rPr>
                        <w:t>EITI International Secretariat</w:t>
                      </w:r>
                      <w:r w:rsidRPr="00DB23F6">
                        <w:rPr>
                          <w:b/>
                          <w:sz w:val="32"/>
                          <w:lang w:val="en-US"/>
                        </w:rPr>
                        <w:tab/>
                      </w:r>
                      <w:r w:rsidRPr="00DB23F6">
                        <w:rPr>
                          <w:b/>
                          <w:sz w:val="32"/>
                          <w:lang w:val="en-US"/>
                        </w:rPr>
                        <w:tab/>
                      </w:r>
                      <w:r>
                        <w:rPr>
                          <w:b/>
                          <w:sz w:val="32"/>
                          <w:lang w:val="en-US"/>
                        </w:rPr>
                        <w:t xml:space="preserve">30 April </w:t>
                      </w:r>
                      <w:r w:rsidRPr="00DB23F6">
                        <w:rPr>
                          <w:b/>
                          <w:sz w:val="32"/>
                          <w:lang w:val="en-US"/>
                        </w:rPr>
                        <w:t>201</w:t>
                      </w:r>
                      <w:r>
                        <w:rPr>
                          <w:b/>
                          <w:sz w:val="32"/>
                          <w:lang w:val="en-US"/>
                        </w:rPr>
                        <w:t>9</w:t>
                      </w:r>
                    </w:p>
                  </w:txbxContent>
                </v:textbox>
                <w10:wrap type="square"/>
              </v:shape>
            </w:pict>
          </mc:Fallback>
        </mc:AlternateContent>
      </w:r>
    </w:p>
    <w:p w14:paraId="4739FF42" w14:textId="683F19E5" w:rsidR="00597E79" w:rsidRPr="005C3EC8" w:rsidRDefault="00597E79" w:rsidP="00F229B9">
      <w:pPr>
        <w:jc w:val="center"/>
        <w:rPr>
          <w:rFonts w:ascii="Calibri" w:hAnsi="Calibri"/>
          <w:b/>
          <w:lang w:bidi="en-US"/>
        </w:rPr>
      </w:pPr>
    </w:p>
    <w:p w14:paraId="248DB386" w14:textId="77777777" w:rsidR="00597E79" w:rsidRPr="005C3EC8" w:rsidRDefault="00597E79" w:rsidP="00F229B9">
      <w:pPr>
        <w:jc w:val="center"/>
        <w:rPr>
          <w:rFonts w:ascii="Calibri" w:hAnsi="Calibri"/>
          <w:b/>
          <w:lang w:bidi="en-US"/>
        </w:rPr>
      </w:pPr>
    </w:p>
    <w:p w14:paraId="3B0F0747" w14:textId="77777777" w:rsidR="00854AF1" w:rsidRPr="005C3EC8" w:rsidRDefault="00854AF1" w:rsidP="00F229B9">
      <w:pPr>
        <w:jc w:val="center"/>
        <w:rPr>
          <w:rFonts w:ascii="Calibri" w:hAnsi="Calibri"/>
          <w:b/>
          <w:lang w:bidi="en-US"/>
        </w:rPr>
      </w:pPr>
    </w:p>
    <w:p w14:paraId="7700733D" w14:textId="557C17EA" w:rsidR="00805B01" w:rsidRPr="005C3EC8" w:rsidRDefault="00805B01" w:rsidP="0097728B">
      <w:pPr>
        <w:pStyle w:val="Title"/>
        <w:rPr>
          <w:lang w:bidi="en-US"/>
        </w:rPr>
      </w:pPr>
      <w:r w:rsidRPr="005C3EC8">
        <w:rPr>
          <w:lang w:bidi="en-US"/>
        </w:rPr>
        <w:t xml:space="preserve">Validation of </w:t>
      </w:r>
      <w:r w:rsidR="001439ED" w:rsidRPr="005C3EC8">
        <w:rPr>
          <w:lang w:bidi="en-US"/>
        </w:rPr>
        <w:t>the United Kingdom</w:t>
      </w:r>
    </w:p>
    <w:p w14:paraId="487469E7" w14:textId="77777777" w:rsidR="00476F51" w:rsidRPr="005C3EC8" w:rsidRDefault="00476F51" w:rsidP="0097728B">
      <w:pPr>
        <w:pStyle w:val="Title"/>
        <w:rPr>
          <w:sz w:val="48"/>
          <w:lang w:bidi="en-US"/>
        </w:rPr>
      </w:pPr>
    </w:p>
    <w:p w14:paraId="09CAC054" w14:textId="7AEB4097" w:rsidR="00597E79" w:rsidRPr="005C3EC8" w:rsidRDefault="00805B01" w:rsidP="005573C5">
      <w:pPr>
        <w:pStyle w:val="Title"/>
        <w:rPr>
          <w:lang w:bidi="en-US"/>
        </w:rPr>
      </w:pPr>
      <w:r w:rsidRPr="005C3EC8">
        <w:rPr>
          <w:lang w:bidi="en-US"/>
        </w:rPr>
        <w:t>Report on initial data collection</w:t>
      </w:r>
      <w:r w:rsidR="005573C5" w:rsidRPr="005C3EC8">
        <w:rPr>
          <w:lang w:bidi="en-US"/>
        </w:rPr>
        <w:t xml:space="preserve"> </w:t>
      </w:r>
      <w:r w:rsidRPr="005C3EC8">
        <w:rPr>
          <w:lang w:bidi="en-US"/>
        </w:rPr>
        <w:t>and</w:t>
      </w:r>
      <w:r w:rsidR="00597E79" w:rsidRPr="005C3EC8">
        <w:rPr>
          <w:lang w:bidi="en-US"/>
        </w:rPr>
        <w:t xml:space="preserve"> </w:t>
      </w:r>
      <w:r w:rsidRPr="005C3EC8">
        <w:rPr>
          <w:lang w:bidi="en-US"/>
        </w:rPr>
        <w:t>stakeholder consultation</w:t>
      </w:r>
    </w:p>
    <w:p w14:paraId="78B25072" w14:textId="670BF9CA" w:rsidR="00F229B9" w:rsidRPr="005C3EC8" w:rsidRDefault="00F229B9" w:rsidP="00F229B9">
      <w:pPr>
        <w:rPr>
          <w:rFonts w:ascii="Calibri" w:hAnsi="Calibri"/>
          <w:lang w:bidi="en-US"/>
        </w:rPr>
      </w:pPr>
    </w:p>
    <w:p w14:paraId="7886A01F" w14:textId="41F4014F" w:rsidR="00F229B9" w:rsidRPr="005C3EC8" w:rsidRDefault="00F229B9">
      <w:pPr>
        <w:widowControl/>
        <w:suppressAutoHyphens w:val="0"/>
        <w:spacing w:after="0" w:line="240" w:lineRule="auto"/>
        <w:rPr>
          <w:rFonts w:ascii="Heiti SC" w:eastAsia="Heiti SC" w:hAnsi="Heiti SC" w:cs="Heiti SC"/>
          <w:lang w:bidi="en-US"/>
        </w:rPr>
      </w:pPr>
      <w:r w:rsidRPr="005C3EC8">
        <w:rPr>
          <w:rFonts w:ascii="Calibri" w:hAnsi="Calibri"/>
          <w:lang w:bidi="en-US"/>
        </w:rPr>
        <w:br w:type="page"/>
      </w:r>
    </w:p>
    <w:p w14:paraId="52F9D900" w14:textId="30903EF6" w:rsidR="00172180" w:rsidRPr="005C3EC8" w:rsidRDefault="00B06A27" w:rsidP="00764C60">
      <w:pPr>
        <w:pStyle w:val="Heading1"/>
      </w:pPr>
      <w:bookmarkStart w:id="0" w:name="_Toc434175900"/>
      <w:bookmarkStart w:id="1" w:name="_Toc452707644"/>
      <w:bookmarkStart w:id="2" w:name="_Toc459133072"/>
      <w:bookmarkStart w:id="3" w:name="_Toc461803021"/>
      <w:bookmarkStart w:id="4" w:name="_Toc461787302"/>
      <w:bookmarkStart w:id="5" w:name="_Toc461795823"/>
      <w:bookmarkStart w:id="6" w:name="_Toc462149170"/>
      <w:r w:rsidRPr="005C3EC8">
        <w:lastRenderedPageBreak/>
        <w:t>Abbreviations</w:t>
      </w:r>
      <w:bookmarkEnd w:id="0"/>
      <w:bookmarkEnd w:id="1"/>
      <w:bookmarkEnd w:id="2"/>
      <w:bookmarkEnd w:id="3"/>
      <w:bookmarkEnd w:id="4"/>
      <w:bookmarkEnd w:id="5"/>
      <w:bookmarkEnd w:id="6"/>
    </w:p>
    <w:p w14:paraId="61EF7119" w14:textId="2A23F1CF" w:rsidR="003A7F0E" w:rsidRPr="005C3EC8" w:rsidRDefault="003A7F0E" w:rsidP="003A7F0E">
      <w:pPr>
        <w:pStyle w:val="NoSpacing"/>
        <w:rPr>
          <w:lang w:val="en-GB"/>
        </w:rPr>
      </w:pPr>
      <w:bookmarkStart w:id="7" w:name="_Toc362941856"/>
      <w:bookmarkStart w:id="8" w:name="_Toc362942394"/>
      <w:bookmarkStart w:id="9" w:name="_Toc362947796"/>
      <w:bookmarkStart w:id="10" w:name="_Toc362955627"/>
      <w:bookmarkStart w:id="11" w:name="_Toc362963277"/>
      <w:bookmarkStart w:id="12" w:name="_Toc362964860"/>
      <w:bookmarkStart w:id="13" w:name="_Toc363124705"/>
      <w:bookmarkStart w:id="14" w:name="_Toc362941859"/>
      <w:bookmarkStart w:id="15" w:name="_Toc362942397"/>
      <w:bookmarkStart w:id="16" w:name="_Toc362947799"/>
      <w:bookmarkStart w:id="17" w:name="_Toc362955630"/>
      <w:bookmarkStart w:id="18" w:name="_Toc362963280"/>
      <w:bookmarkStart w:id="19" w:name="_Toc362964863"/>
      <w:bookmarkStart w:id="20" w:name="_Toc363124708"/>
      <w:bookmarkEnd w:id="7"/>
      <w:bookmarkEnd w:id="8"/>
      <w:bookmarkEnd w:id="9"/>
      <w:bookmarkEnd w:id="10"/>
      <w:bookmarkEnd w:id="11"/>
      <w:bookmarkEnd w:id="12"/>
      <w:bookmarkEnd w:id="13"/>
      <w:bookmarkEnd w:id="14"/>
      <w:bookmarkEnd w:id="15"/>
      <w:bookmarkEnd w:id="16"/>
      <w:bookmarkEnd w:id="17"/>
      <w:bookmarkEnd w:id="18"/>
      <w:bookmarkEnd w:id="19"/>
      <w:bookmarkEnd w:id="20"/>
      <w:r w:rsidRPr="005C3EC8">
        <w:rPr>
          <w:lang w:val="en-GB"/>
        </w:rPr>
        <w:t xml:space="preserve">AP </w:t>
      </w:r>
      <w:r w:rsidRPr="005C3EC8">
        <w:rPr>
          <w:lang w:val="en-GB"/>
        </w:rPr>
        <w:tab/>
      </w:r>
      <w:r w:rsidRPr="005C3EC8">
        <w:rPr>
          <w:lang w:val="en-GB"/>
        </w:rPr>
        <w:tab/>
      </w:r>
      <w:r w:rsidRPr="005C3EC8">
        <w:rPr>
          <w:lang w:val="en-GB"/>
        </w:rPr>
        <w:tab/>
        <w:t>Accounting Period</w:t>
      </w:r>
    </w:p>
    <w:p w14:paraId="6236D4C4" w14:textId="07A81DAB" w:rsidR="003A7F0E" w:rsidRPr="005C3EC8" w:rsidRDefault="003A7F0E" w:rsidP="003A7F0E">
      <w:pPr>
        <w:pStyle w:val="NoSpacing"/>
        <w:rPr>
          <w:lang w:val="en-GB"/>
        </w:rPr>
      </w:pPr>
      <w:r w:rsidRPr="005C3EC8">
        <w:rPr>
          <w:lang w:val="en-GB"/>
        </w:rPr>
        <w:t>APRT</w:t>
      </w:r>
      <w:r w:rsidRPr="005C3EC8">
        <w:rPr>
          <w:lang w:val="en-GB"/>
        </w:rPr>
        <w:tab/>
      </w:r>
      <w:r w:rsidRPr="005C3EC8">
        <w:rPr>
          <w:lang w:val="en-GB"/>
        </w:rPr>
        <w:tab/>
      </w:r>
      <w:r w:rsidRPr="005C3EC8">
        <w:rPr>
          <w:lang w:val="en-GB"/>
        </w:rPr>
        <w:tab/>
        <w:t xml:space="preserve">Advance Petroleum Revenue Tax </w:t>
      </w:r>
    </w:p>
    <w:p w14:paraId="559B7BB3" w14:textId="77777777" w:rsidR="00890D28" w:rsidRPr="005C3EC8" w:rsidRDefault="003A7F0E" w:rsidP="003A7F0E">
      <w:pPr>
        <w:pStyle w:val="NoSpacing"/>
        <w:rPr>
          <w:lang w:val="en-GB"/>
        </w:rPr>
      </w:pPr>
      <w:r w:rsidRPr="005C3EC8">
        <w:rPr>
          <w:lang w:val="en-GB"/>
        </w:rPr>
        <w:t>BEIS</w:t>
      </w:r>
      <w:r w:rsidRPr="005C3EC8">
        <w:rPr>
          <w:lang w:val="en-GB"/>
        </w:rPr>
        <w:tab/>
      </w:r>
      <w:r w:rsidRPr="005C3EC8">
        <w:rPr>
          <w:lang w:val="en-GB"/>
        </w:rPr>
        <w:tab/>
      </w:r>
      <w:r w:rsidRPr="005C3EC8">
        <w:rPr>
          <w:lang w:val="en-GB"/>
        </w:rPr>
        <w:tab/>
        <w:t xml:space="preserve">Department for Business, Energy &amp; Industrial Strategy </w:t>
      </w:r>
    </w:p>
    <w:p w14:paraId="03430B76" w14:textId="47014184" w:rsidR="003A7F0E" w:rsidRPr="005C3EC8" w:rsidRDefault="003A7F0E" w:rsidP="003A7F0E">
      <w:pPr>
        <w:pStyle w:val="NoSpacing"/>
        <w:rPr>
          <w:lang w:val="en-GB"/>
        </w:rPr>
      </w:pPr>
      <w:r w:rsidRPr="005C3EC8">
        <w:rPr>
          <w:lang w:val="en-GB"/>
        </w:rPr>
        <w:t xml:space="preserve">BGS </w:t>
      </w:r>
      <w:r w:rsidR="00890D28" w:rsidRPr="005C3EC8">
        <w:rPr>
          <w:lang w:val="en-GB"/>
        </w:rPr>
        <w:tab/>
      </w:r>
      <w:r w:rsidR="00890D28" w:rsidRPr="005C3EC8">
        <w:rPr>
          <w:lang w:val="en-GB"/>
        </w:rPr>
        <w:tab/>
      </w:r>
      <w:r w:rsidR="00890D28" w:rsidRPr="005C3EC8">
        <w:rPr>
          <w:lang w:val="en-GB"/>
        </w:rPr>
        <w:tab/>
      </w:r>
      <w:r w:rsidRPr="005C3EC8">
        <w:rPr>
          <w:lang w:val="en-GB"/>
        </w:rPr>
        <w:t>British Geological Survey</w:t>
      </w:r>
    </w:p>
    <w:p w14:paraId="3B380FC3" w14:textId="07D168A4" w:rsidR="003A7F0E" w:rsidRPr="005C3EC8" w:rsidRDefault="003A7F0E" w:rsidP="003A7F0E">
      <w:pPr>
        <w:pStyle w:val="NoSpacing"/>
        <w:rPr>
          <w:lang w:val="en-GB"/>
        </w:rPr>
      </w:pPr>
      <w:proofErr w:type="spellStart"/>
      <w:r w:rsidRPr="005C3EC8">
        <w:rPr>
          <w:lang w:val="en-GB"/>
        </w:rPr>
        <w:t>Boe</w:t>
      </w:r>
      <w:proofErr w:type="spellEnd"/>
      <w:r w:rsidRPr="005C3EC8">
        <w:rPr>
          <w:lang w:val="en-GB"/>
        </w:rPr>
        <w:tab/>
      </w:r>
      <w:r w:rsidRPr="005C3EC8">
        <w:rPr>
          <w:lang w:val="en-GB"/>
        </w:rPr>
        <w:tab/>
      </w:r>
      <w:r w:rsidRPr="005C3EC8">
        <w:rPr>
          <w:lang w:val="en-GB"/>
        </w:rPr>
        <w:tab/>
        <w:t xml:space="preserve">barrel of oil equivalent </w:t>
      </w:r>
    </w:p>
    <w:p w14:paraId="52658770" w14:textId="16BCF033" w:rsidR="007E3AAD" w:rsidRPr="005C3EC8" w:rsidRDefault="007E3AAD" w:rsidP="003A7F0E">
      <w:pPr>
        <w:pStyle w:val="NoSpacing"/>
        <w:rPr>
          <w:lang w:val="en-GB"/>
        </w:rPr>
      </w:pPr>
      <w:r w:rsidRPr="005C3EC8">
        <w:rPr>
          <w:lang w:val="en-GB"/>
        </w:rPr>
        <w:t>CA</w:t>
      </w:r>
      <w:r w:rsidRPr="005C3EC8">
        <w:rPr>
          <w:lang w:val="en-GB"/>
        </w:rPr>
        <w:tab/>
      </w:r>
      <w:r w:rsidRPr="005C3EC8">
        <w:rPr>
          <w:lang w:val="en-GB"/>
        </w:rPr>
        <w:tab/>
      </w:r>
      <w:r w:rsidRPr="005C3EC8">
        <w:rPr>
          <w:lang w:val="en-GB"/>
        </w:rPr>
        <w:tab/>
        <w:t xml:space="preserve">Coal Authority </w:t>
      </w:r>
    </w:p>
    <w:p w14:paraId="20845B08" w14:textId="29E507B6" w:rsidR="009057F3" w:rsidRPr="005C3EC8" w:rsidRDefault="009057F3" w:rsidP="003A7F0E">
      <w:pPr>
        <w:pStyle w:val="NoSpacing"/>
        <w:rPr>
          <w:lang w:val="en-GB"/>
        </w:rPr>
      </w:pPr>
      <w:r w:rsidRPr="005C3EC8">
        <w:rPr>
          <w:lang w:val="en-GB"/>
        </w:rPr>
        <w:t>CES</w:t>
      </w:r>
      <w:r w:rsidRPr="005C3EC8">
        <w:rPr>
          <w:lang w:val="en-GB"/>
        </w:rPr>
        <w:tab/>
      </w:r>
      <w:r w:rsidRPr="005C3EC8">
        <w:rPr>
          <w:lang w:val="en-GB"/>
        </w:rPr>
        <w:tab/>
      </w:r>
      <w:r w:rsidRPr="005C3EC8">
        <w:rPr>
          <w:lang w:val="en-GB"/>
        </w:rPr>
        <w:tab/>
        <w:t>Crown Estate Scotland</w:t>
      </w:r>
    </w:p>
    <w:p w14:paraId="7EEC97FF" w14:textId="2C610187" w:rsidR="00890D28" w:rsidRPr="005C3EC8" w:rsidRDefault="003A7F0E" w:rsidP="003A7F0E">
      <w:pPr>
        <w:pStyle w:val="NoSpacing"/>
        <w:rPr>
          <w:lang w:val="en-GB"/>
        </w:rPr>
      </w:pPr>
      <w:r w:rsidRPr="005C3EC8">
        <w:rPr>
          <w:lang w:val="en-GB"/>
        </w:rPr>
        <w:t>DAERA</w:t>
      </w:r>
      <w:r w:rsidRPr="005C3EC8">
        <w:rPr>
          <w:lang w:val="en-GB"/>
        </w:rPr>
        <w:tab/>
      </w:r>
      <w:r w:rsidRPr="005C3EC8">
        <w:rPr>
          <w:lang w:val="en-GB"/>
        </w:rPr>
        <w:tab/>
      </w:r>
      <w:r w:rsidRPr="005C3EC8">
        <w:rPr>
          <w:lang w:val="en-GB"/>
        </w:rPr>
        <w:tab/>
        <w:t xml:space="preserve">Department of Agriculture, Environment and Rural Affairs </w:t>
      </w:r>
    </w:p>
    <w:p w14:paraId="34D92FF5" w14:textId="13DB0D57" w:rsidR="003A7F0E" w:rsidRPr="005C3EC8" w:rsidRDefault="003A7F0E" w:rsidP="003A7F0E">
      <w:pPr>
        <w:pStyle w:val="NoSpacing"/>
        <w:rPr>
          <w:lang w:val="en-GB"/>
        </w:rPr>
      </w:pPr>
      <w:r w:rsidRPr="005C3EC8">
        <w:rPr>
          <w:lang w:val="en-GB"/>
        </w:rPr>
        <w:t xml:space="preserve">DCLG </w:t>
      </w:r>
      <w:r w:rsidR="00890D28" w:rsidRPr="005C3EC8">
        <w:rPr>
          <w:lang w:val="en-GB"/>
        </w:rPr>
        <w:tab/>
      </w:r>
      <w:r w:rsidR="00890D28" w:rsidRPr="005C3EC8">
        <w:rPr>
          <w:lang w:val="en-GB"/>
        </w:rPr>
        <w:tab/>
      </w:r>
      <w:r w:rsidR="00890D28" w:rsidRPr="005C3EC8">
        <w:rPr>
          <w:lang w:val="en-GB"/>
        </w:rPr>
        <w:tab/>
      </w:r>
      <w:r w:rsidRPr="005C3EC8">
        <w:rPr>
          <w:lang w:val="en-GB"/>
        </w:rPr>
        <w:t>Department for Communities and Local Government</w:t>
      </w:r>
    </w:p>
    <w:p w14:paraId="3BCDA96A" w14:textId="2924AC24" w:rsidR="003A7F0E" w:rsidRPr="005C3EC8" w:rsidRDefault="003A7F0E" w:rsidP="003A7F0E">
      <w:pPr>
        <w:pStyle w:val="NoSpacing"/>
        <w:rPr>
          <w:lang w:val="en-GB"/>
        </w:rPr>
      </w:pPr>
      <w:r w:rsidRPr="005C3EC8">
        <w:rPr>
          <w:lang w:val="en-GB"/>
        </w:rPr>
        <w:t xml:space="preserve">DfE </w:t>
      </w:r>
      <w:r w:rsidR="00890D28" w:rsidRPr="005C3EC8">
        <w:rPr>
          <w:lang w:val="en-GB"/>
        </w:rPr>
        <w:tab/>
      </w:r>
      <w:r w:rsidR="00890D28" w:rsidRPr="005C3EC8">
        <w:rPr>
          <w:lang w:val="en-GB"/>
        </w:rPr>
        <w:tab/>
      </w:r>
      <w:r w:rsidR="00890D28" w:rsidRPr="005C3EC8">
        <w:rPr>
          <w:lang w:val="en-GB"/>
        </w:rPr>
        <w:tab/>
      </w:r>
      <w:r w:rsidRPr="005C3EC8">
        <w:rPr>
          <w:lang w:val="en-GB"/>
        </w:rPr>
        <w:t>Department for the Economy</w:t>
      </w:r>
    </w:p>
    <w:p w14:paraId="43DB4828" w14:textId="77777777" w:rsidR="007E3AAD" w:rsidRPr="005C3EC8" w:rsidRDefault="003A7F0E" w:rsidP="003A7F0E">
      <w:pPr>
        <w:pStyle w:val="NoSpacing"/>
        <w:rPr>
          <w:lang w:val="en-GB"/>
        </w:rPr>
      </w:pPr>
      <w:r w:rsidRPr="005C3EC8">
        <w:rPr>
          <w:lang w:val="en-GB"/>
        </w:rPr>
        <w:t>DRD</w:t>
      </w:r>
      <w:r w:rsidRPr="005C3EC8">
        <w:rPr>
          <w:lang w:val="en-GB"/>
        </w:rPr>
        <w:tab/>
      </w:r>
      <w:r w:rsidRPr="005C3EC8">
        <w:rPr>
          <w:lang w:val="en-GB"/>
        </w:rPr>
        <w:tab/>
      </w:r>
      <w:r w:rsidRPr="005C3EC8">
        <w:rPr>
          <w:lang w:val="en-GB"/>
        </w:rPr>
        <w:tab/>
        <w:t xml:space="preserve">Decommissioning Relief Deed </w:t>
      </w:r>
    </w:p>
    <w:p w14:paraId="168F2917" w14:textId="4C9BC3C3" w:rsidR="003A7F0E" w:rsidRPr="005C3EC8" w:rsidRDefault="003A7F0E" w:rsidP="007E3AAD">
      <w:pPr>
        <w:pStyle w:val="NoSpacing"/>
        <w:rPr>
          <w:lang w:val="en-GB"/>
        </w:rPr>
      </w:pPr>
      <w:r w:rsidRPr="005C3EC8">
        <w:rPr>
          <w:lang w:val="en-GB"/>
        </w:rPr>
        <w:t xml:space="preserve">DUKES </w:t>
      </w:r>
      <w:r w:rsidR="007E3AAD" w:rsidRPr="005C3EC8">
        <w:rPr>
          <w:lang w:val="en-GB"/>
        </w:rPr>
        <w:tab/>
      </w:r>
      <w:r w:rsidR="007E3AAD" w:rsidRPr="005C3EC8">
        <w:rPr>
          <w:lang w:val="en-GB"/>
        </w:rPr>
        <w:tab/>
      </w:r>
      <w:r w:rsidR="007E3AAD" w:rsidRPr="005C3EC8">
        <w:rPr>
          <w:lang w:val="en-GB"/>
        </w:rPr>
        <w:tab/>
      </w:r>
      <w:r w:rsidRPr="005C3EC8">
        <w:rPr>
          <w:lang w:val="en-GB"/>
        </w:rPr>
        <w:t>Digest of United Kingdom Energy Statistics</w:t>
      </w:r>
    </w:p>
    <w:p w14:paraId="53F801C4" w14:textId="133280D1" w:rsidR="003A7F0E" w:rsidRPr="005C3EC8" w:rsidRDefault="003A7F0E" w:rsidP="003A7F0E">
      <w:pPr>
        <w:pStyle w:val="NoSpacing"/>
        <w:rPr>
          <w:lang w:val="en-GB"/>
        </w:rPr>
      </w:pPr>
      <w:r w:rsidRPr="005C3EC8">
        <w:rPr>
          <w:lang w:val="en-GB"/>
        </w:rPr>
        <w:t>EITI</w:t>
      </w:r>
      <w:r w:rsidRPr="005C3EC8">
        <w:rPr>
          <w:lang w:val="en-GB"/>
        </w:rPr>
        <w:tab/>
      </w:r>
      <w:r w:rsidRPr="005C3EC8">
        <w:rPr>
          <w:lang w:val="en-GB"/>
        </w:rPr>
        <w:tab/>
      </w:r>
      <w:r w:rsidRPr="005C3EC8">
        <w:rPr>
          <w:lang w:val="en-GB"/>
        </w:rPr>
        <w:tab/>
        <w:t>Extractive Industries Transparency Initiative EU European Union</w:t>
      </w:r>
    </w:p>
    <w:p w14:paraId="482ACDB4" w14:textId="77777777" w:rsidR="003A7F0E" w:rsidRPr="005C3EC8" w:rsidRDefault="003A7F0E" w:rsidP="003A7F0E">
      <w:pPr>
        <w:pStyle w:val="NoSpacing"/>
        <w:rPr>
          <w:lang w:val="en-GB"/>
        </w:rPr>
      </w:pPr>
      <w:r w:rsidRPr="005C3EC8">
        <w:rPr>
          <w:lang w:val="en-GB"/>
        </w:rPr>
        <w:t>GB</w:t>
      </w:r>
      <w:r w:rsidRPr="005C3EC8">
        <w:rPr>
          <w:lang w:val="en-GB"/>
        </w:rPr>
        <w:tab/>
      </w:r>
      <w:r w:rsidRPr="005C3EC8">
        <w:rPr>
          <w:lang w:val="en-GB"/>
        </w:rPr>
        <w:tab/>
      </w:r>
      <w:r w:rsidRPr="005C3EC8">
        <w:rPr>
          <w:lang w:val="en-GB"/>
        </w:rPr>
        <w:tab/>
        <w:t xml:space="preserve">Great Britain </w:t>
      </w:r>
    </w:p>
    <w:p w14:paraId="74C7CB07" w14:textId="0310F79D" w:rsidR="003A7F0E" w:rsidRPr="005C3EC8" w:rsidRDefault="003A7F0E" w:rsidP="003A7F0E">
      <w:pPr>
        <w:pStyle w:val="NoSpacing"/>
        <w:rPr>
          <w:lang w:val="en-GB"/>
        </w:rPr>
      </w:pPr>
      <w:r w:rsidRPr="005C3EC8">
        <w:rPr>
          <w:lang w:val="en-GB"/>
        </w:rPr>
        <w:t xml:space="preserve">GDP </w:t>
      </w:r>
      <w:r w:rsidRPr="005C3EC8">
        <w:rPr>
          <w:lang w:val="en-GB"/>
        </w:rPr>
        <w:tab/>
      </w:r>
      <w:r w:rsidRPr="005C3EC8">
        <w:rPr>
          <w:lang w:val="en-GB"/>
        </w:rPr>
        <w:tab/>
      </w:r>
      <w:r w:rsidRPr="005C3EC8">
        <w:rPr>
          <w:lang w:val="en-GB"/>
        </w:rPr>
        <w:tab/>
        <w:t>Gross Domestic Product</w:t>
      </w:r>
    </w:p>
    <w:p w14:paraId="2AA5FD7F" w14:textId="5BA15914" w:rsidR="003A7F0E" w:rsidRPr="005C3EC8" w:rsidRDefault="003A7F0E" w:rsidP="003A7F0E">
      <w:pPr>
        <w:pStyle w:val="NoSpacing"/>
        <w:rPr>
          <w:lang w:val="en-GB"/>
        </w:rPr>
      </w:pPr>
      <w:r w:rsidRPr="005C3EC8">
        <w:rPr>
          <w:lang w:val="en-GB"/>
        </w:rPr>
        <w:t xml:space="preserve">HMRC </w:t>
      </w:r>
      <w:r w:rsidRPr="005C3EC8">
        <w:rPr>
          <w:lang w:val="en-GB"/>
        </w:rPr>
        <w:tab/>
      </w:r>
      <w:r w:rsidRPr="005C3EC8">
        <w:rPr>
          <w:lang w:val="en-GB"/>
        </w:rPr>
        <w:tab/>
      </w:r>
      <w:r w:rsidRPr="005C3EC8">
        <w:rPr>
          <w:lang w:val="en-GB"/>
        </w:rPr>
        <w:tab/>
        <w:t>Her Majesty’s Revenue &amp; Customs</w:t>
      </w:r>
    </w:p>
    <w:p w14:paraId="30B75D32" w14:textId="77777777" w:rsidR="007E3AAD" w:rsidRPr="005C3EC8" w:rsidRDefault="003A7F0E" w:rsidP="003A7F0E">
      <w:pPr>
        <w:pStyle w:val="NoSpacing"/>
        <w:rPr>
          <w:lang w:val="en-GB"/>
        </w:rPr>
      </w:pPr>
      <w:r w:rsidRPr="005C3EC8">
        <w:rPr>
          <w:lang w:val="en-GB"/>
        </w:rPr>
        <w:t>IA</w:t>
      </w:r>
      <w:r w:rsidRPr="005C3EC8">
        <w:rPr>
          <w:lang w:val="en-GB"/>
        </w:rPr>
        <w:tab/>
      </w:r>
      <w:r w:rsidRPr="005C3EC8">
        <w:rPr>
          <w:lang w:val="en-GB"/>
        </w:rPr>
        <w:tab/>
      </w:r>
      <w:r w:rsidRPr="005C3EC8">
        <w:rPr>
          <w:lang w:val="en-GB"/>
        </w:rPr>
        <w:tab/>
        <w:t xml:space="preserve">Independent Administrator </w:t>
      </w:r>
    </w:p>
    <w:p w14:paraId="78027BC3" w14:textId="2E7CE106" w:rsidR="003A7F0E" w:rsidRPr="005C3EC8" w:rsidRDefault="003A7F0E" w:rsidP="003A7F0E">
      <w:pPr>
        <w:pStyle w:val="NoSpacing"/>
        <w:rPr>
          <w:lang w:val="en-GB"/>
        </w:rPr>
      </w:pPr>
      <w:r w:rsidRPr="005C3EC8">
        <w:rPr>
          <w:lang w:val="en-GB"/>
        </w:rPr>
        <w:t xml:space="preserve">ISRS </w:t>
      </w:r>
      <w:r w:rsidR="007E3AAD" w:rsidRPr="005C3EC8">
        <w:rPr>
          <w:lang w:val="en-GB"/>
        </w:rPr>
        <w:tab/>
      </w:r>
      <w:r w:rsidR="007E3AAD" w:rsidRPr="005C3EC8">
        <w:rPr>
          <w:lang w:val="en-GB"/>
        </w:rPr>
        <w:tab/>
      </w:r>
      <w:r w:rsidR="007E3AAD" w:rsidRPr="005C3EC8">
        <w:rPr>
          <w:lang w:val="en-GB"/>
        </w:rPr>
        <w:tab/>
      </w:r>
      <w:r w:rsidRPr="005C3EC8">
        <w:rPr>
          <w:lang w:val="en-GB"/>
        </w:rPr>
        <w:t>International Standard on Related Services</w:t>
      </w:r>
    </w:p>
    <w:p w14:paraId="5301C3F6" w14:textId="77777777" w:rsidR="003A7F0E" w:rsidRPr="005C3EC8" w:rsidRDefault="003A7F0E" w:rsidP="003A7F0E">
      <w:pPr>
        <w:pStyle w:val="NoSpacing"/>
        <w:rPr>
          <w:lang w:val="en-GB"/>
        </w:rPr>
      </w:pPr>
      <w:r w:rsidRPr="005C3EC8">
        <w:rPr>
          <w:lang w:val="en-GB"/>
        </w:rPr>
        <w:t>LPA</w:t>
      </w:r>
      <w:r w:rsidRPr="005C3EC8">
        <w:rPr>
          <w:lang w:val="en-GB"/>
        </w:rPr>
        <w:tab/>
      </w:r>
      <w:r w:rsidRPr="005C3EC8">
        <w:rPr>
          <w:lang w:val="en-GB"/>
        </w:rPr>
        <w:tab/>
      </w:r>
      <w:r w:rsidRPr="005C3EC8">
        <w:rPr>
          <w:lang w:val="en-GB"/>
        </w:rPr>
        <w:tab/>
        <w:t xml:space="preserve">Local Planning Authority </w:t>
      </w:r>
    </w:p>
    <w:p w14:paraId="2E53E319" w14:textId="7303E7A6" w:rsidR="003A7F0E" w:rsidRPr="005C3EC8" w:rsidRDefault="003A7F0E" w:rsidP="003A7F0E">
      <w:pPr>
        <w:pStyle w:val="NoSpacing"/>
        <w:rPr>
          <w:lang w:val="en-GB"/>
        </w:rPr>
      </w:pPr>
      <w:r w:rsidRPr="005C3EC8">
        <w:rPr>
          <w:lang w:val="en-GB"/>
        </w:rPr>
        <w:t xml:space="preserve">MEA </w:t>
      </w:r>
      <w:r w:rsidRPr="005C3EC8">
        <w:rPr>
          <w:lang w:val="en-GB"/>
        </w:rPr>
        <w:tab/>
      </w:r>
      <w:r w:rsidRPr="005C3EC8">
        <w:rPr>
          <w:lang w:val="en-GB"/>
        </w:rPr>
        <w:tab/>
      </w:r>
      <w:r w:rsidRPr="005C3EC8">
        <w:rPr>
          <w:lang w:val="en-GB"/>
        </w:rPr>
        <w:tab/>
        <w:t>Mineral Extraction Allowance</w:t>
      </w:r>
    </w:p>
    <w:p w14:paraId="2A54C14B" w14:textId="77777777" w:rsidR="003A7F0E" w:rsidRPr="005C3EC8" w:rsidRDefault="003A7F0E" w:rsidP="003A7F0E">
      <w:pPr>
        <w:pStyle w:val="NoSpacing"/>
        <w:rPr>
          <w:lang w:val="en-GB"/>
        </w:rPr>
      </w:pPr>
      <w:r w:rsidRPr="005C3EC8">
        <w:rPr>
          <w:lang w:val="en-GB"/>
        </w:rPr>
        <w:t>MMO</w:t>
      </w:r>
      <w:r w:rsidRPr="005C3EC8">
        <w:rPr>
          <w:lang w:val="en-GB"/>
        </w:rPr>
        <w:tab/>
      </w:r>
      <w:r w:rsidRPr="005C3EC8">
        <w:rPr>
          <w:lang w:val="en-GB"/>
        </w:rPr>
        <w:tab/>
      </w:r>
      <w:r w:rsidRPr="005C3EC8">
        <w:rPr>
          <w:lang w:val="en-GB"/>
        </w:rPr>
        <w:tab/>
        <w:t xml:space="preserve">Marine Management Organisation </w:t>
      </w:r>
    </w:p>
    <w:p w14:paraId="0FD19E37" w14:textId="736A8F91" w:rsidR="003A7F0E" w:rsidRPr="005C3EC8" w:rsidRDefault="003A7F0E" w:rsidP="003A7F0E">
      <w:pPr>
        <w:pStyle w:val="NoSpacing"/>
        <w:rPr>
          <w:lang w:val="en-GB"/>
        </w:rPr>
      </w:pPr>
      <w:r w:rsidRPr="005C3EC8">
        <w:rPr>
          <w:lang w:val="en-GB"/>
        </w:rPr>
        <w:t xml:space="preserve">MPA </w:t>
      </w:r>
      <w:r w:rsidRPr="005C3EC8">
        <w:rPr>
          <w:lang w:val="en-GB"/>
        </w:rPr>
        <w:tab/>
      </w:r>
      <w:r w:rsidRPr="005C3EC8">
        <w:rPr>
          <w:lang w:val="en-GB"/>
        </w:rPr>
        <w:tab/>
      </w:r>
      <w:r w:rsidRPr="005C3EC8">
        <w:rPr>
          <w:lang w:val="en-GB"/>
        </w:rPr>
        <w:tab/>
        <w:t>Mineral Planning Authority</w:t>
      </w:r>
    </w:p>
    <w:p w14:paraId="46918C94" w14:textId="77777777" w:rsidR="003A7F0E" w:rsidRPr="005C3EC8" w:rsidRDefault="003A7F0E" w:rsidP="003A7F0E">
      <w:pPr>
        <w:pStyle w:val="NoSpacing"/>
        <w:rPr>
          <w:lang w:val="en-GB"/>
        </w:rPr>
      </w:pPr>
      <w:r w:rsidRPr="005C3EC8">
        <w:rPr>
          <w:lang w:val="en-GB"/>
        </w:rPr>
        <w:t>MPL</w:t>
      </w:r>
      <w:r w:rsidRPr="005C3EC8">
        <w:rPr>
          <w:lang w:val="en-GB"/>
        </w:rPr>
        <w:tab/>
      </w:r>
      <w:r w:rsidRPr="005C3EC8">
        <w:rPr>
          <w:lang w:val="en-GB"/>
        </w:rPr>
        <w:tab/>
      </w:r>
      <w:r w:rsidRPr="005C3EC8">
        <w:rPr>
          <w:lang w:val="en-GB"/>
        </w:rPr>
        <w:tab/>
        <w:t xml:space="preserve">Mineral Prospecting Licence </w:t>
      </w:r>
    </w:p>
    <w:p w14:paraId="1D368F9E" w14:textId="0DE0C74C" w:rsidR="003A7F0E" w:rsidRPr="005C3EC8" w:rsidRDefault="003A7F0E" w:rsidP="003A7F0E">
      <w:pPr>
        <w:pStyle w:val="NoSpacing"/>
        <w:rPr>
          <w:lang w:val="en-GB"/>
        </w:rPr>
      </w:pPr>
      <w:r w:rsidRPr="005C3EC8">
        <w:rPr>
          <w:lang w:val="en-GB"/>
        </w:rPr>
        <w:t xml:space="preserve">MSG </w:t>
      </w:r>
      <w:r w:rsidRPr="005C3EC8">
        <w:rPr>
          <w:lang w:val="en-GB"/>
        </w:rPr>
        <w:tab/>
      </w:r>
      <w:r w:rsidRPr="005C3EC8">
        <w:rPr>
          <w:lang w:val="en-GB"/>
        </w:rPr>
        <w:tab/>
      </w:r>
      <w:r w:rsidRPr="005C3EC8">
        <w:rPr>
          <w:lang w:val="en-GB"/>
        </w:rPr>
        <w:tab/>
        <w:t>Multi-Stakeholder Group</w:t>
      </w:r>
    </w:p>
    <w:p w14:paraId="6ED5391F" w14:textId="77777777" w:rsidR="007E3AAD" w:rsidRPr="005C3EC8" w:rsidRDefault="003A7F0E" w:rsidP="003A7F0E">
      <w:pPr>
        <w:pStyle w:val="NoSpacing"/>
        <w:rPr>
          <w:lang w:val="en-GB"/>
        </w:rPr>
      </w:pPr>
      <w:proofErr w:type="spellStart"/>
      <w:r w:rsidRPr="005C3EC8">
        <w:rPr>
          <w:lang w:val="en-GB"/>
        </w:rPr>
        <w:t>Mtoe</w:t>
      </w:r>
      <w:proofErr w:type="spellEnd"/>
      <w:r w:rsidRPr="005C3EC8">
        <w:rPr>
          <w:lang w:val="en-GB"/>
        </w:rPr>
        <w:tab/>
      </w:r>
      <w:r w:rsidRPr="005C3EC8">
        <w:rPr>
          <w:lang w:val="en-GB"/>
        </w:rPr>
        <w:tab/>
      </w:r>
      <w:r w:rsidRPr="005C3EC8">
        <w:rPr>
          <w:lang w:val="en-GB"/>
        </w:rPr>
        <w:tab/>
        <w:t xml:space="preserve">million tonnes of oil equivalent </w:t>
      </w:r>
    </w:p>
    <w:p w14:paraId="4830B17A" w14:textId="13476E3F" w:rsidR="003A7F0E" w:rsidRPr="005C3EC8" w:rsidRDefault="003A7F0E" w:rsidP="003A7F0E">
      <w:pPr>
        <w:pStyle w:val="NoSpacing"/>
        <w:rPr>
          <w:lang w:val="en-GB"/>
        </w:rPr>
      </w:pPr>
      <w:r w:rsidRPr="005C3EC8">
        <w:rPr>
          <w:lang w:val="en-GB"/>
        </w:rPr>
        <w:t xml:space="preserve">NAO </w:t>
      </w:r>
      <w:r w:rsidR="007E3AAD" w:rsidRPr="005C3EC8">
        <w:rPr>
          <w:lang w:val="en-GB"/>
        </w:rPr>
        <w:tab/>
      </w:r>
      <w:r w:rsidR="007E3AAD" w:rsidRPr="005C3EC8">
        <w:rPr>
          <w:lang w:val="en-GB"/>
        </w:rPr>
        <w:tab/>
      </w:r>
      <w:r w:rsidR="007E3AAD" w:rsidRPr="005C3EC8">
        <w:rPr>
          <w:lang w:val="en-GB"/>
        </w:rPr>
        <w:tab/>
      </w:r>
      <w:r w:rsidRPr="005C3EC8">
        <w:rPr>
          <w:lang w:val="en-GB"/>
        </w:rPr>
        <w:t>National Audit Office</w:t>
      </w:r>
    </w:p>
    <w:p w14:paraId="45DB00DA" w14:textId="77777777" w:rsidR="003A7F0E" w:rsidRPr="005C3EC8" w:rsidRDefault="003A7F0E" w:rsidP="003A7F0E">
      <w:pPr>
        <w:pStyle w:val="NoSpacing"/>
        <w:rPr>
          <w:lang w:val="en-GB"/>
        </w:rPr>
      </w:pPr>
      <w:r w:rsidRPr="005C3EC8">
        <w:rPr>
          <w:lang w:val="en-GB"/>
        </w:rPr>
        <w:t>NBP</w:t>
      </w:r>
      <w:r w:rsidRPr="005C3EC8">
        <w:rPr>
          <w:lang w:val="en-GB"/>
        </w:rPr>
        <w:tab/>
      </w:r>
      <w:r w:rsidRPr="005C3EC8">
        <w:rPr>
          <w:lang w:val="en-GB"/>
        </w:rPr>
        <w:tab/>
      </w:r>
      <w:r w:rsidRPr="005C3EC8">
        <w:rPr>
          <w:lang w:val="en-GB"/>
        </w:rPr>
        <w:tab/>
        <w:t xml:space="preserve">National Balancing Point </w:t>
      </w:r>
    </w:p>
    <w:p w14:paraId="6C5923D8" w14:textId="76EC22B8" w:rsidR="003A7F0E" w:rsidRPr="005C3EC8" w:rsidRDefault="003A7F0E" w:rsidP="003A7F0E">
      <w:pPr>
        <w:pStyle w:val="NoSpacing"/>
        <w:rPr>
          <w:lang w:val="en-GB"/>
        </w:rPr>
      </w:pPr>
      <w:r w:rsidRPr="005C3EC8">
        <w:rPr>
          <w:lang w:val="en-GB"/>
        </w:rPr>
        <w:t xml:space="preserve">NRW </w:t>
      </w:r>
      <w:r w:rsidR="00890D28" w:rsidRPr="005C3EC8">
        <w:rPr>
          <w:lang w:val="en-GB"/>
        </w:rPr>
        <w:tab/>
      </w:r>
      <w:r w:rsidR="00890D28" w:rsidRPr="005C3EC8">
        <w:rPr>
          <w:lang w:val="en-GB"/>
        </w:rPr>
        <w:tab/>
      </w:r>
      <w:r w:rsidR="00890D28" w:rsidRPr="005C3EC8">
        <w:rPr>
          <w:lang w:val="en-GB"/>
        </w:rPr>
        <w:tab/>
      </w:r>
      <w:r w:rsidRPr="005C3EC8">
        <w:rPr>
          <w:lang w:val="en-GB"/>
        </w:rPr>
        <w:t>Natural Resources Wales</w:t>
      </w:r>
    </w:p>
    <w:p w14:paraId="31D6F6EC" w14:textId="36BA2858" w:rsidR="003A7F0E" w:rsidRPr="005C3EC8" w:rsidRDefault="003A7F0E" w:rsidP="003A7F0E">
      <w:pPr>
        <w:pStyle w:val="NoSpacing"/>
        <w:rPr>
          <w:lang w:val="en-GB"/>
        </w:rPr>
      </w:pPr>
      <w:r w:rsidRPr="005C3EC8">
        <w:rPr>
          <w:lang w:val="en-GB"/>
        </w:rPr>
        <w:t xml:space="preserve">OBR </w:t>
      </w:r>
      <w:r w:rsidR="00890D28" w:rsidRPr="005C3EC8">
        <w:rPr>
          <w:lang w:val="en-GB"/>
        </w:rPr>
        <w:tab/>
      </w:r>
      <w:r w:rsidR="00890D28" w:rsidRPr="005C3EC8">
        <w:rPr>
          <w:lang w:val="en-GB"/>
        </w:rPr>
        <w:tab/>
      </w:r>
      <w:r w:rsidR="00890D28" w:rsidRPr="005C3EC8">
        <w:rPr>
          <w:lang w:val="en-GB"/>
        </w:rPr>
        <w:tab/>
      </w:r>
      <w:r w:rsidRPr="005C3EC8">
        <w:rPr>
          <w:lang w:val="en-GB"/>
        </w:rPr>
        <w:t>Office for Budget Responsibility</w:t>
      </w:r>
    </w:p>
    <w:p w14:paraId="6B7E3AC2" w14:textId="77777777" w:rsidR="00890D28" w:rsidRPr="005C3EC8" w:rsidRDefault="00890D28" w:rsidP="003A7F0E">
      <w:pPr>
        <w:pStyle w:val="NoSpacing"/>
        <w:rPr>
          <w:lang w:val="en-GB"/>
        </w:rPr>
      </w:pPr>
      <w:r w:rsidRPr="005C3EC8">
        <w:rPr>
          <w:lang w:val="en-GB"/>
        </w:rPr>
        <w:t>OGA</w:t>
      </w:r>
      <w:r w:rsidRPr="005C3EC8">
        <w:rPr>
          <w:lang w:val="en-GB"/>
        </w:rPr>
        <w:tab/>
      </w:r>
      <w:r w:rsidRPr="005C3EC8">
        <w:rPr>
          <w:lang w:val="en-GB"/>
        </w:rPr>
        <w:tab/>
      </w:r>
      <w:r w:rsidRPr="005C3EC8">
        <w:rPr>
          <w:lang w:val="en-GB"/>
        </w:rPr>
        <w:tab/>
      </w:r>
      <w:r w:rsidR="003A7F0E" w:rsidRPr="005C3EC8">
        <w:rPr>
          <w:lang w:val="en-GB"/>
        </w:rPr>
        <w:t xml:space="preserve">Oil and Gas Authority </w:t>
      </w:r>
    </w:p>
    <w:p w14:paraId="7FBB9875" w14:textId="69F5DDD0" w:rsidR="004D56C6" w:rsidRPr="005C3EC8" w:rsidRDefault="004D56C6" w:rsidP="004D56C6">
      <w:pPr>
        <w:pStyle w:val="NoSpacing"/>
        <w:rPr>
          <w:lang w:val="en-GB"/>
        </w:rPr>
      </w:pPr>
      <w:r w:rsidRPr="005C3EC8">
        <w:rPr>
          <w:lang w:val="en-GB"/>
        </w:rPr>
        <w:t>OGP</w:t>
      </w:r>
      <w:r w:rsidRPr="005C3EC8">
        <w:rPr>
          <w:lang w:val="en-GB"/>
        </w:rPr>
        <w:tab/>
      </w:r>
      <w:r w:rsidRPr="005C3EC8">
        <w:rPr>
          <w:lang w:val="en-GB"/>
        </w:rPr>
        <w:tab/>
      </w:r>
      <w:r w:rsidRPr="005C3EC8">
        <w:rPr>
          <w:lang w:val="en-GB"/>
        </w:rPr>
        <w:tab/>
        <w:t xml:space="preserve">Open Government Partnership </w:t>
      </w:r>
    </w:p>
    <w:p w14:paraId="02EE1D50" w14:textId="040628F1" w:rsidR="003A7F0E" w:rsidRPr="005C3EC8" w:rsidRDefault="003A7F0E" w:rsidP="003A7F0E">
      <w:pPr>
        <w:pStyle w:val="NoSpacing"/>
        <w:rPr>
          <w:lang w:val="en-GB"/>
        </w:rPr>
      </w:pPr>
      <w:r w:rsidRPr="005C3EC8">
        <w:rPr>
          <w:lang w:val="en-GB"/>
        </w:rPr>
        <w:t xml:space="preserve">ONS </w:t>
      </w:r>
      <w:r w:rsidR="00890D28" w:rsidRPr="005C3EC8">
        <w:rPr>
          <w:lang w:val="en-GB"/>
        </w:rPr>
        <w:tab/>
      </w:r>
      <w:r w:rsidR="00890D28" w:rsidRPr="005C3EC8">
        <w:rPr>
          <w:lang w:val="en-GB"/>
        </w:rPr>
        <w:tab/>
      </w:r>
      <w:r w:rsidR="00890D28" w:rsidRPr="005C3EC8">
        <w:rPr>
          <w:lang w:val="en-GB"/>
        </w:rPr>
        <w:tab/>
      </w:r>
      <w:r w:rsidRPr="005C3EC8">
        <w:rPr>
          <w:lang w:val="en-GB"/>
        </w:rPr>
        <w:t>Office for National Statistics</w:t>
      </w:r>
    </w:p>
    <w:p w14:paraId="5B0B021F" w14:textId="3EA478DB" w:rsidR="007E3AAD" w:rsidRPr="005C3EC8" w:rsidRDefault="007E3AAD" w:rsidP="003A7F0E">
      <w:pPr>
        <w:pStyle w:val="NoSpacing"/>
        <w:rPr>
          <w:lang w:val="en-GB"/>
        </w:rPr>
      </w:pPr>
      <w:r w:rsidRPr="005C3EC8">
        <w:rPr>
          <w:lang w:val="en-GB"/>
        </w:rPr>
        <w:t>PEARS</w:t>
      </w:r>
      <w:r w:rsidRPr="005C3EC8">
        <w:rPr>
          <w:lang w:val="en-GB"/>
        </w:rPr>
        <w:tab/>
      </w:r>
      <w:r w:rsidRPr="005C3EC8">
        <w:rPr>
          <w:lang w:val="en-GB"/>
        </w:rPr>
        <w:tab/>
      </w:r>
      <w:r w:rsidRPr="005C3EC8">
        <w:rPr>
          <w:lang w:val="en-GB"/>
        </w:rPr>
        <w:tab/>
        <w:t>Petroleum e-business assignments and relinquishment system</w:t>
      </w:r>
    </w:p>
    <w:p w14:paraId="56B72A67" w14:textId="5C07E5A6" w:rsidR="003A7F0E" w:rsidRPr="005C3EC8" w:rsidRDefault="003A7F0E" w:rsidP="003A7F0E">
      <w:pPr>
        <w:pStyle w:val="NoSpacing"/>
        <w:rPr>
          <w:lang w:val="en-GB"/>
        </w:rPr>
      </w:pPr>
      <w:r w:rsidRPr="005C3EC8">
        <w:rPr>
          <w:lang w:val="en-GB"/>
        </w:rPr>
        <w:t xml:space="preserve">PEP </w:t>
      </w:r>
      <w:r w:rsidR="00890D28" w:rsidRPr="005C3EC8">
        <w:rPr>
          <w:lang w:val="en-GB"/>
        </w:rPr>
        <w:tab/>
      </w:r>
      <w:r w:rsidR="00890D28" w:rsidRPr="005C3EC8">
        <w:rPr>
          <w:lang w:val="en-GB"/>
        </w:rPr>
        <w:tab/>
      </w:r>
      <w:r w:rsidR="00890D28" w:rsidRPr="005C3EC8">
        <w:rPr>
          <w:lang w:val="en-GB"/>
        </w:rPr>
        <w:tab/>
      </w:r>
      <w:r w:rsidRPr="005C3EC8">
        <w:rPr>
          <w:lang w:val="en-GB"/>
        </w:rPr>
        <w:t>Politically Exposed Person</w:t>
      </w:r>
    </w:p>
    <w:p w14:paraId="126FFD6D" w14:textId="77777777" w:rsidR="007E3AAD" w:rsidRPr="005C3EC8" w:rsidRDefault="00890D28" w:rsidP="003A7F0E">
      <w:pPr>
        <w:pStyle w:val="NoSpacing"/>
        <w:rPr>
          <w:lang w:val="en-GB"/>
        </w:rPr>
      </w:pPr>
      <w:r w:rsidRPr="005C3EC8">
        <w:rPr>
          <w:lang w:val="en-GB"/>
        </w:rPr>
        <w:t xml:space="preserve">PMA </w:t>
      </w:r>
      <w:r w:rsidRPr="005C3EC8">
        <w:rPr>
          <w:lang w:val="en-GB"/>
        </w:rPr>
        <w:tab/>
      </w:r>
      <w:r w:rsidRPr="005C3EC8">
        <w:rPr>
          <w:lang w:val="en-GB"/>
        </w:rPr>
        <w:tab/>
      </w:r>
      <w:r w:rsidRPr="005C3EC8">
        <w:rPr>
          <w:lang w:val="en-GB"/>
        </w:rPr>
        <w:tab/>
      </w:r>
      <w:r w:rsidR="003A7F0E" w:rsidRPr="005C3EC8">
        <w:rPr>
          <w:lang w:val="en-GB"/>
        </w:rPr>
        <w:t xml:space="preserve">Plant and Machinery Allowances </w:t>
      </w:r>
    </w:p>
    <w:p w14:paraId="500CF5B8" w14:textId="4B0EF403" w:rsidR="003A7F0E" w:rsidRPr="005C3EC8" w:rsidRDefault="003A7F0E" w:rsidP="003A7F0E">
      <w:pPr>
        <w:pStyle w:val="NoSpacing"/>
        <w:rPr>
          <w:lang w:val="en-GB"/>
        </w:rPr>
      </w:pPr>
      <w:r w:rsidRPr="005C3EC8">
        <w:rPr>
          <w:lang w:val="en-GB"/>
        </w:rPr>
        <w:t xml:space="preserve">PRT </w:t>
      </w:r>
      <w:r w:rsidR="007E3AAD" w:rsidRPr="005C3EC8">
        <w:rPr>
          <w:lang w:val="en-GB"/>
        </w:rPr>
        <w:tab/>
      </w:r>
      <w:r w:rsidR="007E3AAD" w:rsidRPr="005C3EC8">
        <w:rPr>
          <w:lang w:val="en-GB"/>
        </w:rPr>
        <w:tab/>
      </w:r>
      <w:r w:rsidR="007E3AAD" w:rsidRPr="005C3EC8">
        <w:rPr>
          <w:lang w:val="en-GB"/>
        </w:rPr>
        <w:tab/>
      </w:r>
      <w:r w:rsidRPr="005C3EC8">
        <w:rPr>
          <w:lang w:val="en-GB"/>
        </w:rPr>
        <w:t>Petroleum Revenue Tax</w:t>
      </w:r>
    </w:p>
    <w:p w14:paraId="684F7502" w14:textId="77777777" w:rsidR="00890D28" w:rsidRPr="005C3EC8" w:rsidRDefault="00890D28" w:rsidP="003A7F0E">
      <w:pPr>
        <w:pStyle w:val="NoSpacing"/>
        <w:rPr>
          <w:lang w:val="en-GB"/>
        </w:rPr>
      </w:pPr>
      <w:r w:rsidRPr="005C3EC8">
        <w:rPr>
          <w:lang w:val="en-GB"/>
        </w:rPr>
        <w:t>PSC</w:t>
      </w:r>
      <w:r w:rsidRPr="005C3EC8">
        <w:rPr>
          <w:lang w:val="en-GB"/>
        </w:rPr>
        <w:tab/>
      </w:r>
      <w:r w:rsidRPr="005C3EC8">
        <w:rPr>
          <w:lang w:val="en-GB"/>
        </w:rPr>
        <w:tab/>
      </w:r>
      <w:r w:rsidRPr="005C3EC8">
        <w:rPr>
          <w:lang w:val="en-GB"/>
        </w:rPr>
        <w:tab/>
      </w:r>
      <w:r w:rsidR="003A7F0E" w:rsidRPr="005C3EC8">
        <w:rPr>
          <w:lang w:val="en-GB"/>
        </w:rPr>
        <w:t xml:space="preserve">People with Significant Control </w:t>
      </w:r>
    </w:p>
    <w:p w14:paraId="727D9B75" w14:textId="3061E611" w:rsidR="003A7F0E" w:rsidRPr="005C3EC8" w:rsidRDefault="00890D28" w:rsidP="003A7F0E">
      <w:pPr>
        <w:pStyle w:val="NoSpacing"/>
        <w:rPr>
          <w:lang w:val="en-GB"/>
        </w:rPr>
      </w:pPr>
      <w:r w:rsidRPr="005C3EC8">
        <w:rPr>
          <w:lang w:val="en-GB"/>
        </w:rPr>
        <w:t>RFES</w:t>
      </w:r>
      <w:r w:rsidRPr="005C3EC8">
        <w:rPr>
          <w:lang w:val="en-GB"/>
        </w:rPr>
        <w:tab/>
      </w:r>
      <w:r w:rsidRPr="005C3EC8">
        <w:rPr>
          <w:lang w:val="en-GB"/>
        </w:rPr>
        <w:tab/>
      </w:r>
      <w:r w:rsidRPr="005C3EC8">
        <w:rPr>
          <w:lang w:val="en-GB"/>
        </w:rPr>
        <w:tab/>
      </w:r>
      <w:r w:rsidR="003A7F0E" w:rsidRPr="005C3EC8">
        <w:rPr>
          <w:lang w:val="en-GB"/>
        </w:rPr>
        <w:t xml:space="preserve">Ring Fence Expenditure Supplement </w:t>
      </w:r>
    </w:p>
    <w:p w14:paraId="53FE108B" w14:textId="23C89570" w:rsidR="009057F3" w:rsidRPr="005C3EC8" w:rsidRDefault="009057F3" w:rsidP="009057F3">
      <w:pPr>
        <w:pStyle w:val="NoSpacing"/>
        <w:rPr>
          <w:lang w:val="en-GB"/>
        </w:rPr>
      </w:pPr>
      <w:r w:rsidRPr="005C3EC8">
        <w:rPr>
          <w:lang w:val="en-GB"/>
        </w:rPr>
        <w:t>SC</w:t>
      </w:r>
      <w:r w:rsidRPr="005C3EC8">
        <w:rPr>
          <w:lang w:val="en-GB"/>
        </w:rPr>
        <w:tab/>
      </w:r>
      <w:r w:rsidRPr="005C3EC8">
        <w:rPr>
          <w:lang w:val="en-GB"/>
        </w:rPr>
        <w:tab/>
      </w:r>
      <w:r w:rsidRPr="005C3EC8">
        <w:rPr>
          <w:lang w:val="en-GB"/>
        </w:rPr>
        <w:tab/>
        <w:t>Supplementary Charge</w:t>
      </w:r>
    </w:p>
    <w:p w14:paraId="403B4692" w14:textId="49CA4CCF" w:rsidR="003A7F0E" w:rsidRPr="005C3EC8" w:rsidRDefault="00890D28" w:rsidP="003A7F0E">
      <w:pPr>
        <w:pStyle w:val="NoSpacing"/>
        <w:rPr>
          <w:lang w:val="en-GB"/>
        </w:rPr>
      </w:pPr>
      <w:r w:rsidRPr="005C3EC8">
        <w:rPr>
          <w:lang w:val="en-GB"/>
        </w:rPr>
        <w:t>SEPA</w:t>
      </w:r>
      <w:r w:rsidRPr="005C3EC8">
        <w:rPr>
          <w:lang w:val="en-GB"/>
        </w:rPr>
        <w:tab/>
      </w:r>
      <w:r w:rsidRPr="005C3EC8">
        <w:rPr>
          <w:lang w:val="en-GB"/>
        </w:rPr>
        <w:tab/>
      </w:r>
      <w:r w:rsidRPr="005C3EC8">
        <w:rPr>
          <w:lang w:val="en-GB"/>
        </w:rPr>
        <w:tab/>
      </w:r>
      <w:r w:rsidR="003A7F0E" w:rsidRPr="005C3EC8">
        <w:rPr>
          <w:lang w:val="en-GB"/>
        </w:rPr>
        <w:t xml:space="preserve">Scottish Environment Protection Agency </w:t>
      </w:r>
      <w:proofErr w:type="spellStart"/>
      <w:r w:rsidR="003A7F0E" w:rsidRPr="005C3EC8">
        <w:rPr>
          <w:lang w:val="en-GB"/>
        </w:rPr>
        <w:t>SoS</w:t>
      </w:r>
      <w:proofErr w:type="spellEnd"/>
      <w:r w:rsidR="003A7F0E" w:rsidRPr="005C3EC8">
        <w:rPr>
          <w:lang w:val="en-GB"/>
        </w:rPr>
        <w:t xml:space="preserve"> Secretary of State</w:t>
      </w:r>
    </w:p>
    <w:p w14:paraId="094CB52A" w14:textId="491CD8D8" w:rsidR="003A7F0E" w:rsidRPr="005C3EC8" w:rsidRDefault="003A7F0E" w:rsidP="003A7F0E">
      <w:pPr>
        <w:pStyle w:val="NoSpacing"/>
        <w:rPr>
          <w:lang w:val="en-GB"/>
        </w:rPr>
      </w:pPr>
      <w:r w:rsidRPr="005C3EC8">
        <w:rPr>
          <w:lang w:val="en-GB"/>
        </w:rPr>
        <w:t xml:space="preserve">TCE </w:t>
      </w:r>
      <w:r w:rsidR="00890D28" w:rsidRPr="005C3EC8">
        <w:rPr>
          <w:lang w:val="en-GB"/>
        </w:rPr>
        <w:tab/>
      </w:r>
      <w:r w:rsidR="00890D28" w:rsidRPr="005C3EC8">
        <w:rPr>
          <w:lang w:val="en-GB"/>
        </w:rPr>
        <w:tab/>
      </w:r>
      <w:r w:rsidR="00890D28" w:rsidRPr="005C3EC8">
        <w:rPr>
          <w:lang w:val="en-GB"/>
        </w:rPr>
        <w:tab/>
      </w:r>
      <w:r w:rsidRPr="005C3EC8">
        <w:rPr>
          <w:lang w:val="en-GB"/>
        </w:rPr>
        <w:t>The Crown Estate</w:t>
      </w:r>
    </w:p>
    <w:p w14:paraId="48858704" w14:textId="77777777" w:rsidR="00890D28" w:rsidRPr="005C3EC8" w:rsidRDefault="00890D28" w:rsidP="003A7F0E">
      <w:pPr>
        <w:pStyle w:val="NoSpacing"/>
        <w:rPr>
          <w:lang w:val="en-GB"/>
        </w:rPr>
      </w:pPr>
      <w:proofErr w:type="spellStart"/>
      <w:r w:rsidRPr="005C3EC8">
        <w:rPr>
          <w:lang w:val="en-GB"/>
        </w:rPr>
        <w:t>ToR</w:t>
      </w:r>
      <w:proofErr w:type="spellEnd"/>
      <w:r w:rsidRPr="005C3EC8">
        <w:rPr>
          <w:lang w:val="en-GB"/>
        </w:rPr>
        <w:tab/>
      </w:r>
      <w:r w:rsidRPr="005C3EC8">
        <w:rPr>
          <w:lang w:val="en-GB"/>
        </w:rPr>
        <w:tab/>
      </w:r>
      <w:r w:rsidRPr="005C3EC8">
        <w:rPr>
          <w:lang w:val="en-GB"/>
        </w:rPr>
        <w:tab/>
      </w:r>
      <w:r w:rsidR="003A7F0E" w:rsidRPr="005C3EC8">
        <w:rPr>
          <w:lang w:val="en-GB"/>
        </w:rPr>
        <w:t xml:space="preserve">Terms of Reference </w:t>
      </w:r>
    </w:p>
    <w:p w14:paraId="11181401" w14:textId="77777777" w:rsidR="00890D28" w:rsidRPr="005C3EC8" w:rsidRDefault="00890D28" w:rsidP="003A7F0E">
      <w:pPr>
        <w:pStyle w:val="NoSpacing"/>
        <w:rPr>
          <w:lang w:val="en-GB"/>
        </w:rPr>
      </w:pPr>
      <w:r w:rsidRPr="005C3EC8">
        <w:rPr>
          <w:lang w:val="en-GB"/>
        </w:rPr>
        <w:t>UK</w:t>
      </w:r>
      <w:r w:rsidRPr="005C3EC8">
        <w:rPr>
          <w:lang w:val="en-GB"/>
        </w:rPr>
        <w:tab/>
      </w:r>
      <w:r w:rsidRPr="005C3EC8">
        <w:rPr>
          <w:lang w:val="en-GB"/>
        </w:rPr>
        <w:tab/>
      </w:r>
      <w:r w:rsidRPr="005C3EC8">
        <w:rPr>
          <w:lang w:val="en-GB"/>
        </w:rPr>
        <w:tab/>
      </w:r>
      <w:r w:rsidR="003A7F0E" w:rsidRPr="005C3EC8">
        <w:rPr>
          <w:lang w:val="en-GB"/>
        </w:rPr>
        <w:t xml:space="preserve">United Kingdom </w:t>
      </w:r>
    </w:p>
    <w:p w14:paraId="3CC27505" w14:textId="457DA204" w:rsidR="003A7F0E" w:rsidRPr="005C3EC8" w:rsidRDefault="003A7F0E" w:rsidP="003A7F0E">
      <w:pPr>
        <w:pStyle w:val="NoSpacing"/>
        <w:rPr>
          <w:lang w:val="en-GB"/>
        </w:rPr>
      </w:pPr>
      <w:r w:rsidRPr="005C3EC8">
        <w:rPr>
          <w:lang w:val="en-GB"/>
        </w:rPr>
        <w:t xml:space="preserve">UKCS </w:t>
      </w:r>
      <w:r w:rsidR="00890D28" w:rsidRPr="005C3EC8">
        <w:rPr>
          <w:lang w:val="en-GB"/>
        </w:rPr>
        <w:tab/>
      </w:r>
      <w:r w:rsidR="00890D28" w:rsidRPr="005C3EC8">
        <w:rPr>
          <w:lang w:val="en-GB"/>
        </w:rPr>
        <w:tab/>
      </w:r>
      <w:r w:rsidR="00890D28" w:rsidRPr="005C3EC8">
        <w:rPr>
          <w:lang w:val="en-GB"/>
        </w:rPr>
        <w:tab/>
      </w:r>
      <w:r w:rsidRPr="005C3EC8">
        <w:rPr>
          <w:lang w:val="en-GB"/>
        </w:rPr>
        <w:t>UK Continental Shelf</w:t>
      </w:r>
    </w:p>
    <w:p w14:paraId="6BF9B9E7" w14:textId="62E1CBB2" w:rsidR="003A7F0E" w:rsidRPr="005C3EC8" w:rsidRDefault="003A7F0E" w:rsidP="00E03D03">
      <w:pPr>
        <w:pStyle w:val="NoSpacing"/>
        <w:rPr>
          <w:lang w:val="en-GB"/>
        </w:rPr>
        <w:sectPr w:rsidR="003A7F0E" w:rsidRPr="005C3EC8" w:rsidSect="007364B0">
          <w:headerReference w:type="even" r:id="rId11"/>
          <w:headerReference w:type="default" r:id="rId12"/>
          <w:footerReference w:type="even" r:id="rId13"/>
          <w:footerReference w:type="default" r:id="rId14"/>
          <w:headerReference w:type="first" r:id="rId15"/>
          <w:footerReference w:type="first" r:id="rId16"/>
          <w:pgSz w:w="11905" w:h="16837"/>
          <w:pgMar w:top="1524" w:right="1276" w:bottom="1418" w:left="1134" w:header="567" w:footer="0" w:gutter="0"/>
          <w:cols w:space="708"/>
          <w:titlePg/>
          <w:docGrid w:linePitch="326"/>
        </w:sectPr>
      </w:pPr>
      <w:r w:rsidRPr="005C3EC8">
        <w:rPr>
          <w:lang w:val="en-GB"/>
        </w:rPr>
        <w:t>US</w:t>
      </w:r>
      <w:r w:rsidR="00890D28" w:rsidRPr="005C3EC8">
        <w:rPr>
          <w:lang w:val="en-GB"/>
        </w:rPr>
        <w:tab/>
      </w:r>
      <w:r w:rsidR="00890D28" w:rsidRPr="005C3EC8">
        <w:rPr>
          <w:lang w:val="en-GB"/>
        </w:rPr>
        <w:tab/>
      </w:r>
      <w:r w:rsidR="00890D28" w:rsidRPr="005C3EC8">
        <w:rPr>
          <w:lang w:val="en-GB"/>
        </w:rPr>
        <w:tab/>
      </w:r>
      <w:r w:rsidRPr="005C3EC8">
        <w:rPr>
          <w:lang w:val="en-GB"/>
        </w:rPr>
        <w:t>United States</w:t>
      </w:r>
    </w:p>
    <w:sdt>
      <w:sdtPr>
        <w:rPr>
          <w:b/>
          <w:bCs w:val="0"/>
          <w:color w:val="auto"/>
          <w:sz w:val="22"/>
        </w:rPr>
        <w:id w:val="-32887779"/>
        <w:docPartObj>
          <w:docPartGallery w:val="Table of Contents"/>
          <w:docPartUnique/>
        </w:docPartObj>
      </w:sdtPr>
      <w:sdtEndPr>
        <w:rPr>
          <w:rFonts w:ascii="Calibri" w:hAnsi="Calibri"/>
          <w:b w:val="0"/>
        </w:rPr>
      </w:sdtEndPr>
      <w:sdtContent>
        <w:p w14:paraId="6FFDCF83" w14:textId="57C4A257" w:rsidR="00573DC1" w:rsidRPr="005C3EC8" w:rsidRDefault="00573DC1" w:rsidP="009A34B5">
          <w:pPr>
            <w:pStyle w:val="TOCHeading"/>
            <w:tabs>
              <w:tab w:val="right" w:pos="9495"/>
            </w:tabs>
          </w:pPr>
          <w:r w:rsidRPr="005C3EC8">
            <w:t>Table of Contents</w:t>
          </w:r>
        </w:p>
        <w:p w14:paraId="5421B817" w14:textId="34A5F4EC" w:rsidR="0057207B" w:rsidRPr="005C3EC8" w:rsidRDefault="007B124A" w:rsidP="0097728B">
          <w:pPr>
            <w:pStyle w:val="TOC1"/>
            <w:tabs>
              <w:tab w:val="right" w:pos="9495"/>
            </w:tabs>
            <w:rPr>
              <w:rFonts w:ascii="Calibri" w:eastAsiaTheme="minorEastAsia" w:hAnsi="Calibri" w:cstheme="minorBidi"/>
              <w:noProof/>
            </w:rPr>
          </w:pPr>
          <w:r w:rsidRPr="005C3EC8">
            <w:fldChar w:fldCharType="begin"/>
          </w:r>
          <w:r w:rsidRPr="005C3EC8">
            <w:instrText xml:space="preserve"> TOC \o "1-3" \h \z \u </w:instrText>
          </w:r>
          <w:r w:rsidRPr="005C3EC8">
            <w:fldChar w:fldCharType="separate"/>
          </w:r>
          <w:hyperlink w:anchor="_Toc462149170" w:history="1">
            <w:r w:rsidR="0057207B" w:rsidRPr="005C3EC8">
              <w:rPr>
                <w:rStyle w:val="Hyperlink"/>
                <w:rFonts w:ascii="Calibri" w:hAnsi="Calibri"/>
                <w:noProof/>
                <w:sz w:val="22"/>
                <w:szCs w:val="22"/>
              </w:rPr>
              <w:t>Abbreviations</w:t>
            </w:r>
            <w:r w:rsidR="0057207B" w:rsidRPr="005C3EC8">
              <w:rPr>
                <w:rFonts w:ascii="Calibri" w:hAnsi="Calibri"/>
                <w:noProof/>
                <w:webHidden/>
              </w:rPr>
              <w:tab/>
            </w:r>
            <w:r w:rsidR="0057207B" w:rsidRPr="005C3EC8">
              <w:rPr>
                <w:rFonts w:ascii="Calibri" w:hAnsi="Calibri"/>
                <w:noProof/>
                <w:webHidden/>
              </w:rPr>
              <w:fldChar w:fldCharType="begin"/>
            </w:r>
            <w:r w:rsidR="0057207B" w:rsidRPr="005C3EC8">
              <w:rPr>
                <w:rFonts w:ascii="Calibri" w:hAnsi="Calibri"/>
                <w:noProof/>
                <w:webHidden/>
              </w:rPr>
              <w:instrText xml:space="preserve"> PAGEREF _Toc462149170 \h </w:instrText>
            </w:r>
            <w:r w:rsidR="0057207B" w:rsidRPr="005C3EC8">
              <w:rPr>
                <w:rFonts w:ascii="Calibri" w:hAnsi="Calibri"/>
                <w:noProof/>
                <w:webHidden/>
              </w:rPr>
            </w:r>
            <w:r w:rsidR="0057207B" w:rsidRPr="005C3EC8">
              <w:rPr>
                <w:rFonts w:ascii="Calibri" w:hAnsi="Calibri"/>
                <w:noProof/>
                <w:webHidden/>
              </w:rPr>
              <w:fldChar w:fldCharType="separate"/>
            </w:r>
            <w:r w:rsidR="000A673B">
              <w:rPr>
                <w:rFonts w:ascii="Calibri" w:hAnsi="Calibri"/>
                <w:noProof/>
                <w:webHidden/>
              </w:rPr>
              <w:t>2</w:t>
            </w:r>
            <w:r w:rsidR="0057207B" w:rsidRPr="005C3EC8">
              <w:rPr>
                <w:rFonts w:ascii="Calibri" w:hAnsi="Calibri"/>
                <w:noProof/>
                <w:webHidden/>
              </w:rPr>
              <w:fldChar w:fldCharType="end"/>
            </w:r>
          </w:hyperlink>
        </w:p>
        <w:p w14:paraId="2CA03B20" w14:textId="653C791E" w:rsidR="0057207B" w:rsidRPr="005C3EC8" w:rsidRDefault="000047B5" w:rsidP="0097728B">
          <w:pPr>
            <w:pStyle w:val="TOC1"/>
            <w:tabs>
              <w:tab w:val="right" w:pos="9495"/>
            </w:tabs>
            <w:rPr>
              <w:rFonts w:ascii="Calibri" w:eastAsiaTheme="minorEastAsia" w:hAnsi="Calibri" w:cstheme="minorBidi"/>
              <w:noProof/>
            </w:rPr>
          </w:pPr>
          <w:hyperlink w:anchor="_Toc462149171" w:history="1">
            <w:r w:rsidR="0057207B" w:rsidRPr="005C3EC8">
              <w:rPr>
                <w:rStyle w:val="Hyperlink"/>
                <w:rFonts w:ascii="Calibri" w:hAnsi="Calibri"/>
                <w:noProof/>
                <w:sz w:val="22"/>
                <w:szCs w:val="22"/>
              </w:rPr>
              <w:t>Executive Summary</w:t>
            </w:r>
            <w:r w:rsidR="0057207B" w:rsidRPr="005C3EC8">
              <w:rPr>
                <w:rFonts w:ascii="Calibri" w:hAnsi="Calibri"/>
                <w:noProof/>
                <w:webHidden/>
              </w:rPr>
              <w:tab/>
            </w:r>
            <w:r w:rsidR="0057207B" w:rsidRPr="005C3EC8">
              <w:rPr>
                <w:rFonts w:ascii="Calibri" w:hAnsi="Calibri"/>
                <w:noProof/>
                <w:webHidden/>
              </w:rPr>
              <w:fldChar w:fldCharType="begin"/>
            </w:r>
            <w:r w:rsidR="0057207B" w:rsidRPr="005C3EC8">
              <w:rPr>
                <w:rFonts w:ascii="Calibri" w:hAnsi="Calibri"/>
                <w:noProof/>
                <w:webHidden/>
              </w:rPr>
              <w:instrText xml:space="preserve"> PAGEREF _Toc462149171 \h </w:instrText>
            </w:r>
            <w:r w:rsidR="0057207B" w:rsidRPr="005C3EC8">
              <w:rPr>
                <w:rFonts w:ascii="Calibri" w:hAnsi="Calibri"/>
                <w:noProof/>
                <w:webHidden/>
              </w:rPr>
            </w:r>
            <w:r w:rsidR="0057207B" w:rsidRPr="005C3EC8">
              <w:rPr>
                <w:rFonts w:ascii="Calibri" w:hAnsi="Calibri"/>
                <w:noProof/>
                <w:webHidden/>
              </w:rPr>
              <w:fldChar w:fldCharType="separate"/>
            </w:r>
            <w:r w:rsidR="000A673B">
              <w:rPr>
                <w:rFonts w:ascii="Calibri" w:hAnsi="Calibri"/>
                <w:noProof/>
                <w:webHidden/>
              </w:rPr>
              <w:t>5</w:t>
            </w:r>
            <w:r w:rsidR="0057207B" w:rsidRPr="005C3EC8">
              <w:rPr>
                <w:rFonts w:ascii="Calibri" w:hAnsi="Calibri"/>
                <w:noProof/>
                <w:webHidden/>
              </w:rPr>
              <w:fldChar w:fldCharType="end"/>
            </w:r>
          </w:hyperlink>
        </w:p>
        <w:p w14:paraId="1A08FC44" w14:textId="7CC3C461" w:rsidR="0057207B" w:rsidRPr="005C3EC8" w:rsidRDefault="000047B5" w:rsidP="0097728B">
          <w:pPr>
            <w:pStyle w:val="TOC1"/>
            <w:tabs>
              <w:tab w:val="right" w:pos="9495"/>
            </w:tabs>
            <w:rPr>
              <w:rFonts w:ascii="Calibri" w:eastAsiaTheme="minorEastAsia" w:hAnsi="Calibri" w:cstheme="minorBidi"/>
              <w:noProof/>
            </w:rPr>
          </w:pPr>
          <w:hyperlink w:anchor="_Toc462149172" w:history="1">
            <w:r w:rsidR="0057207B" w:rsidRPr="005C3EC8">
              <w:rPr>
                <w:rStyle w:val="Hyperlink"/>
                <w:rFonts w:ascii="Calibri" w:hAnsi="Calibri"/>
                <w:noProof/>
                <w:sz w:val="22"/>
                <w:szCs w:val="22"/>
              </w:rPr>
              <w:t>Introduction</w:t>
            </w:r>
            <w:r w:rsidR="0057207B" w:rsidRPr="005C3EC8">
              <w:rPr>
                <w:rFonts w:ascii="Calibri" w:hAnsi="Calibri"/>
                <w:noProof/>
                <w:webHidden/>
              </w:rPr>
              <w:tab/>
            </w:r>
            <w:r w:rsidR="0057207B" w:rsidRPr="005C3EC8">
              <w:rPr>
                <w:rFonts w:ascii="Calibri" w:hAnsi="Calibri"/>
                <w:noProof/>
                <w:webHidden/>
              </w:rPr>
              <w:fldChar w:fldCharType="begin"/>
            </w:r>
            <w:r w:rsidR="0057207B" w:rsidRPr="005C3EC8">
              <w:rPr>
                <w:rFonts w:ascii="Calibri" w:hAnsi="Calibri"/>
                <w:noProof/>
                <w:webHidden/>
              </w:rPr>
              <w:instrText xml:space="preserve"> PAGEREF _Toc462149172 \h </w:instrText>
            </w:r>
            <w:r w:rsidR="0057207B" w:rsidRPr="005C3EC8">
              <w:rPr>
                <w:rFonts w:ascii="Calibri" w:hAnsi="Calibri"/>
                <w:noProof/>
                <w:webHidden/>
              </w:rPr>
            </w:r>
            <w:r w:rsidR="0057207B" w:rsidRPr="005C3EC8">
              <w:rPr>
                <w:rFonts w:ascii="Calibri" w:hAnsi="Calibri"/>
                <w:noProof/>
                <w:webHidden/>
              </w:rPr>
              <w:fldChar w:fldCharType="separate"/>
            </w:r>
            <w:r w:rsidR="000A673B">
              <w:rPr>
                <w:rFonts w:ascii="Calibri" w:hAnsi="Calibri"/>
                <w:noProof/>
                <w:webHidden/>
              </w:rPr>
              <w:t>9</w:t>
            </w:r>
            <w:r w:rsidR="0057207B" w:rsidRPr="005C3EC8">
              <w:rPr>
                <w:rFonts w:ascii="Calibri" w:hAnsi="Calibri"/>
                <w:noProof/>
                <w:webHidden/>
              </w:rPr>
              <w:fldChar w:fldCharType="end"/>
            </w:r>
          </w:hyperlink>
        </w:p>
        <w:p w14:paraId="65C274AC" w14:textId="401435D9" w:rsidR="0057207B" w:rsidRPr="005C3EC8" w:rsidRDefault="000047B5" w:rsidP="0097728B">
          <w:pPr>
            <w:pStyle w:val="TOC1"/>
            <w:tabs>
              <w:tab w:val="right" w:pos="9495"/>
            </w:tabs>
            <w:rPr>
              <w:rFonts w:ascii="Calibri" w:eastAsiaTheme="minorEastAsia" w:hAnsi="Calibri" w:cstheme="minorBidi"/>
              <w:noProof/>
            </w:rPr>
          </w:pPr>
          <w:hyperlink w:anchor="_Toc462149173" w:history="1">
            <w:r w:rsidR="0057207B" w:rsidRPr="005C3EC8">
              <w:rPr>
                <w:rStyle w:val="Hyperlink"/>
                <w:rFonts w:ascii="Calibri" w:hAnsi="Calibri"/>
                <w:noProof/>
                <w:sz w:val="22"/>
                <w:szCs w:val="22"/>
              </w:rPr>
              <w:t>Part I – MSG Oversight</w:t>
            </w:r>
            <w:r w:rsidR="0057207B" w:rsidRPr="005C3EC8">
              <w:rPr>
                <w:rFonts w:ascii="Calibri" w:hAnsi="Calibri"/>
                <w:noProof/>
                <w:webHidden/>
              </w:rPr>
              <w:tab/>
            </w:r>
            <w:r w:rsidR="0057207B" w:rsidRPr="005C3EC8">
              <w:rPr>
                <w:rFonts w:ascii="Calibri" w:hAnsi="Calibri"/>
                <w:noProof/>
                <w:webHidden/>
              </w:rPr>
              <w:fldChar w:fldCharType="begin"/>
            </w:r>
            <w:r w:rsidR="0057207B" w:rsidRPr="005C3EC8">
              <w:rPr>
                <w:rFonts w:ascii="Calibri" w:hAnsi="Calibri"/>
                <w:noProof/>
                <w:webHidden/>
              </w:rPr>
              <w:instrText xml:space="preserve"> PAGEREF _Toc462149173 \h </w:instrText>
            </w:r>
            <w:r w:rsidR="0057207B" w:rsidRPr="005C3EC8">
              <w:rPr>
                <w:rFonts w:ascii="Calibri" w:hAnsi="Calibri"/>
                <w:noProof/>
                <w:webHidden/>
              </w:rPr>
            </w:r>
            <w:r w:rsidR="0057207B" w:rsidRPr="005C3EC8">
              <w:rPr>
                <w:rFonts w:ascii="Calibri" w:hAnsi="Calibri"/>
                <w:noProof/>
                <w:webHidden/>
              </w:rPr>
              <w:fldChar w:fldCharType="separate"/>
            </w:r>
            <w:r w:rsidR="000A673B">
              <w:rPr>
                <w:rFonts w:ascii="Calibri" w:hAnsi="Calibri"/>
                <w:noProof/>
                <w:webHidden/>
              </w:rPr>
              <w:t>17</w:t>
            </w:r>
            <w:r w:rsidR="0057207B" w:rsidRPr="005C3EC8">
              <w:rPr>
                <w:rFonts w:ascii="Calibri" w:hAnsi="Calibri"/>
                <w:noProof/>
                <w:webHidden/>
              </w:rPr>
              <w:fldChar w:fldCharType="end"/>
            </w:r>
          </w:hyperlink>
        </w:p>
        <w:p w14:paraId="7002DE9F" w14:textId="35652947" w:rsidR="0057207B" w:rsidRPr="005C3EC8" w:rsidRDefault="000047B5">
          <w:pPr>
            <w:pStyle w:val="TOC2"/>
            <w:rPr>
              <w:rFonts w:eastAsiaTheme="minorEastAsia" w:cstheme="minorBidi"/>
              <w:noProof/>
            </w:rPr>
          </w:pPr>
          <w:hyperlink w:anchor="_Toc462149174" w:history="1">
            <w:r w:rsidR="0057207B" w:rsidRPr="005C3EC8">
              <w:rPr>
                <w:rStyle w:val="Hyperlink"/>
                <w:rFonts w:ascii="Calibri" w:hAnsi="Calibri"/>
                <w:noProof/>
              </w:rPr>
              <w:t>1. Oversight of the EITI process</w:t>
            </w:r>
            <w:r w:rsidR="0057207B" w:rsidRPr="005C3EC8">
              <w:rPr>
                <w:noProof/>
                <w:webHidden/>
              </w:rPr>
              <w:tab/>
            </w:r>
            <w:r w:rsidR="0057207B" w:rsidRPr="005C3EC8">
              <w:rPr>
                <w:noProof/>
                <w:webHidden/>
              </w:rPr>
              <w:fldChar w:fldCharType="begin"/>
            </w:r>
            <w:r w:rsidR="0057207B" w:rsidRPr="005C3EC8">
              <w:rPr>
                <w:noProof/>
                <w:webHidden/>
              </w:rPr>
              <w:instrText xml:space="preserve"> PAGEREF _Toc462149174 \h </w:instrText>
            </w:r>
            <w:r w:rsidR="0057207B" w:rsidRPr="005C3EC8">
              <w:rPr>
                <w:noProof/>
                <w:webHidden/>
              </w:rPr>
            </w:r>
            <w:r w:rsidR="0057207B" w:rsidRPr="005C3EC8">
              <w:rPr>
                <w:noProof/>
                <w:webHidden/>
              </w:rPr>
              <w:fldChar w:fldCharType="separate"/>
            </w:r>
            <w:r w:rsidR="000A673B">
              <w:rPr>
                <w:noProof/>
                <w:webHidden/>
              </w:rPr>
              <w:t>17</w:t>
            </w:r>
            <w:r w:rsidR="0057207B" w:rsidRPr="005C3EC8">
              <w:rPr>
                <w:noProof/>
                <w:webHidden/>
              </w:rPr>
              <w:fldChar w:fldCharType="end"/>
            </w:r>
          </w:hyperlink>
        </w:p>
        <w:p w14:paraId="3923686E" w14:textId="1DB08ED0" w:rsidR="0057207B" w:rsidRPr="005C3EC8" w:rsidRDefault="000047B5">
          <w:pPr>
            <w:pStyle w:val="TOC3"/>
            <w:rPr>
              <w:rFonts w:eastAsiaTheme="minorEastAsia" w:cstheme="minorBidi"/>
              <w:i/>
              <w:iCs/>
              <w:noProof/>
            </w:rPr>
          </w:pPr>
          <w:hyperlink w:anchor="_Toc462149175" w:history="1">
            <w:r w:rsidR="0057207B" w:rsidRPr="005C3EC8">
              <w:rPr>
                <w:rStyle w:val="Hyperlink"/>
                <w:rFonts w:ascii="Calibri" w:hAnsi="Calibri"/>
                <w:noProof/>
              </w:rPr>
              <w:t>Government engagement in the EITI process (#1.1)</w:t>
            </w:r>
            <w:r w:rsidR="0057207B" w:rsidRPr="005C3EC8">
              <w:rPr>
                <w:noProof/>
                <w:webHidden/>
              </w:rPr>
              <w:tab/>
            </w:r>
            <w:r w:rsidR="0057207B" w:rsidRPr="005C3EC8">
              <w:rPr>
                <w:noProof/>
                <w:webHidden/>
              </w:rPr>
              <w:fldChar w:fldCharType="begin"/>
            </w:r>
            <w:r w:rsidR="0057207B" w:rsidRPr="005C3EC8">
              <w:rPr>
                <w:noProof/>
                <w:webHidden/>
              </w:rPr>
              <w:instrText xml:space="preserve"> PAGEREF _Toc462149175 \h </w:instrText>
            </w:r>
            <w:r w:rsidR="0057207B" w:rsidRPr="005C3EC8">
              <w:rPr>
                <w:noProof/>
                <w:webHidden/>
              </w:rPr>
            </w:r>
            <w:r w:rsidR="0057207B" w:rsidRPr="005C3EC8">
              <w:rPr>
                <w:noProof/>
                <w:webHidden/>
              </w:rPr>
              <w:fldChar w:fldCharType="separate"/>
            </w:r>
            <w:r w:rsidR="000A673B">
              <w:rPr>
                <w:noProof/>
                <w:webHidden/>
              </w:rPr>
              <w:t>17</w:t>
            </w:r>
            <w:r w:rsidR="0057207B" w:rsidRPr="005C3EC8">
              <w:rPr>
                <w:noProof/>
                <w:webHidden/>
              </w:rPr>
              <w:fldChar w:fldCharType="end"/>
            </w:r>
          </w:hyperlink>
        </w:p>
        <w:p w14:paraId="1E6A28BE" w14:textId="1A94E072" w:rsidR="0057207B" w:rsidRPr="005C3EC8" w:rsidRDefault="000047B5">
          <w:pPr>
            <w:pStyle w:val="TOC3"/>
            <w:rPr>
              <w:rFonts w:eastAsiaTheme="minorEastAsia" w:cstheme="minorBidi"/>
              <w:i/>
              <w:iCs/>
              <w:noProof/>
            </w:rPr>
          </w:pPr>
          <w:hyperlink w:anchor="_Toc462149176" w:history="1">
            <w:r w:rsidR="0057207B" w:rsidRPr="005C3EC8">
              <w:rPr>
                <w:rStyle w:val="Hyperlink"/>
                <w:rFonts w:ascii="Calibri" w:hAnsi="Calibri"/>
                <w:noProof/>
              </w:rPr>
              <w:t>Industry engagement in the EITI process (#1.2)</w:t>
            </w:r>
            <w:r w:rsidR="0057207B" w:rsidRPr="005C3EC8">
              <w:rPr>
                <w:noProof/>
                <w:webHidden/>
              </w:rPr>
              <w:tab/>
            </w:r>
            <w:r w:rsidR="0057207B" w:rsidRPr="005C3EC8">
              <w:rPr>
                <w:noProof/>
                <w:webHidden/>
              </w:rPr>
              <w:fldChar w:fldCharType="begin"/>
            </w:r>
            <w:r w:rsidR="0057207B" w:rsidRPr="005C3EC8">
              <w:rPr>
                <w:noProof/>
                <w:webHidden/>
              </w:rPr>
              <w:instrText xml:space="preserve"> PAGEREF _Toc462149176 \h </w:instrText>
            </w:r>
            <w:r w:rsidR="0057207B" w:rsidRPr="005C3EC8">
              <w:rPr>
                <w:noProof/>
                <w:webHidden/>
              </w:rPr>
            </w:r>
            <w:r w:rsidR="0057207B" w:rsidRPr="005C3EC8">
              <w:rPr>
                <w:noProof/>
                <w:webHidden/>
              </w:rPr>
              <w:fldChar w:fldCharType="separate"/>
            </w:r>
            <w:r w:rsidR="000A673B">
              <w:rPr>
                <w:noProof/>
                <w:webHidden/>
              </w:rPr>
              <w:t>19</w:t>
            </w:r>
            <w:r w:rsidR="0057207B" w:rsidRPr="005C3EC8">
              <w:rPr>
                <w:noProof/>
                <w:webHidden/>
              </w:rPr>
              <w:fldChar w:fldCharType="end"/>
            </w:r>
          </w:hyperlink>
        </w:p>
        <w:p w14:paraId="69A9C043" w14:textId="6F65C65B" w:rsidR="0057207B" w:rsidRPr="005C3EC8" w:rsidRDefault="000047B5">
          <w:pPr>
            <w:pStyle w:val="TOC3"/>
            <w:rPr>
              <w:rFonts w:eastAsiaTheme="minorEastAsia" w:cstheme="minorBidi"/>
              <w:i/>
              <w:iCs/>
              <w:noProof/>
            </w:rPr>
          </w:pPr>
          <w:hyperlink w:anchor="_Toc462149177" w:history="1">
            <w:r w:rsidR="0057207B" w:rsidRPr="005C3EC8">
              <w:rPr>
                <w:rStyle w:val="Hyperlink"/>
                <w:rFonts w:ascii="Calibri" w:hAnsi="Calibri"/>
                <w:noProof/>
              </w:rPr>
              <w:t>Civil society engagement in the EITI process (#1.3)</w:t>
            </w:r>
            <w:r w:rsidR="0057207B" w:rsidRPr="005C3EC8">
              <w:rPr>
                <w:noProof/>
                <w:webHidden/>
              </w:rPr>
              <w:tab/>
            </w:r>
            <w:r w:rsidR="0057207B" w:rsidRPr="005C3EC8">
              <w:rPr>
                <w:noProof/>
                <w:webHidden/>
              </w:rPr>
              <w:fldChar w:fldCharType="begin"/>
            </w:r>
            <w:r w:rsidR="0057207B" w:rsidRPr="005C3EC8">
              <w:rPr>
                <w:noProof/>
                <w:webHidden/>
              </w:rPr>
              <w:instrText xml:space="preserve"> PAGEREF _Toc462149177 \h </w:instrText>
            </w:r>
            <w:r w:rsidR="0057207B" w:rsidRPr="005C3EC8">
              <w:rPr>
                <w:noProof/>
                <w:webHidden/>
              </w:rPr>
            </w:r>
            <w:r w:rsidR="0057207B" w:rsidRPr="005C3EC8">
              <w:rPr>
                <w:noProof/>
                <w:webHidden/>
              </w:rPr>
              <w:fldChar w:fldCharType="separate"/>
            </w:r>
            <w:r w:rsidR="000A673B">
              <w:rPr>
                <w:noProof/>
                <w:webHidden/>
              </w:rPr>
              <w:t>21</w:t>
            </w:r>
            <w:r w:rsidR="0057207B" w:rsidRPr="005C3EC8">
              <w:rPr>
                <w:noProof/>
                <w:webHidden/>
              </w:rPr>
              <w:fldChar w:fldCharType="end"/>
            </w:r>
          </w:hyperlink>
        </w:p>
        <w:p w14:paraId="3041AFDE" w14:textId="2A95A884" w:rsidR="0057207B" w:rsidRPr="005C3EC8" w:rsidRDefault="000047B5">
          <w:pPr>
            <w:pStyle w:val="TOC3"/>
            <w:rPr>
              <w:rFonts w:eastAsiaTheme="minorEastAsia" w:cstheme="minorBidi"/>
              <w:i/>
              <w:iCs/>
              <w:noProof/>
            </w:rPr>
          </w:pPr>
          <w:hyperlink w:anchor="_Toc462149178" w:history="1">
            <w:r w:rsidR="0057207B" w:rsidRPr="005C3EC8">
              <w:rPr>
                <w:rStyle w:val="Hyperlink"/>
                <w:rFonts w:ascii="Calibri" w:hAnsi="Calibri"/>
                <w:noProof/>
              </w:rPr>
              <w:t>MSG governance and functioning (#1.4)</w:t>
            </w:r>
            <w:r w:rsidR="0057207B" w:rsidRPr="005C3EC8">
              <w:rPr>
                <w:noProof/>
                <w:webHidden/>
              </w:rPr>
              <w:tab/>
            </w:r>
            <w:r w:rsidR="0057207B" w:rsidRPr="005C3EC8">
              <w:rPr>
                <w:noProof/>
                <w:webHidden/>
              </w:rPr>
              <w:fldChar w:fldCharType="begin"/>
            </w:r>
            <w:r w:rsidR="0057207B" w:rsidRPr="005C3EC8">
              <w:rPr>
                <w:noProof/>
                <w:webHidden/>
              </w:rPr>
              <w:instrText xml:space="preserve"> PAGEREF _Toc462149178 \h </w:instrText>
            </w:r>
            <w:r w:rsidR="0057207B" w:rsidRPr="005C3EC8">
              <w:rPr>
                <w:noProof/>
                <w:webHidden/>
              </w:rPr>
            </w:r>
            <w:r w:rsidR="0057207B" w:rsidRPr="005C3EC8">
              <w:rPr>
                <w:noProof/>
                <w:webHidden/>
              </w:rPr>
              <w:fldChar w:fldCharType="separate"/>
            </w:r>
            <w:r w:rsidR="000A673B">
              <w:rPr>
                <w:noProof/>
                <w:webHidden/>
              </w:rPr>
              <w:t>27</w:t>
            </w:r>
            <w:r w:rsidR="0057207B" w:rsidRPr="005C3EC8">
              <w:rPr>
                <w:noProof/>
                <w:webHidden/>
              </w:rPr>
              <w:fldChar w:fldCharType="end"/>
            </w:r>
          </w:hyperlink>
        </w:p>
        <w:p w14:paraId="6304B635" w14:textId="72921BB8" w:rsidR="0057207B" w:rsidRPr="005C3EC8" w:rsidRDefault="000047B5">
          <w:pPr>
            <w:pStyle w:val="TOC3"/>
            <w:rPr>
              <w:rFonts w:eastAsiaTheme="minorEastAsia" w:cstheme="minorBidi"/>
              <w:i/>
              <w:iCs/>
              <w:noProof/>
            </w:rPr>
          </w:pPr>
          <w:hyperlink w:anchor="_Toc462149179" w:history="1">
            <w:r w:rsidR="0057207B" w:rsidRPr="005C3EC8">
              <w:rPr>
                <w:rStyle w:val="Hyperlink"/>
                <w:rFonts w:ascii="Calibri" w:hAnsi="Calibri"/>
                <w:noProof/>
              </w:rPr>
              <w:t>Workplan (#1.5)</w:t>
            </w:r>
            <w:r w:rsidR="0057207B" w:rsidRPr="005C3EC8">
              <w:rPr>
                <w:noProof/>
                <w:webHidden/>
              </w:rPr>
              <w:tab/>
            </w:r>
            <w:r w:rsidR="0057207B" w:rsidRPr="005C3EC8">
              <w:rPr>
                <w:noProof/>
                <w:webHidden/>
              </w:rPr>
              <w:fldChar w:fldCharType="begin"/>
            </w:r>
            <w:r w:rsidR="0057207B" w:rsidRPr="005C3EC8">
              <w:rPr>
                <w:noProof/>
                <w:webHidden/>
              </w:rPr>
              <w:instrText xml:space="preserve"> PAGEREF _Toc462149179 \h </w:instrText>
            </w:r>
            <w:r w:rsidR="0057207B" w:rsidRPr="005C3EC8">
              <w:rPr>
                <w:noProof/>
                <w:webHidden/>
              </w:rPr>
            </w:r>
            <w:r w:rsidR="0057207B" w:rsidRPr="005C3EC8">
              <w:rPr>
                <w:noProof/>
                <w:webHidden/>
              </w:rPr>
              <w:fldChar w:fldCharType="separate"/>
            </w:r>
            <w:r w:rsidR="000A673B">
              <w:rPr>
                <w:noProof/>
                <w:webHidden/>
              </w:rPr>
              <w:t>32</w:t>
            </w:r>
            <w:r w:rsidR="0057207B" w:rsidRPr="005C3EC8">
              <w:rPr>
                <w:noProof/>
                <w:webHidden/>
              </w:rPr>
              <w:fldChar w:fldCharType="end"/>
            </w:r>
          </w:hyperlink>
        </w:p>
        <w:p w14:paraId="46CEF1EF" w14:textId="26657456" w:rsidR="0057207B" w:rsidRPr="005C3EC8" w:rsidRDefault="000047B5" w:rsidP="0097728B">
          <w:pPr>
            <w:pStyle w:val="TOC1"/>
            <w:tabs>
              <w:tab w:val="right" w:pos="9495"/>
            </w:tabs>
            <w:rPr>
              <w:rFonts w:ascii="Calibri" w:eastAsiaTheme="minorEastAsia" w:hAnsi="Calibri" w:cstheme="minorBidi"/>
              <w:noProof/>
            </w:rPr>
          </w:pPr>
          <w:hyperlink w:anchor="_Toc462149180" w:history="1">
            <w:r w:rsidR="0057207B" w:rsidRPr="005C3EC8">
              <w:rPr>
                <w:rStyle w:val="Hyperlink"/>
                <w:rFonts w:ascii="Calibri" w:hAnsi="Calibri"/>
                <w:noProof/>
                <w:sz w:val="22"/>
                <w:szCs w:val="22"/>
              </w:rPr>
              <w:t>Part II – EITI Disclosures</w:t>
            </w:r>
            <w:r w:rsidR="0057207B" w:rsidRPr="005C3EC8">
              <w:rPr>
                <w:rFonts w:ascii="Calibri" w:hAnsi="Calibri"/>
                <w:noProof/>
                <w:webHidden/>
              </w:rPr>
              <w:tab/>
            </w:r>
            <w:r w:rsidR="0057207B" w:rsidRPr="005C3EC8">
              <w:rPr>
                <w:rFonts w:ascii="Calibri" w:hAnsi="Calibri"/>
                <w:noProof/>
                <w:webHidden/>
              </w:rPr>
              <w:fldChar w:fldCharType="begin"/>
            </w:r>
            <w:r w:rsidR="0057207B" w:rsidRPr="005C3EC8">
              <w:rPr>
                <w:rFonts w:ascii="Calibri" w:hAnsi="Calibri"/>
                <w:noProof/>
                <w:webHidden/>
              </w:rPr>
              <w:instrText xml:space="preserve"> PAGEREF _Toc462149180 \h </w:instrText>
            </w:r>
            <w:r w:rsidR="0057207B" w:rsidRPr="005C3EC8">
              <w:rPr>
                <w:rFonts w:ascii="Calibri" w:hAnsi="Calibri"/>
                <w:noProof/>
                <w:webHidden/>
              </w:rPr>
            </w:r>
            <w:r w:rsidR="0057207B" w:rsidRPr="005C3EC8">
              <w:rPr>
                <w:rFonts w:ascii="Calibri" w:hAnsi="Calibri"/>
                <w:noProof/>
                <w:webHidden/>
              </w:rPr>
              <w:fldChar w:fldCharType="separate"/>
            </w:r>
            <w:r w:rsidR="000A673B">
              <w:rPr>
                <w:rFonts w:ascii="Calibri" w:hAnsi="Calibri"/>
                <w:noProof/>
                <w:webHidden/>
              </w:rPr>
              <w:t>38</w:t>
            </w:r>
            <w:r w:rsidR="0057207B" w:rsidRPr="005C3EC8">
              <w:rPr>
                <w:rFonts w:ascii="Calibri" w:hAnsi="Calibri"/>
                <w:noProof/>
                <w:webHidden/>
              </w:rPr>
              <w:fldChar w:fldCharType="end"/>
            </w:r>
          </w:hyperlink>
        </w:p>
        <w:p w14:paraId="0C244022" w14:textId="32B08F99" w:rsidR="0057207B" w:rsidRPr="005C3EC8" w:rsidRDefault="000047B5" w:rsidP="00A351C9">
          <w:pPr>
            <w:pStyle w:val="TOC2"/>
            <w:rPr>
              <w:rFonts w:eastAsiaTheme="minorEastAsia" w:cstheme="minorBidi"/>
              <w:noProof/>
            </w:rPr>
          </w:pPr>
          <w:hyperlink w:anchor="_Toc462149181" w:history="1">
            <w:r w:rsidR="0057207B" w:rsidRPr="005C3EC8">
              <w:rPr>
                <w:rStyle w:val="Hyperlink"/>
                <w:rFonts w:ascii="Calibri" w:hAnsi="Calibri"/>
                <w:noProof/>
              </w:rPr>
              <w:t>2.</w:t>
            </w:r>
            <w:r w:rsidR="00A351C9" w:rsidRPr="005C3EC8">
              <w:rPr>
                <w:rFonts w:eastAsiaTheme="minorEastAsia" w:cstheme="minorBidi"/>
                <w:noProof/>
              </w:rPr>
              <w:t xml:space="preserve"> </w:t>
            </w:r>
            <w:r w:rsidR="0057207B" w:rsidRPr="005C3EC8">
              <w:rPr>
                <w:rStyle w:val="Hyperlink"/>
                <w:rFonts w:ascii="Calibri" w:hAnsi="Calibri"/>
                <w:noProof/>
              </w:rPr>
              <w:t>Award of contracts and licenses</w:t>
            </w:r>
            <w:r w:rsidR="0057207B" w:rsidRPr="005C3EC8">
              <w:rPr>
                <w:noProof/>
                <w:webHidden/>
              </w:rPr>
              <w:tab/>
            </w:r>
            <w:r w:rsidR="0057207B" w:rsidRPr="005C3EC8">
              <w:rPr>
                <w:noProof/>
                <w:webHidden/>
              </w:rPr>
              <w:fldChar w:fldCharType="begin"/>
            </w:r>
            <w:r w:rsidR="0057207B" w:rsidRPr="005C3EC8">
              <w:rPr>
                <w:noProof/>
                <w:webHidden/>
              </w:rPr>
              <w:instrText xml:space="preserve"> PAGEREF _Toc462149181 \h </w:instrText>
            </w:r>
            <w:r w:rsidR="0057207B" w:rsidRPr="005C3EC8">
              <w:rPr>
                <w:noProof/>
                <w:webHidden/>
              </w:rPr>
            </w:r>
            <w:r w:rsidR="0057207B" w:rsidRPr="005C3EC8">
              <w:rPr>
                <w:noProof/>
                <w:webHidden/>
              </w:rPr>
              <w:fldChar w:fldCharType="separate"/>
            </w:r>
            <w:r w:rsidR="000A673B">
              <w:rPr>
                <w:noProof/>
                <w:webHidden/>
              </w:rPr>
              <w:t>38</w:t>
            </w:r>
            <w:r w:rsidR="0057207B" w:rsidRPr="005C3EC8">
              <w:rPr>
                <w:noProof/>
                <w:webHidden/>
              </w:rPr>
              <w:fldChar w:fldCharType="end"/>
            </w:r>
          </w:hyperlink>
        </w:p>
        <w:p w14:paraId="65BD17D0" w14:textId="137993E1" w:rsidR="0057207B" w:rsidRPr="005C3EC8" w:rsidRDefault="000047B5">
          <w:pPr>
            <w:pStyle w:val="TOC3"/>
            <w:rPr>
              <w:rFonts w:eastAsiaTheme="minorEastAsia" w:cstheme="minorBidi"/>
              <w:i/>
              <w:iCs/>
              <w:noProof/>
            </w:rPr>
          </w:pPr>
          <w:hyperlink w:anchor="_Toc462149182" w:history="1">
            <w:r w:rsidR="0057207B" w:rsidRPr="005C3EC8">
              <w:rPr>
                <w:rStyle w:val="Hyperlink"/>
                <w:rFonts w:ascii="Calibri" w:hAnsi="Calibri"/>
                <w:noProof/>
              </w:rPr>
              <w:t>Legal framework (#2.1</w:t>
            </w:r>
            <w:bookmarkStart w:id="21" w:name="_GoBack"/>
            <w:bookmarkEnd w:id="21"/>
            <w:r w:rsidR="0057207B" w:rsidRPr="005C3EC8">
              <w:rPr>
                <w:rStyle w:val="Hyperlink"/>
                <w:rFonts w:ascii="Calibri" w:hAnsi="Calibri"/>
                <w:noProof/>
              </w:rPr>
              <w:t>)</w:t>
            </w:r>
            <w:r w:rsidR="0057207B" w:rsidRPr="005C3EC8">
              <w:rPr>
                <w:noProof/>
                <w:webHidden/>
              </w:rPr>
              <w:tab/>
            </w:r>
            <w:r w:rsidR="0057207B" w:rsidRPr="005C3EC8">
              <w:rPr>
                <w:noProof/>
                <w:webHidden/>
              </w:rPr>
              <w:fldChar w:fldCharType="begin"/>
            </w:r>
            <w:r w:rsidR="0057207B" w:rsidRPr="005C3EC8">
              <w:rPr>
                <w:noProof/>
                <w:webHidden/>
              </w:rPr>
              <w:instrText xml:space="preserve"> PAGEREF _Toc462149182 \h </w:instrText>
            </w:r>
            <w:r w:rsidR="0057207B" w:rsidRPr="005C3EC8">
              <w:rPr>
                <w:noProof/>
                <w:webHidden/>
              </w:rPr>
            </w:r>
            <w:r w:rsidR="0057207B" w:rsidRPr="005C3EC8">
              <w:rPr>
                <w:noProof/>
                <w:webHidden/>
              </w:rPr>
              <w:fldChar w:fldCharType="separate"/>
            </w:r>
            <w:r w:rsidR="000A673B">
              <w:rPr>
                <w:noProof/>
                <w:webHidden/>
              </w:rPr>
              <w:t>38</w:t>
            </w:r>
            <w:r w:rsidR="0057207B" w:rsidRPr="005C3EC8">
              <w:rPr>
                <w:noProof/>
                <w:webHidden/>
              </w:rPr>
              <w:fldChar w:fldCharType="end"/>
            </w:r>
          </w:hyperlink>
        </w:p>
        <w:p w14:paraId="224780FF" w14:textId="6AF0B507" w:rsidR="0057207B" w:rsidRPr="005C3EC8" w:rsidRDefault="000047B5">
          <w:pPr>
            <w:pStyle w:val="TOC3"/>
            <w:rPr>
              <w:rFonts w:eastAsiaTheme="minorEastAsia" w:cstheme="minorBidi"/>
              <w:i/>
              <w:iCs/>
              <w:noProof/>
            </w:rPr>
          </w:pPr>
          <w:hyperlink w:anchor="_Toc462149183" w:history="1">
            <w:r w:rsidR="0057207B" w:rsidRPr="005C3EC8">
              <w:rPr>
                <w:rStyle w:val="Hyperlink"/>
                <w:rFonts w:ascii="Calibri" w:hAnsi="Calibri"/>
                <w:noProof/>
              </w:rPr>
              <w:t>License allocations (#2.2)</w:t>
            </w:r>
            <w:r w:rsidR="0057207B" w:rsidRPr="005C3EC8">
              <w:rPr>
                <w:noProof/>
                <w:webHidden/>
              </w:rPr>
              <w:tab/>
            </w:r>
            <w:r w:rsidR="0057207B" w:rsidRPr="005C3EC8">
              <w:rPr>
                <w:noProof/>
                <w:webHidden/>
              </w:rPr>
              <w:fldChar w:fldCharType="begin"/>
            </w:r>
            <w:r w:rsidR="0057207B" w:rsidRPr="005C3EC8">
              <w:rPr>
                <w:noProof/>
                <w:webHidden/>
              </w:rPr>
              <w:instrText xml:space="preserve"> PAGEREF _Toc462149183 \h </w:instrText>
            </w:r>
            <w:r w:rsidR="0057207B" w:rsidRPr="005C3EC8">
              <w:rPr>
                <w:noProof/>
                <w:webHidden/>
              </w:rPr>
            </w:r>
            <w:r w:rsidR="0057207B" w:rsidRPr="005C3EC8">
              <w:rPr>
                <w:noProof/>
                <w:webHidden/>
              </w:rPr>
              <w:fldChar w:fldCharType="separate"/>
            </w:r>
            <w:r w:rsidR="000A673B">
              <w:rPr>
                <w:noProof/>
                <w:webHidden/>
              </w:rPr>
              <w:t>41</w:t>
            </w:r>
            <w:r w:rsidR="0057207B" w:rsidRPr="005C3EC8">
              <w:rPr>
                <w:noProof/>
                <w:webHidden/>
              </w:rPr>
              <w:fldChar w:fldCharType="end"/>
            </w:r>
          </w:hyperlink>
        </w:p>
        <w:p w14:paraId="2C2C88D6" w14:textId="1DB97560" w:rsidR="0057207B" w:rsidRPr="005C3EC8" w:rsidRDefault="000047B5">
          <w:pPr>
            <w:pStyle w:val="TOC3"/>
            <w:rPr>
              <w:rFonts w:eastAsiaTheme="minorEastAsia" w:cstheme="minorBidi"/>
              <w:i/>
              <w:iCs/>
              <w:noProof/>
            </w:rPr>
          </w:pPr>
          <w:hyperlink w:anchor="_Toc462149184" w:history="1">
            <w:r w:rsidR="0057207B" w:rsidRPr="005C3EC8">
              <w:rPr>
                <w:rStyle w:val="Hyperlink"/>
                <w:rFonts w:ascii="Calibri" w:hAnsi="Calibri"/>
                <w:noProof/>
              </w:rPr>
              <w:t>Contract disclosures (#2.4)</w:t>
            </w:r>
            <w:r w:rsidR="0057207B" w:rsidRPr="005C3EC8">
              <w:rPr>
                <w:noProof/>
                <w:webHidden/>
              </w:rPr>
              <w:tab/>
            </w:r>
            <w:r w:rsidR="0057207B" w:rsidRPr="005C3EC8">
              <w:rPr>
                <w:noProof/>
                <w:webHidden/>
              </w:rPr>
              <w:fldChar w:fldCharType="begin"/>
            </w:r>
            <w:r w:rsidR="0057207B" w:rsidRPr="005C3EC8">
              <w:rPr>
                <w:noProof/>
                <w:webHidden/>
              </w:rPr>
              <w:instrText xml:space="preserve"> PAGEREF _Toc462149184 \h </w:instrText>
            </w:r>
            <w:r w:rsidR="0057207B" w:rsidRPr="005C3EC8">
              <w:rPr>
                <w:noProof/>
                <w:webHidden/>
              </w:rPr>
            </w:r>
            <w:r w:rsidR="0057207B" w:rsidRPr="005C3EC8">
              <w:rPr>
                <w:noProof/>
                <w:webHidden/>
              </w:rPr>
              <w:fldChar w:fldCharType="separate"/>
            </w:r>
            <w:r w:rsidR="000A673B">
              <w:rPr>
                <w:noProof/>
                <w:webHidden/>
              </w:rPr>
              <w:t>59</w:t>
            </w:r>
            <w:r w:rsidR="0057207B" w:rsidRPr="005C3EC8">
              <w:rPr>
                <w:noProof/>
                <w:webHidden/>
              </w:rPr>
              <w:fldChar w:fldCharType="end"/>
            </w:r>
          </w:hyperlink>
        </w:p>
        <w:p w14:paraId="438A372F" w14:textId="67A2CD83" w:rsidR="0057207B" w:rsidRPr="005C3EC8" w:rsidRDefault="000047B5">
          <w:pPr>
            <w:pStyle w:val="TOC3"/>
            <w:rPr>
              <w:rFonts w:eastAsiaTheme="minorEastAsia" w:cstheme="minorBidi"/>
              <w:i/>
              <w:iCs/>
              <w:noProof/>
            </w:rPr>
          </w:pPr>
          <w:hyperlink w:anchor="_Toc462149185" w:history="1">
            <w:r w:rsidR="0057207B" w:rsidRPr="005C3EC8">
              <w:rPr>
                <w:rStyle w:val="Hyperlink"/>
                <w:rFonts w:ascii="Calibri" w:hAnsi="Calibri"/>
                <w:noProof/>
              </w:rPr>
              <w:t>Beneficial ownership disclosure (#2.5)</w:t>
            </w:r>
            <w:r w:rsidR="0057207B" w:rsidRPr="005C3EC8">
              <w:rPr>
                <w:noProof/>
                <w:webHidden/>
              </w:rPr>
              <w:tab/>
            </w:r>
            <w:r w:rsidR="0057207B" w:rsidRPr="005C3EC8">
              <w:rPr>
                <w:noProof/>
                <w:webHidden/>
              </w:rPr>
              <w:fldChar w:fldCharType="begin"/>
            </w:r>
            <w:r w:rsidR="0057207B" w:rsidRPr="005C3EC8">
              <w:rPr>
                <w:noProof/>
                <w:webHidden/>
              </w:rPr>
              <w:instrText xml:space="preserve"> PAGEREF _Toc462149185 \h </w:instrText>
            </w:r>
            <w:r w:rsidR="0057207B" w:rsidRPr="005C3EC8">
              <w:rPr>
                <w:noProof/>
                <w:webHidden/>
              </w:rPr>
            </w:r>
            <w:r w:rsidR="0057207B" w:rsidRPr="005C3EC8">
              <w:rPr>
                <w:noProof/>
                <w:webHidden/>
              </w:rPr>
              <w:fldChar w:fldCharType="separate"/>
            </w:r>
            <w:r w:rsidR="000A673B">
              <w:rPr>
                <w:noProof/>
                <w:webHidden/>
              </w:rPr>
              <w:t>61</w:t>
            </w:r>
            <w:r w:rsidR="0057207B" w:rsidRPr="005C3EC8">
              <w:rPr>
                <w:noProof/>
                <w:webHidden/>
              </w:rPr>
              <w:fldChar w:fldCharType="end"/>
            </w:r>
          </w:hyperlink>
        </w:p>
        <w:p w14:paraId="2873DDD1" w14:textId="79B3A51E" w:rsidR="0057207B" w:rsidRPr="005C3EC8" w:rsidRDefault="000047B5" w:rsidP="00A351C9">
          <w:pPr>
            <w:pStyle w:val="TOC2"/>
            <w:rPr>
              <w:rFonts w:eastAsiaTheme="minorEastAsia" w:cstheme="minorBidi"/>
              <w:noProof/>
            </w:rPr>
          </w:pPr>
          <w:hyperlink w:anchor="_Toc462149186" w:history="1">
            <w:r w:rsidR="0057207B" w:rsidRPr="005C3EC8">
              <w:rPr>
                <w:rStyle w:val="Hyperlink"/>
                <w:rFonts w:ascii="Calibri" w:hAnsi="Calibri"/>
                <w:noProof/>
              </w:rPr>
              <w:t>3.</w:t>
            </w:r>
            <w:r w:rsidR="00A351C9" w:rsidRPr="005C3EC8">
              <w:rPr>
                <w:rFonts w:eastAsiaTheme="minorEastAsia" w:cstheme="minorBidi"/>
                <w:noProof/>
              </w:rPr>
              <w:t xml:space="preserve"> </w:t>
            </w:r>
            <w:r w:rsidR="0057207B" w:rsidRPr="005C3EC8">
              <w:rPr>
                <w:rStyle w:val="Hyperlink"/>
                <w:rFonts w:ascii="Calibri" w:hAnsi="Calibri"/>
                <w:noProof/>
              </w:rPr>
              <w:t>Monitoring and production</w:t>
            </w:r>
            <w:r w:rsidR="0057207B" w:rsidRPr="005C3EC8">
              <w:rPr>
                <w:noProof/>
                <w:webHidden/>
              </w:rPr>
              <w:tab/>
            </w:r>
            <w:r w:rsidR="0057207B" w:rsidRPr="005C3EC8">
              <w:rPr>
                <w:noProof/>
                <w:webHidden/>
              </w:rPr>
              <w:fldChar w:fldCharType="begin"/>
            </w:r>
            <w:r w:rsidR="0057207B" w:rsidRPr="005C3EC8">
              <w:rPr>
                <w:noProof/>
                <w:webHidden/>
              </w:rPr>
              <w:instrText xml:space="preserve"> PAGEREF _Toc462149186 \h </w:instrText>
            </w:r>
            <w:r w:rsidR="0057207B" w:rsidRPr="005C3EC8">
              <w:rPr>
                <w:noProof/>
                <w:webHidden/>
              </w:rPr>
            </w:r>
            <w:r w:rsidR="0057207B" w:rsidRPr="005C3EC8">
              <w:rPr>
                <w:noProof/>
                <w:webHidden/>
              </w:rPr>
              <w:fldChar w:fldCharType="separate"/>
            </w:r>
            <w:r w:rsidR="000A673B">
              <w:rPr>
                <w:noProof/>
                <w:webHidden/>
              </w:rPr>
              <w:t>68</w:t>
            </w:r>
            <w:r w:rsidR="0057207B" w:rsidRPr="005C3EC8">
              <w:rPr>
                <w:noProof/>
                <w:webHidden/>
              </w:rPr>
              <w:fldChar w:fldCharType="end"/>
            </w:r>
          </w:hyperlink>
        </w:p>
        <w:p w14:paraId="0011694E" w14:textId="7AB0651F" w:rsidR="0057207B" w:rsidRPr="005C3EC8" w:rsidRDefault="000047B5">
          <w:pPr>
            <w:pStyle w:val="TOC3"/>
            <w:rPr>
              <w:rFonts w:eastAsiaTheme="minorEastAsia" w:cstheme="minorBidi"/>
              <w:i/>
              <w:iCs/>
              <w:noProof/>
            </w:rPr>
          </w:pPr>
          <w:hyperlink w:anchor="_Toc462149187" w:history="1">
            <w:r w:rsidR="0057207B" w:rsidRPr="005C3EC8">
              <w:rPr>
                <w:rStyle w:val="Hyperlink"/>
                <w:rFonts w:ascii="Calibri" w:hAnsi="Calibri"/>
                <w:noProof/>
              </w:rPr>
              <w:t>Overview of the extractive sector, including exploration activities (#3.1)</w:t>
            </w:r>
            <w:r w:rsidR="0057207B" w:rsidRPr="005C3EC8">
              <w:rPr>
                <w:noProof/>
                <w:webHidden/>
              </w:rPr>
              <w:tab/>
            </w:r>
            <w:r w:rsidR="0057207B" w:rsidRPr="005C3EC8">
              <w:rPr>
                <w:noProof/>
                <w:webHidden/>
              </w:rPr>
              <w:fldChar w:fldCharType="begin"/>
            </w:r>
            <w:r w:rsidR="0057207B" w:rsidRPr="005C3EC8">
              <w:rPr>
                <w:noProof/>
                <w:webHidden/>
              </w:rPr>
              <w:instrText xml:space="preserve"> PAGEREF _Toc462149187 \h </w:instrText>
            </w:r>
            <w:r w:rsidR="0057207B" w:rsidRPr="005C3EC8">
              <w:rPr>
                <w:noProof/>
                <w:webHidden/>
              </w:rPr>
            </w:r>
            <w:r w:rsidR="0057207B" w:rsidRPr="005C3EC8">
              <w:rPr>
                <w:noProof/>
                <w:webHidden/>
              </w:rPr>
              <w:fldChar w:fldCharType="separate"/>
            </w:r>
            <w:r w:rsidR="000A673B">
              <w:rPr>
                <w:noProof/>
                <w:webHidden/>
              </w:rPr>
              <w:t>69</w:t>
            </w:r>
            <w:r w:rsidR="0057207B" w:rsidRPr="005C3EC8">
              <w:rPr>
                <w:noProof/>
                <w:webHidden/>
              </w:rPr>
              <w:fldChar w:fldCharType="end"/>
            </w:r>
          </w:hyperlink>
        </w:p>
        <w:p w14:paraId="370188AA" w14:textId="442256A9" w:rsidR="0057207B" w:rsidRPr="005C3EC8" w:rsidRDefault="000047B5">
          <w:pPr>
            <w:pStyle w:val="TOC3"/>
            <w:rPr>
              <w:rFonts w:eastAsiaTheme="minorEastAsia" w:cstheme="minorBidi"/>
              <w:i/>
              <w:iCs/>
              <w:noProof/>
            </w:rPr>
          </w:pPr>
          <w:hyperlink w:anchor="_Toc462149188" w:history="1">
            <w:r w:rsidR="0057207B" w:rsidRPr="005C3EC8">
              <w:rPr>
                <w:rStyle w:val="Hyperlink"/>
                <w:rFonts w:ascii="Calibri" w:hAnsi="Calibri"/>
                <w:noProof/>
              </w:rPr>
              <w:t>Export data (#3.3)</w:t>
            </w:r>
            <w:r w:rsidR="0057207B" w:rsidRPr="005C3EC8">
              <w:rPr>
                <w:noProof/>
                <w:webHidden/>
              </w:rPr>
              <w:tab/>
            </w:r>
            <w:r w:rsidR="0057207B" w:rsidRPr="005C3EC8">
              <w:rPr>
                <w:noProof/>
                <w:webHidden/>
              </w:rPr>
              <w:fldChar w:fldCharType="begin"/>
            </w:r>
            <w:r w:rsidR="0057207B" w:rsidRPr="005C3EC8">
              <w:rPr>
                <w:noProof/>
                <w:webHidden/>
              </w:rPr>
              <w:instrText xml:space="preserve"> PAGEREF _Toc462149188 \h </w:instrText>
            </w:r>
            <w:r w:rsidR="0057207B" w:rsidRPr="005C3EC8">
              <w:rPr>
                <w:noProof/>
                <w:webHidden/>
              </w:rPr>
            </w:r>
            <w:r w:rsidR="0057207B" w:rsidRPr="005C3EC8">
              <w:rPr>
                <w:noProof/>
                <w:webHidden/>
              </w:rPr>
              <w:fldChar w:fldCharType="separate"/>
            </w:r>
            <w:r w:rsidR="000A673B">
              <w:rPr>
                <w:noProof/>
                <w:webHidden/>
              </w:rPr>
              <w:t>73</w:t>
            </w:r>
            <w:r w:rsidR="0057207B" w:rsidRPr="005C3EC8">
              <w:rPr>
                <w:noProof/>
                <w:webHidden/>
              </w:rPr>
              <w:fldChar w:fldCharType="end"/>
            </w:r>
          </w:hyperlink>
        </w:p>
        <w:p w14:paraId="50E4A57E" w14:textId="1E22BBF5" w:rsidR="0057207B" w:rsidRPr="005C3EC8" w:rsidRDefault="000047B5" w:rsidP="00A351C9">
          <w:pPr>
            <w:pStyle w:val="TOC2"/>
            <w:rPr>
              <w:rFonts w:eastAsiaTheme="minorEastAsia" w:cstheme="minorBidi"/>
              <w:noProof/>
            </w:rPr>
          </w:pPr>
          <w:hyperlink w:anchor="_Toc462149189" w:history="1">
            <w:r w:rsidR="0057207B" w:rsidRPr="005C3EC8">
              <w:rPr>
                <w:rStyle w:val="Hyperlink"/>
                <w:rFonts w:ascii="Calibri" w:hAnsi="Calibri"/>
                <w:noProof/>
              </w:rPr>
              <w:t>4. Revenue collection</w:t>
            </w:r>
            <w:r w:rsidR="0057207B" w:rsidRPr="005C3EC8">
              <w:rPr>
                <w:noProof/>
                <w:webHidden/>
              </w:rPr>
              <w:tab/>
            </w:r>
            <w:r w:rsidR="0057207B" w:rsidRPr="005C3EC8">
              <w:rPr>
                <w:noProof/>
                <w:webHidden/>
              </w:rPr>
              <w:fldChar w:fldCharType="begin"/>
            </w:r>
            <w:r w:rsidR="0057207B" w:rsidRPr="005C3EC8">
              <w:rPr>
                <w:noProof/>
                <w:webHidden/>
              </w:rPr>
              <w:instrText xml:space="preserve"> PAGEREF _Toc462149189 \h </w:instrText>
            </w:r>
            <w:r w:rsidR="0057207B" w:rsidRPr="005C3EC8">
              <w:rPr>
                <w:noProof/>
                <w:webHidden/>
              </w:rPr>
            </w:r>
            <w:r w:rsidR="0057207B" w:rsidRPr="005C3EC8">
              <w:rPr>
                <w:noProof/>
                <w:webHidden/>
              </w:rPr>
              <w:fldChar w:fldCharType="separate"/>
            </w:r>
            <w:r w:rsidR="000A673B">
              <w:rPr>
                <w:noProof/>
                <w:webHidden/>
              </w:rPr>
              <w:t>76</w:t>
            </w:r>
            <w:r w:rsidR="0057207B" w:rsidRPr="005C3EC8">
              <w:rPr>
                <w:noProof/>
                <w:webHidden/>
              </w:rPr>
              <w:fldChar w:fldCharType="end"/>
            </w:r>
          </w:hyperlink>
        </w:p>
        <w:p w14:paraId="6EADC20A" w14:textId="3A365420" w:rsidR="0057207B" w:rsidRPr="005C3EC8" w:rsidRDefault="000047B5">
          <w:pPr>
            <w:pStyle w:val="TOC3"/>
            <w:rPr>
              <w:rFonts w:eastAsiaTheme="minorEastAsia" w:cstheme="minorBidi"/>
              <w:i/>
              <w:iCs/>
              <w:noProof/>
            </w:rPr>
          </w:pPr>
          <w:hyperlink w:anchor="_Toc462149190" w:history="1">
            <w:r w:rsidR="0057207B" w:rsidRPr="005C3EC8">
              <w:rPr>
                <w:rStyle w:val="Hyperlink"/>
                <w:rFonts w:ascii="Calibri" w:hAnsi="Calibri"/>
                <w:noProof/>
              </w:rPr>
              <w:t>Materiality (#4.1)</w:t>
            </w:r>
            <w:r w:rsidR="0057207B" w:rsidRPr="005C3EC8">
              <w:rPr>
                <w:noProof/>
                <w:webHidden/>
              </w:rPr>
              <w:tab/>
            </w:r>
            <w:r w:rsidR="0057207B" w:rsidRPr="005C3EC8">
              <w:rPr>
                <w:noProof/>
                <w:webHidden/>
              </w:rPr>
              <w:fldChar w:fldCharType="begin"/>
            </w:r>
            <w:r w:rsidR="0057207B" w:rsidRPr="005C3EC8">
              <w:rPr>
                <w:noProof/>
                <w:webHidden/>
              </w:rPr>
              <w:instrText xml:space="preserve"> PAGEREF _Toc462149190 \h </w:instrText>
            </w:r>
            <w:r w:rsidR="0057207B" w:rsidRPr="005C3EC8">
              <w:rPr>
                <w:noProof/>
                <w:webHidden/>
              </w:rPr>
            </w:r>
            <w:r w:rsidR="0057207B" w:rsidRPr="005C3EC8">
              <w:rPr>
                <w:noProof/>
                <w:webHidden/>
              </w:rPr>
              <w:fldChar w:fldCharType="separate"/>
            </w:r>
            <w:r w:rsidR="000A673B">
              <w:rPr>
                <w:noProof/>
                <w:webHidden/>
              </w:rPr>
              <w:t>76</w:t>
            </w:r>
            <w:r w:rsidR="0057207B" w:rsidRPr="005C3EC8">
              <w:rPr>
                <w:noProof/>
                <w:webHidden/>
              </w:rPr>
              <w:fldChar w:fldCharType="end"/>
            </w:r>
          </w:hyperlink>
        </w:p>
        <w:p w14:paraId="1AF9EFB9" w14:textId="31FFA29C" w:rsidR="0057207B" w:rsidRPr="005C3EC8" w:rsidRDefault="000047B5">
          <w:pPr>
            <w:pStyle w:val="TOC3"/>
            <w:rPr>
              <w:rFonts w:eastAsiaTheme="minorEastAsia" w:cstheme="minorBidi"/>
              <w:i/>
              <w:iCs/>
              <w:noProof/>
            </w:rPr>
          </w:pPr>
          <w:hyperlink w:anchor="_Toc462149191" w:history="1">
            <w:r w:rsidR="0057207B" w:rsidRPr="005C3EC8">
              <w:rPr>
                <w:rStyle w:val="Hyperlink"/>
                <w:rFonts w:ascii="Calibri" w:hAnsi="Calibri"/>
                <w:noProof/>
              </w:rPr>
              <w:t>In-kind revenues (#4.2)</w:t>
            </w:r>
            <w:r w:rsidR="0057207B" w:rsidRPr="005C3EC8">
              <w:rPr>
                <w:noProof/>
                <w:webHidden/>
              </w:rPr>
              <w:tab/>
            </w:r>
            <w:r w:rsidR="0057207B" w:rsidRPr="005C3EC8">
              <w:rPr>
                <w:noProof/>
                <w:webHidden/>
              </w:rPr>
              <w:fldChar w:fldCharType="begin"/>
            </w:r>
            <w:r w:rsidR="0057207B" w:rsidRPr="005C3EC8">
              <w:rPr>
                <w:noProof/>
                <w:webHidden/>
              </w:rPr>
              <w:instrText xml:space="preserve"> PAGEREF _Toc462149191 \h </w:instrText>
            </w:r>
            <w:r w:rsidR="0057207B" w:rsidRPr="005C3EC8">
              <w:rPr>
                <w:noProof/>
                <w:webHidden/>
              </w:rPr>
            </w:r>
            <w:r w:rsidR="0057207B" w:rsidRPr="005C3EC8">
              <w:rPr>
                <w:noProof/>
                <w:webHidden/>
              </w:rPr>
              <w:fldChar w:fldCharType="separate"/>
            </w:r>
            <w:r w:rsidR="000A673B">
              <w:rPr>
                <w:noProof/>
                <w:webHidden/>
              </w:rPr>
              <w:t>83</w:t>
            </w:r>
            <w:r w:rsidR="0057207B" w:rsidRPr="005C3EC8">
              <w:rPr>
                <w:noProof/>
                <w:webHidden/>
              </w:rPr>
              <w:fldChar w:fldCharType="end"/>
            </w:r>
          </w:hyperlink>
        </w:p>
        <w:p w14:paraId="016E49E1" w14:textId="2306F73D" w:rsidR="0057207B" w:rsidRPr="005C3EC8" w:rsidRDefault="000047B5">
          <w:pPr>
            <w:pStyle w:val="TOC3"/>
            <w:rPr>
              <w:rFonts w:eastAsiaTheme="minorEastAsia" w:cstheme="minorBidi"/>
              <w:i/>
              <w:iCs/>
              <w:noProof/>
            </w:rPr>
          </w:pPr>
          <w:hyperlink w:anchor="_Toc462149192" w:history="1">
            <w:r w:rsidR="0057207B" w:rsidRPr="005C3EC8">
              <w:rPr>
                <w:rStyle w:val="Hyperlink"/>
                <w:rFonts w:ascii="Calibri" w:hAnsi="Calibri"/>
                <w:noProof/>
              </w:rPr>
              <w:t>Barter and infrastructure transactions (#4.3)</w:t>
            </w:r>
            <w:r w:rsidR="0057207B" w:rsidRPr="005C3EC8">
              <w:rPr>
                <w:noProof/>
                <w:webHidden/>
              </w:rPr>
              <w:tab/>
            </w:r>
            <w:r w:rsidR="0057207B" w:rsidRPr="005C3EC8">
              <w:rPr>
                <w:noProof/>
                <w:webHidden/>
              </w:rPr>
              <w:fldChar w:fldCharType="begin"/>
            </w:r>
            <w:r w:rsidR="0057207B" w:rsidRPr="005C3EC8">
              <w:rPr>
                <w:noProof/>
                <w:webHidden/>
              </w:rPr>
              <w:instrText xml:space="preserve"> PAGEREF _Toc462149192 \h </w:instrText>
            </w:r>
            <w:r w:rsidR="0057207B" w:rsidRPr="005C3EC8">
              <w:rPr>
                <w:noProof/>
                <w:webHidden/>
              </w:rPr>
            </w:r>
            <w:r w:rsidR="0057207B" w:rsidRPr="005C3EC8">
              <w:rPr>
                <w:noProof/>
                <w:webHidden/>
              </w:rPr>
              <w:fldChar w:fldCharType="separate"/>
            </w:r>
            <w:r w:rsidR="000A673B">
              <w:rPr>
                <w:noProof/>
                <w:webHidden/>
              </w:rPr>
              <w:t>84</w:t>
            </w:r>
            <w:r w:rsidR="0057207B" w:rsidRPr="005C3EC8">
              <w:rPr>
                <w:noProof/>
                <w:webHidden/>
              </w:rPr>
              <w:fldChar w:fldCharType="end"/>
            </w:r>
          </w:hyperlink>
        </w:p>
        <w:p w14:paraId="7F14DCA7" w14:textId="790C3B62" w:rsidR="0057207B" w:rsidRPr="005C3EC8" w:rsidRDefault="000047B5">
          <w:pPr>
            <w:pStyle w:val="TOC3"/>
            <w:rPr>
              <w:rFonts w:eastAsiaTheme="minorEastAsia" w:cstheme="minorBidi"/>
              <w:i/>
              <w:iCs/>
              <w:noProof/>
            </w:rPr>
          </w:pPr>
          <w:hyperlink w:anchor="_Toc462149193" w:history="1">
            <w:r w:rsidR="0057207B" w:rsidRPr="005C3EC8">
              <w:rPr>
                <w:rStyle w:val="Hyperlink"/>
                <w:rFonts w:ascii="Calibri" w:hAnsi="Calibri"/>
                <w:noProof/>
              </w:rPr>
              <w:t>Transport revenues (#4.4)</w:t>
            </w:r>
            <w:r w:rsidR="0057207B" w:rsidRPr="005C3EC8">
              <w:rPr>
                <w:noProof/>
                <w:webHidden/>
              </w:rPr>
              <w:tab/>
            </w:r>
            <w:r w:rsidR="0057207B" w:rsidRPr="005C3EC8">
              <w:rPr>
                <w:noProof/>
                <w:webHidden/>
              </w:rPr>
              <w:fldChar w:fldCharType="begin"/>
            </w:r>
            <w:r w:rsidR="0057207B" w:rsidRPr="005C3EC8">
              <w:rPr>
                <w:noProof/>
                <w:webHidden/>
              </w:rPr>
              <w:instrText xml:space="preserve"> PAGEREF _Toc462149193 \h </w:instrText>
            </w:r>
            <w:r w:rsidR="0057207B" w:rsidRPr="005C3EC8">
              <w:rPr>
                <w:noProof/>
                <w:webHidden/>
              </w:rPr>
            </w:r>
            <w:r w:rsidR="0057207B" w:rsidRPr="005C3EC8">
              <w:rPr>
                <w:noProof/>
                <w:webHidden/>
              </w:rPr>
              <w:fldChar w:fldCharType="separate"/>
            </w:r>
            <w:r w:rsidR="000A673B">
              <w:rPr>
                <w:noProof/>
                <w:webHidden/>
              </w:rPr>
              <w:t>84</w:t>
            </w:r>
            <w:r w:rsidR="0057207B" w:rsidRPr="005C3EC8">
              <w:rPr>
                <w:noProof/>
                <w:webHidden/>
              </w:rPr>
              <w:fldChar w:fldCharType="end"/>
            </w:r>
          </w:hyperlink>
        </w:p>
        <w:p w14:paraId="5E620168" w14:textId="608680F5" w:rsidR="0057207B" w:rsidRPr="005C3EC8" w:rsidRDefault="000047B5">
          <w:pPr>
            <w:pStyle w:val="TOC3"/>
            <w:rPr>
              <w:rFonts w:eastAsiaTheme="minorEastAsia" w:cstheme="minorBidi"/>
              <w:i/>
              <w:iCs/>
              <w:noProof/>
            </w:rPr>
          </w:pPr>
          <w:hyperlink w:anchor="_Toc462149194" w:history="1">
            <w:r w:rsidR="0057207B" w:rsidRPr="005C3EC8">
              <w:rPr>
                <w:rStyle w:val="Hyperlink"/>
                <w:rFonts w:ascii="Calibri" w:hAnsi="Calibri"/>
                <w:noProof/>
              </w:rPr>
              <w:t>Transactions between SOEs and government (#4.5)</w:t>
            </w:r>
            <w:r w:rsidR="0057207B" w:rsidRPr="005C3EC8">
              <w:rPr>
                <w:noProof/>
                <w:webHidden/>
              </w:rPr>
              <w:tab/>
            </w:r>
            <w:r w:rsidR="0057207B" w:rsidRPr="005C3EC8">
              <w:rPr>
                <w:noProof/>
                <w:webHidden/>
              </w:rPr>
              <w:fldChar w:fldCharType="begin"/>
            </w:r>
            <w:r w:rsidR="0057207B" w:rsidRPr="005C3EC8">
              <w:rPr>
                <w:noProof/>
                <w:webHidden/>
              </w:rPr>
              <w:instrText xml:space="preserve"> PAGEREF _Toc462149194 \h </w:instrText>
            </w:r>
            <w:r w:rsidR="0057207B" w:rsidRPr="005C3EC8">
              <w:rPr>
                <w:noProof/>
                <w:webHidden/>
              </w:rPr>
            </w:r>
            <w:r w:rsidR="0057207B" w:rsidRPr="005C3EC8">
              <w:rPr>
                <w:noProof/>
                <w:webHidden/>
              </w:rPr>
              <w:fldChar w:fldCharType="separate"/>
            </w:r>
            <w:r w:rsidR="000A673B">
              <w:rPr>
                <w:noProof/>
                <w:webHidden/>
              </w:rPr>
              <w:t>85</w:t>
            </w:r>
            <w:r w:rsidR="0057207B" w:rsidRPr="005C3EC8">
              <w:rPr>
                <w:noProof/>
                <w:webHidden/>
              </w:rPr>
              <w:fldChar w:fldCharType="end"/>
            </w:r>
          </w:hyperlink>
        </w:p>
        <w:p w14:paraId="70DCD935" w14:textId="6B9FA281" w:rsidR="0057207B" w:rsidRPr="005C3EC8" w:rsidRDefault="000047B5">
          <w:pPr>
            <w:pStyle w:val="TOC3"/>
            <w:rPr>
              <w:rFonts w:eastAsiaTheme="minorEastAsia" w:cstheme="minorBidi"/>
              <w:i/>
              <w:iCs/>
              <w:noProof/>
            </w:rPr>
          </w:pPr>
          <w:hyperlink w:anchor="_Toc462149195" w:history="1">
            <w:r w:rsidR="0057207B" w:rsidRPr="005C3EC8">
              <w:rPr>
                <w:rStyle w:val="Hyperlink"/>
                <w:rFonts w:ascii="Calibri" w:hAnsi="Calibri"/>
                <w:noProof/>
              </w:rPr>
              <w:t>Level of disaggregation (#4.7)</w:t>
            </w:r>
            <w:r w:rsidR="0057207B" w:rsidRPr="005C3EC8">
              <w:rPr>
                <w:noProof/>
                <w:webHidden/>
              </w:rPr>
              <w:tab/>
            </w:r>
            <w:r w:rsidR="0057207B" w:rsidRPr="005C3EC8">
              <w:rPr>
                <w:noProof/>
                <w:webHidden/>
              </w:rPr>
              <w:fldChar w:fldCharType="begin"/>
            </w:r>
            <w:r w:rsidR="0057207B" w:rsidRPr="005C3EC8">
              <w:rPr>
                <w:noProof/>
                <w:webHidden/>
              </w:rPr>
              <w:instrText xml:space="preserve"> PAGEREF _Toc462149195 \h </w:instrText>
            </w:r>
            <w:r w:rsidR="0057207B" w:rsidRPr="005C3EC8">
              <w:rPr>
                <w:noProof/>
                <w:webHidden/>
              </w:rPr>
            </w:r>
            <w:r w:rsidR="0057207B" w:rsidRPr="005C3EC8">
              <w:rPr>
                <w:noProof/>
                <w:webHidden/>
              </w:rPr>
              <w:fldChar w:fldCharType="separate"/>
            </w:r>
            <w:r w:rsidR="000A673B">
              <w:rPr>
                <w:noProof/>
                <w:webHidden/>
              </w:rPr>
              <w:t>87</w:t>
            </w:r>
            <w:r w:rsidR="0057207B" w:rsidRPr="005C3EC8">
              <w:rPr>
                <w:noProof/>
                <w:webHidden/>
              </w:rPr>
              <w:fldChar w:fldCharType="end"/>
            </w:r>
          </w:hyperlink>
        </w:p>
        <w:p w14:paraId="6385ABB4" w14:textId="292B9F14" w:rsidR="0057207B" w:rsidRPr="005C3EC8" w:rsidRDefault="000047B5">
          <w:pPr>
            <w:pStyle w:val="TOC3"/>
            <w:rPr>
              <w:rFonts w:eastAsiaTheme="minorEastAsia" w:cstheme="minorBidi"/>
              <w:i/>
              <w:iCs/>
              <w:noProof/>
            </w:rPr>
          </w:pPr>
          <w:hyperlink w:anchor="_Toc462149196" w:history="1">
            <w:r w:rsidR="0057207B" w:rsidRPr="005C3EC8">
              <w:rPr>
                <w:rStyle w:val="Hyperlink"/>
                <w:rFonts w:ascii="Calibri" w:hAnsi="Calibri"/>
                <w:noProof/>
              </w:rPr>
              <w:t>Data timeliness (#4.8)</w:t>
            </w:r>
            <w:r w:rsidR="0057207B" w:rsidRPr="005C3EC8">
              <w:rPr>
                <w:noProof/>
                <w:webHidden/>
              </w:rPr>
              <w:tab/>
            </w:r>
            <w:r w:rsidR="0057207B" w:rsidRPr="005C3EC8">
              <w:rPr>
                <w:noProof/>
                <w:webHidden/>
              </w:rPr>
              <w:fldChar w:fldCharType="begin"/>
            </w:r>
            <w:r w:rsidR="0057207B" w:rsidRPr="005C3EC8">
              <w:rPr>
                <w:noProof/>
                <w:webHidden/>
              </w:rPr>
              <w:instrText xml:space="preserve"> PAGEREF _Toc462149196 \h </w:instrText>
            </w:r>
            <w:r w:rsidR="0057207B" w:rsidRPr="005C3EC8">
              <w:rPr>
                <w:noProof/>
                <w:webHidden/>
              </w:rPr>
            </w:r>
            <w:r w:rsidR="0057207B" w:rsidRPr="005C3EC8">
              <w:rPr>
                <w:noProof/>
                <w:webHidden/>
              </w:rPr>
              <w:fldChar w:fldCharType="separate"/>
            </w:r>
            <w:r w:rsidR="000A673B">
              <w:rPr>
                <w:noProof/>
                <w:webHidden/>
              </w:rPr>
              <w:t>90</w:t>
            </w:r>
            <w:r w:rsidR="0057207B" w:rsidRPr="005C3EC8">
              <w:rPr>
                <w:noProof/>
                <w:webHidden/>
              </w:rPr>
              <w:fldChar w:fldCharType="end"/>
            </w:r>
          </w:hyperlink>
        </w:p>
        <w:p w14:paraId="1A19167F" w14:textId="6BC098CE" w:rsidR="0057207B" w:rsidRPr="005C3EC8" w:rsidRDefault="000047B5">
          <w:pPr>
            <w:pStyle w:val="TOC3"/>
            <w:rPr>
              <w:rFonts w:eastAsiaTheme="minorEastAsia" w:cstheme="minorBidi"/>
              <w:i/>
              <w:iCs/>
              <w:noProof/>
            </w:rPr>
          </w:pPr>
          <w:hyperlink w:anchor="_Toc462149197" w:history="1">
            <w:r w:rsidR="0057207B" w:rsidRPr="005C3EC8">
              <w:rPr>
                <w:rStyle w:val="Hyperlink"/>
                <w:rFonts w:ascii="Calibri" w:hAnsi="Calibri"/>
                <w:noProof/>
              </w:rPr>
              <w:t>Data quality (#4.9)</w:t>
            </w:r>
            <w:r w:rsidR="0057207B" w:rsidRPr="005C3EC8">
              <w:rPr>
                <w:noProof/>
                <w:webHidden/>
              </w:rPr>
              <w:tab/>
            </w:r>
            <w:r w:rsidR="0057207B" w:rsidRPr="005C3EC8">
              <w:rPr>
                <w:noProof/>
                <w:webHidden/>
              </w:rPr>
              <w:fldChar w:fldCharType="begin"/>
            </w:r>
            <w:r w:rsidR="0057207B" w:rsidRPr="005C3EC8">
              <w:rPr>
                <w:noProof/>
                <w:webHidden/>
              </w:rPr>
              <w:instrText xml:space="preserve"> PAGEREF _Toc462149197 \h </w:instrText>
            </w:r>
            <w:r w:rsidR="0057207B" w:rsidRPr="005C3EC8">
              <w:rPr>
                <w:noProof/>
                <w:webHidden/>
              </w:rPr>
            </w:r>
            <w:r w:rsidR="0057207B" w:rsidRPr="005C3EC8">
              <w:rPr>
                <w:noProof/>
                <w:webHidden/>
              </w:rPr>
              <w:fldChar w:fldCharType="separate"/>
            </w:r>
            <w:r w:rsidR="000A673B">
              <w:rPr>
                <w:noProof/>
                <w:webHidden/>
              </w:rPr>
              <w:t>91</w:t>
            </w:r>
            <w:r w:rsidR="0057207B" w:rsidRPr="005C3EC8">
              <w:rPr>
                <w:noProof/>
                <w:webHidden/>
              </w:rPr>
              <w:fldChar w:fldCharType="end"/>
            </w:r>
          </w:hyperlink>
        </w:p>
        <w:p w14:paraId="4F80D483" w14:textId="59C50D2F" w:rsidR="0057207B" w:rsidRPr="005C3EC8" w:rsidRDefault="000047B5" w:rsidP="00A351C9">
          <w:pPr>
            <w:pStyle w:val="TOC2"/>
            <w:rPr>
              <w:rFonts w:eastAsiaTheme="minorEastAsia" w:cstheme="minorBidi"/>
              <w:noProof/>
            </w:rPr>
          </w:pPr>
          <w:hyperlink w:anchor="_Toc462149198" w:history="1">
            <w:r w:rsidR="0057207B" w:rsidRPr="005C3EC8">
              <w:rPr>
                <w:rStyle w:val="Hyperlink"/>
                <w:rFonts w:ascii="Calibri" w:hAnsi="Calibri"/>
                <w:noProof/>
              </w:rPr>
              <w:t>5.</w:t>
            </w:r>
            <w:r w:rsidR="00A351C9" w:rsidRPr="005C3EC8">
              <w:rPr>
                <w:rFonts w:eastAsiaTheme="minorEastAsia" w:cstheme="minorBidi"/>
                <w:noProof/>
              </w:rPr>
              <w:t xml:space="preserve"> </w:t>
            </w:r>
            <w:r w:rsidR="0057207B" w:rsidRPr="005C3EC8">
              <w:rPr>
                <w:rStyle w:val="Hyperlink"/>
                <w:rFonts w:ascii="Calibri" w:hAnsi="Calibri"/>
                <w:noProof/>
              </w:rPr>
              <w:t>Revenue management and distribution</w:t>
            </w:r>
            <w:r w:rsidR="0057207B" w:rsidRPr="005C3EC8">
              <w:rPr>
                <w:noProof/>
                <w:webHidden/>
              </w:rPr>
              <w:tab/>
            </w:r>
            <w:r w:rsidR="0057207B" w:rsidRPr="005C3EC8">
              <w:rPr>
                <w:noProof/>
                <w:webHidden/>
              </w:rPr>
              <w:fldChar w:fldCharType="begin"/>
            </w:r>
            <w:r w:rsidR="0057207B" w:rsidRPr="005C3EC8">
              <w:rPr>
                <w:noProof/>
                <w:webHidden/>
              </w:rPr>
              <w:instrText xml:space="preserve"> PAGEREF _Toc462149198 \h </w:instrText>
            </w:r>
            <w:r w:rsidR="0057207B" w:rsidRPr="005C3EC8">
              <w:rPr>
                <w:noProof/>
                <w:webHidden/>
              </w:rPr>
            </w:r>
            <w:r w:rsidR="0057207B" w:rsidRPr="005C3EC8">
              <w:rPr>
                <w:noProof/>
                <w:webHidden/>
              </w:rPr>
              <w:fldChar w:fldCharType="separate"/>
            </w:r>
            <w:r w:rsidR="000A673B">
              <w:rPr>
                <w:noProof/>
                <w:webHidden/>
              </w:rPr>
              <w:t>101</w:t>
            </w:r>
            <w:r w:rsidR="0057207B" w:rsidRPr="005C3EC8">
              <w:rPr>
                <w:noProof/>
                <w:webHidden/>
              </w:rPr>
              <w:fldChar w:fldCharType="end"/>
            </w:r>
          </w:hyperlink>
        </w:p>
        <w:p w14:paraId="1C657F48" w14:textId="6528C4B2" w:rsidR="0057207B" w:rsidRPr="005C3EC8" w:rsidRDefault="000047B5">
          <w:pPr>
            <w:pStyle w:val="TOC3"/>
            <w:rPr>
              <w:rFonts w:eastAsiaTheme="minorEastAsia" w:cstheme="minorBidi"/>
              <w:i/>
              <w:iCs/>
              <w:noProof/>
            </w:rPr>
          </w:pPr>
          <w:hyperlink w:anchor="_Toc462149199" w:history="1">
            <w:r w:rsidR="0057207B" w:rsidRPr="005C3EC8">
              <w:rPr>
                <w:rStyle w:val="Hyperlink"/>
                <w:rFonts w:ascii="Calibri" w:hAnsi="Calibri"/>
                <w:noProof/>
              </w:rPr>
              <w:t>Distribution of revenues (#5.1)</w:t>
            </w:r>
            <w:r w:rsidR="0057207B" w:rsidRPr="005C3EC8">
              <w:rPr>
                <w:noProof/>
                <w:webHidden/>
              </w:rPr>
              <w:tab/>
            </w:r>
            <w:r w:rsidR="0057207B" w:rsidRPr="005C3EC8">
              <w:rPr>
                <w:noProof/>
                <w:webHidden/>
              </w:rPr>
              <w:fldChar w:fldCharType="begin"/>
            </w:r>
            <w:r w:rsidR="0057207B" w:rsidRPr="005C3EC8">
              <w:rPr>
                <w:noProof/>
                <w:webHidden/>
              </w:rPr>
              <w:instrText xml:space="preserve"> PAGEREF _Toc462149199 \h </w:instrText>
            </w:r>
            <w:r w:rsidR="0057207B" w:rsidRPr="005C3EC8">
              <w:rPr>
                <w:noProof/>
                <w:webHidden/>
              </w:rPr>
            </w:r>
            <w:r w:rsidR="0057207B" w:rsidRPr="005C3EC8">
              <w:rPr>
                <w:noProof/>
                <w:webHidden/>
              </w:rPr>
              <w:fldChar w:fldCharType="separate"/>
            </w:r>
            <w:r w:rsidR="000A673B">
              <w:rPr>
                <w:noProof/>
                <w:webHidden/>
              </w:rPr>
              <w:t>101</w:t>
            </w:r>
            <w:r w:rsidR="0057207B" w:rsidRPr="005C3EC8">
              <w:rPr>
                <w:noProof/>
                <w:webHidden/>
              </w:rPr>
              <w:fldChar w:fldCharType="end"/>
            </w:r>
          </w:hyperlink>
        </w:p>
        <w:p w14:paraId="7CD0B0E3" w14:textId="03C7D87A" w:rsidR="0057207B" w:rsidRPr="005C3EC8" w:rsidRDefault="000047B5">
          <w:pPr>
            <w:pStyle w:val="TOC3"/>
            <w:rPr>
              <w:rFonts w:eastAsiaTheme="minorEastAsia" w:cstheme="minorBidi"/>
              <w:i/>
              <w:iCs/>
              <w:noProof/>
            </w:rPr>
          </w:pPr>
          <w:hyperlink w:anchor="_Toc462149200" w:history="1">
            <w:r w:rsidR="0057207B" w:rsidRPr="005C3EC8">
              <w:rPr>
                <w:rStyle w:val="Hyperlink"/>
                <w:rFonts w:ascii="Calibri" w:hAnsi="Calibri"/>
                <w:noProof/>
              </w:rPr>
              <w:t>Sub-national transfers (#5.2)</w:t>
            </w:r>
            <w:r w:rsidR="0057207B" w:rsidRPr="005C3EC8">
              <w:rPr>
                <w:noProof/>
                <w:webHidden/>
              </w:rPr>
              <w:tab/>
            </w:r>
            <w:r w:rsidR="0057207B" w:rsidRPr="005C3EC8">
              <w:rPr>
                <w:noProof/>
                <w:webHidden/>
              </w:rPr>
              <w:fldChar w:fldCharType="begin"/>
            </w:r>
            <w:r w:rsidR="0057207B" w:rsidRPr="005C3EC8">
              <w:rPr>
                <w:noProof/>
                <w:webHidden/>
              </w:rPr>
              <w:instrText xml:space="preserve"> PAGEREF _Toc462149200 \h </w:instrText>
            </w:r>
            <w:r w:rsidR="0057207B" w:rsidRPr="005C3EC8">
              <w:rPr>
                <w:noProof/>
                <w:webHidden/>
              </w:rPr>
            </w:r>
            <w:r w:rsidR="0057207B" w:rsidRPr="005C3EC8">
              <w:rPr>
                <w:noProof/>
                <w:webHidden/>
              </w:rPr>
              <w:fldChar w:fldCharType="separate"/>
            </w:r>
            <w:r w:rsidR="000A673B">
              <w:rPr>
                <w:noProof/>
                <w:webHidden/>
              </w:rPr>
              <w:t>102</w:t>
            </w:r>
            <w:r w:rsidR="0057207B" w:rsidRPr="005C3EC8">
              <w:rPr>
                <w:noProof/>
                <w:webHidden/>
              </w:rPr>
              <w:fldChar w:fldCharType="end"/>
            </w:r>
          </w:hyperlink>
        </w:p>
        <w:p w14:paraId="6D1EFC75" w14:textId="4B34F37B" w:rsidR="0057207B" w:rsidRPr="005C3EC8" w:rsidRDefault="000047B5">
          <w:pPr>
            <w:pStyle w:val="TOC3"/>
            <w:rPr>
              <w:rFonts w:eastAsiaTheme="minorEastAsia" w:cstheme="minorBidi"/>
              <w:i/>
              <w:iCs/>
              <w:noProof/>
            </w:rPr>
          </w:pPr>
          <w:hyperlink w:anchor="_Toc462149201" w:history="1">
            <w:r w:rsidR="0057207B" w:rsidRPr="005C3EC8">
              <w:rPr>
                <w:rStyle w:val="Hyperlink"/>
                <w:rFonts w:ascii="Calibri" w:hAnsi="Calibri"/>
                <w:noProof/>
              </w:rPr>
              <w:t>Additional information on revenue management and expenditures (#5.3)</w:t>
            </w:r>
            <w:r w:rsidR="0057207B" w:rsidRPr="005C3EC8">
              <w:rPr>
                <w:noProof/>
                <w:webHidden/>
              </w:rPr>
              <w:tab/>
            </w:r>
            <w:r w:rsidR="0057207B" w:rsidRPr="005C3EC8">
              <w:rPr>
                <w:noProof/>
                <w:webHidden/>
              </w:rPr>
              <w:fldChar w:fldCharType="begin"/>
            </w:r>
            <w:r w:rsidR="0057207B" w:rsidRPr="005C3EC8">
              <w:rPr>
                <w:noProof/>
                <w:webHidden/>
              </w:rPr>
              <w:instrText xml:space="preserve"> PAGEREF _Toc462149201 \h </w:instrText>
            </w:r>
            <w:r w:rsidR="0057207B" w:rsidRPr="005C3EC8">
              <w:rPr>
                <w:noProof/>
                <w:webHidden/>
              </w:rPr>
            </w:r>
            <w:r w:rsidR="0057207B" w:rsidRPr="005C3EC8">
              <w:rPr>
                <w:noProof/>
                <w:webHidden/>
              </w:rPr>
              <w:fldChar w:fldCharType="separate"/>
            </w:r>
            <w:r w:rsidR="000A673B">
              <w:rPr>
                <w:noProof/>
                <w:webHidden/>
              </w:rPr>
              <w:t>104</w:t>
            </w:r>
            <w:r w:rsidR="0057207B" w:rsidRPr="005C3EC8">
              <w:rPr>
                <w:noProof/>
                <w:webHidden/>
              </w:rPr>
              <w:fldChar w:fldCharType="end"/>
            </w:r>
          </w:hyperlink>
        </w:p>
        <w:p w14:paraId="58C8086B" w14:textId="65773339" w:rsidR="0057207B" w:rsidRPr="005C3EC8" w:rsidRDefault="000047B5" w:rsidP="00A351C9">
          <w:pPr>
            <w:pStyle w:val="TOC2"/>
            <w:rPr>
              <w:rFonts w:eastAsiaTheme="minorEastAsia" w:cstheme="minorBidi"/>
              <w:noProof/>
            </w:rPr>
          </w:pPr>
          <w:hyperlink w:anchor="_Toc462149202" w:history="1">
            <w:r w:rsidR="0057207B" w:rsidRPr="005C3EC8">
              <w:rPr>
                <w:rStyle w:val="Hyperlink"/>
                <w:rFonts w:ascii="Calibri" w:hAnsi="Calibri"/>
                <w:noProof/>
              </w:rPr>
              <w:t>6.</w:t>
            </w:r>
            <w:r w:rsidR="00A351C9" w:rsidRPr="005C3EC8">
              <w:rPr>
                <w:rFonts w:eastAsiaTheme="minorEastAsia" w:cstheme="minorBidi"/>
                <w:noProof/>
              </w:rPr>
              <w:t xml:space="preserve"> </w:t>
            </w:r>
            <w:r w:rsidR="0057207B" w:rsidRPr="005C3EC8">
              <w:rPr>
                <w:rStyle w:val="Hyperlink"/>
                <w:rFonts w:ascii="Calibri" w:hAnsi="Calibri"/>
                <w:noProof/>
              </w:rPr>
              <w:t>Social and economic spending</w:t>
            </w:r>
            <w:r w:rsidR="0057207B" w:rsidRPr="005C3EC8">
              <w:rPr>
                <w:noProof/>
                <w:webHidden/>
              </w:rPr>
              <w:tab/>
            </w:r>
            <w:r w:rsidR="0057207B" w:rsidRPr="005C3EC8">
              <w:rPr>
                <w:noProof/>
                <w:webHidden/>
              </w:rPr>
              <w:fldChar w:fldCharType="begin"/>
            </w:r>
            <w:r w:rsidR="0057207B" w:rsidRPr="005C3EC8">
              <w:rPr>
                <w:noProof/>
                <w:webHidden/>
              </w:rPr>
              <w:instrText xml:space="preserve"> PAGEREF _Toc462149202 \h </w:instrText>
            </w:r>
            <w:r w:rsidR="0057207B" w:rsidRPr="005C3EC8">
              <w:rPr>
                <w:noProof/>
                <w:webHidden/>
              </w:rPr>
            </w:r>
            <w:r w:rsidR="0057207B" w:rsidRPr="005C3EC8">
              <w:rPr>
                <w:noProof/>
                <w:webHidden/>
              </w:rPr>
              <w:fldChar w:fldCharType="separate"/>
            </w:r>
            <w:r w:rsidR="000A673B">
              <w:rPr>
                <w:noProof/>
                <w:webHidden/>
              </w:rPr>
              <w:t>107</w:t>
            </w:r>
            <w:r w:rsidR="0057207B" w:rsidRPr="005C3EC8">
              <w:rPr>
                <w:noProof/>
                <w:webHidden/>
              </w:rPr>
              <w:fldChar w:fldCharType="end"/>
            </w:r>
          </w:hyperlink>
        </w:p>
        <w:p w14:paraId="0CF7CAB7" w14:textId="2F0EAD78" w:rsidR="0057207B" w:rsidRPr="005C3EC8" w:rsidRDefault="000047B5">
          <w:pPr>
            <w:pStyle w:val="TOC3"/>
            <w:rPr>
              <w:rFonts w:eastAsiaTheme="minorEastAsia" w:cstheme="minorBidi"/>
              <w:i/>
              <w:iCs/>
              <w:noProof/>
            </w:rPr>
          </w:pPr>
          <w:hyperlink w:anchor="_Toc462149203" w:history="1">
            <w:r w:rsidR="0057207B" w:rsidRPr="005C3EC8">
              <w:rPr>
                <w:rStyle w:val="Hyperlink"/>
                <w:rFonts w:ascii="Calibri" w:hAnsi="Calibri"/>
                <w:noProof/>
              </w:rPr>
              <w:t>Social expenditures (#6.1)</w:t>
            </w:r>
            <w:r w:rsidR="0057207B" w:rsidRPr="005C3EC8">
              <w:rPr>
                <w:noProof/>
                <w:webHidden/>
              </w:rPr>
              <w:tab/>
            </w:r>
            <w:r w:rsidR="0057207B" w:rsidRPr="005C3EC8">
              <w:rPr>
                <w:noProof/>
                <w:webHidden/>
              </w:rPr>
              <w:fldChar w:fldCharType="begin"/>
            </w:r>
            <w:r w:rsidR="0057207B" w:rsidRPr="005C3EC8">
              <w:rPr>
                <w:noProof/>
                <w:webHidden/>
              </w:rPr>
              <w:instrText xml:space="preserve"> PAGEREF _Toc462149203 \h </w:instrText>
            </w:r>
            <w:r w:rsidR="0057207B" w:rsidRPr="005C3EC8">
              <w:rPr>
                <w:noProof/>
                <w:webHidden/>
              </w:rPr>
            </w:r>
            <w:r w:rsidR="0057207B" w:rsidRPr="005C3EC8">
              <w:rPr>
                <w:noProof/>
                <w:webHidden/>
              </w:rPr>
              <w:fldChar w:fldCharType="separate"/>
            </w:r>
            <w:r w:rsidR="000A673B">
              <w:rPr>
                <w:noProof/>
                <w:webHidden/>
              </w:rPr>
              <w:t>107</w:t>
            </w:r>
            <w:r w:rsidR="0057207B" w:rsidRPr="005C3EC8">
              <w:rPr>
                <w:noProof/>
                <w:webHidden/>
              </w:rPr>
              <w:fldChar w:fldCharType="end"/>
            </w:r>
          </w:hyperlink>
        </w:p>
        <w:p w14:paraId="192879CB" w14:textId="4ACC5A43" w:rsidR="0057207B" w:rsidRPr="005C3EC8" w:rsidRDefault="000047B5">
          <w:pPr>
            <w:pStyle w:val="TOC3"/>
            <w:rPr>
              <w:rFonts w:eastAsiaTheme="minorEastAsia" w:cstheme="minorBidi"/>
              <w:i/>
              <w:iCs/>
              <w:noProof/>
            </w:rPr>
          </w:pPr>
          <w:hyperlink w:anchor="_Toc462149204" w:history="1">
            <w:r w:rsidR="0057207B" w:rsidRPr="005C3EC8">
              <w:rPr>
                <w:rStyle w:val="Hyperlink"/>
                <w:rFonts w:ascii="Calibri" w:hAnsi="Calibri"/>
                <w:noProof/>
              </w:rPr>
              <w:t>SOE quasi fiscal expenditures (#6.2)</w:t>
            </w:r>
            <w:r w:rsidR="0057207B" w:rsidRPr="005C3EC8">
              <w:rPr>
                <w:noProof/>
                <w:webHidden/>
              </w:rPr>
              <w:tab/>
            </w:r>
            <w:r w:rsidR="0057207B" w:rsidRPr="005C3EC8">
              <w:rPr>
                <w:noProof/>
                <w:webHidden/>
              </w:rPr>
              <w:fldChar w:fldCharType="begin"/>
            </w:r>
            <w:r w:rsidR="0057207B" w:rsidRPr="005C3EC8">
              <w:rPr>
                <w:noProof/>
                <w:webHidden/>
              </w:rPr>
              <w:instrText xml:space="preserve"> PAGEREF _Toc462149204 \h </w:instrText>
            </w:r>
            <w:r w:rsidR="0057207B" w:rsidRPr="005C3EC8">
              <w:rPr>
                <w:noProof/>
                <w:webHidden/>
              </w:rPr>
            </w:r>
            <w:r w:rsidR="0057207B" w:rsidRPr="005C3EC8">
              <w:rPr>
                <w:noProof/>
                <w:webHidden/>
              </w:rPr>
              <w:fldChar w:fldCharType="separate"/>
            </w:r>
            <w:r w:rsidR="000A673B">
              <w:rPr>
                <w:noProof/>
                <w:webHidden/>
              </w:rPr>
              <w:t>109</w:t>
            </w:r>
            <w:r w:rsidR="0057207B" w:rsidRPr="005C3EC8">
              <w:rPr>
                <w:noProof/>
                <w:webHidden/>
              </w:rPr>
              <w:fldChar w:fldCharType="end"/>
            </w:r>
          </w:hyperlink>
        </w:p>
        <w:p w14:paraId="40D513C6" w14:textId="3EE1CA1D" w:rsidR="0057207B" w:rsidRPr="005C3EC8" w:rsidRDefault="000047B5">
          <w:pPr>
            <w:pStyle w:val="TOC3"/>
            <w:rPr>
              <w:rFonts w:eastAsiaTheme="minorEastAsia" w:cstheme="minorBidi"/>
              <w:i/>
              <w:iCs/>
              <w:noProof/>
            </w:rPr>
          </w:pPr>
          <w:hyperlink w:anchor="_Toc462149205" w:history="1">
            <w:r w:rsidR="0057207B" w:rsidRPr="005C3EC8">
              <w:rPr>
                <w:rStyle w:val="Hyperlink"/>
                <w:rFonts w:ascii="Calibri" w:hAnsi="Calibri"/>
                <w:noProof/>
              </w:rPr>
              <w:t>Contribution of the extractive sector to the economy (#6.3)</w:t>
            </w:r>
            <w:r w:rsidR="0057207B" w:rsidRPr="005C3EC8">
              <w:rPr>
                <w:noProof/>
                <w:webHidden/>
              </w:rPr>
              <w:tab/>
            </w:r>
            <w:r w:rsidR="0057207B" w:rsidRPr="005C3EC8">
              <w:rPr>
                <w:noProof/>
                <w:webHidden/>
              </w:rPr>
              <w:fldChar w:fldCharType="begin"/>
            </w:r>
            <w:r w:rsidR="0057207B" w:rsidRPr="005C3EC8">
              <w:rPr>
                <w:noProof/>
                <w:webHidden/>
              </w:rPr>
              <w:instrText xml:space="preserve"> PAGEREF _Toc462149205 \h </w:instrText>
            </w:r>
            <w:r w:rsidR="0057207B" w:rsidRPr="005C3EC8">
              <w:rPr>
                <w:noProof/>
                <w:webHidden/>
              </w:rPr>
            </w:r>
            <w:r w:rsidR="0057207B" w:rsidRPr="005C3EC8">
              <w:rPr>
                <w:noProof/>
                <w:webHidden/>
              </w:rPr>
              <w:fldChar w:fldCharType="separate"/>
            </w:r>
            <w:r w:rsidR="000A673B">
              <w:rPr>
                <w:noProof/>
                <w:webHidden/>
              </w:rPr>
              <w:t>109</w:t>
            </w:r>
            <w:r w:rsidR="0057207B" w:rsidRPr="005C3EC8">
              <w:rPr>
                <w:noProof/>
                <w:webHidden/>
              </w:rPr>
              <w:fldChar w:fldCharType="end"/>
            </w:r>
          </w:hyperlink>
        </w:p>
        <w:p w14:paraId="49646128" w14:textId="2F8868E5" w:rsidR="0057207B" w:rsidRPr="005C3EC8" w:rsidRDefault="000047B5" w:rsidP="0097728B">
          <w:pPr>
            <w:pStyle w:val="TOC1"/>
            <w:tabs>
              <w:tab w:val="right" w:pos="9495"/>
            </w:tabs>
            <w:rPr>
              <w:rFonts w:ascii="Calibri" w:eastAsiaTheme="minorEastAsia" w:hAnsi="Calibri" w:cstheme="minorBidi"/>
              <w:noProof/>
            </w:rPr>
          </w:pPr>
          <w:hyperlink w:anchor="_Toc462149206" w:history="1">
            <w:r w:rsidR="0057207B" w:rsidRPr="005C3EC8">
              <w:rPr>
                <w:rStyle w:val="Hyperlink"/>
                <w:rFonts w:ascii="Calibri" w:hAnsi="Calibri"/>
                <w:noProof/>
                <w:sz w:val="22"/>
                <w:szCs w:val="22"/>
              </w:rPr>
              <w:t>Part III – Outcomes and Impact</w:t>
            </w:r>
            <w:r w:rsidR="0057207B" w:rsidRPr="005C3EC8">
              <w:rPr>
                <w:rFonts w:ascii="Calibri" w:hAnsi="Calibri"/>
                <w:noProof/>
                <w:webHidden/>
              </w:rPr>
              <w:tab/>
            </w:r>
            <w:r w:rsidR="0057207B" w:rsidRPr="005C3EC8">
              <w:rPr>
                <w:rFonts w:ascii="Calibri" w:hAnsi="Calibri"/>
                <w:noProof/>
                <w:webHidden/>
              </w:rPr>
              <w:fldChar w:fldCharType="begin"/>
            </w:r>
            <w:r w:rsidR="0057207B" w:rsidRPr="005C3EC8">
              <w:rPr>
                <w:rFonts w:ascii="Calibri" w:hAnsi="Calibri"/>
                <w:noProof/>
                <w:webHidden/>
              </w:rPr>
              <w:instrText xml:space="preserve"> PAGEREF _Toc462149206 \h </w:instrText>
            </w:r>
            <w:r w:rsidR="0057207B" w:rsidRPr="005C3EC8">
              <w:rPr>
                <w:rFonts w:ascii="Calibri" w:hAnsi="Calibri"/>
                <w:noProof/>
                <w:webHidden/>
              </w:rPr>
            </w:r>
            <w:r w:rsidR="0057207B" w:rsidRPr="005C3EC8">
              <w:rPr>
                <w:rFonts w:ascii="Calibri" w:hAnsi="Calibri"/>
                <w:noProof/>
                <w:webHidden/>
              </w:rPr>
              <w:fldChar w:fldCharType="separate"/>
            </w:r>
            <w:r w:rsidR="000A673B">
              <w:rPr>
                <w:rFonts w:ascii="Calibri" w:hAnsi="Calibri"/>
                <w:noProof/>
                <w:webHidden/>
              </w:rPr>
              <w:t>112</w:t>
            </w:r>
            <w:r w:rsidR="0057207B" w:rsidRPr="005C3EC8">
              <w:rPr>
                <w:rFonts w:ascii="Calibri" w:hAnsi="Calibri"/>
                <w:noProof/>
                <w:webHidden/>
              </w:rPr>
              <w:fldChar w:fldCharType="end"/>
            </w:r>
          </w:hyperlink>
        </w:p>
        <w:p w14:paraId="2AF00749" w14:textId="7EED9FD0" w:rsidR="0057207B" w:rsidRPr="005C3EC8" w:rsidRDefault="000047B5" w:rsidP="00A351C9">
          <w:pPr>
            <w:pStyle w:val="TOC2"/>
            <w:rPr>
              <w:rFonts w:eastAsiaTheme="minorEastAsia" w:cstheme="minorBidi"/>
              <w:noProof/>
            </w:rPr>
          </w:pPr>
          <w:hyperlink w:anchor="_Toc462149207" w:history="1">
            <w:r w:rsidR="0057207B" w:rsidRPr="005C3EC8">
              <w:rPr>
                <w:rStyle w:val="Hyperlink"/>
                <w:rFonts w:ascii="Calibri" w:hAnsi="Calibri"/>
                <w:noProof/>
              </w:rPr>
              <w:t>7.</w:t>
            </w:r>
            <w:r w:rsidR="00A351C9" w:rsidRPr="005C3EC8">
              <w:rPr>
                <w:rFonts w:eastAsiaTheme="minorEastAsia" w:cstheme="minorBidi"/>
                <w:noProof/>
              </w:rPr>
              <w:t xml:space="preserve"> </w:t>
            </w:r>
            <w:r w:rsidR="0057207B" w:rsidRPr="005C3EC8">
              <w:rPr>
                <w:rStyle w:val="Hyperlink"/>
                <w:rFonts w:ascii="Calibri" w:hAnsi="Calibri"/>
                <w:noProof/>
              </w:rPr>
              <w:t>Outcomes and Impact</w:t>
            </w:r>
            <w:r w:rsidR="0057207B" w:rsidRPr="005C3EC8">
              <w:rPr>
                <w:noProof/>
                <w:webHidden/>
              </w:rPr>
              <w:tab/>
            </w:r>
            <w:r w:rsidR="0057207B" w:rsidRPr="005C3EC8">
              <w:rPr>
                <w:noProof/>
                <w:webHidden/>
              </w:rPr>
              <w:fldChar w:fldCharType="begin"/>
            </w:r>
            <w:r w:rsidR="0057207B" w:rsidRPr="005C3EC8">
              <w:rPr>
                <w:noProof/>
                <w:webHidden/>
              </w:rPr>
              <w:instrText xml:space="preserve"> PAGEREF _Toc462149207 \h </w:instrText>
            </w:r>
            <w:r w:rsidR="0057207B" w:rsidRPr="005C3EC8">
              <w:rPr>
                <w:noProof/>
                <w:webHidden/>
              </w:rPr>
            </w:r>
            <w:r w:rsidR="0057207B" w:rsidRPr="005C3EC8">
              <w:rPr>
                <w:noProof/>
                <w:webHidden/>
              </w:rPr>
              <w:fldChar w:fldCharType="separate"/>
            </w:r>
            <w:r w:rsidR="000A673B">
              <w:rPr>
                <w:noProof/>
                <w:webHidden/>
              </w:rPr>
              <w:t>113</w:t>
            </w:r>
            <w:r w:rsidR="0057207B" w:rsidRPr="005C3EC8">
              <w:rPr>
                <w:noProof/>
                <w:webHidden/>
              </w:rPr>
              <w:fldChar w:fldCharType="end"/>
            </w:r>
          </w:hyperlink>
        </w:p>
        <w:p w14:paraId="5554477F" w14:textId="66D59406" w:rsidR="0057207B" w:rsidRPr="005C3EC8" w:rsidRDefault="000047B5">
          <w:pPr>
            <w:pStyle w:val="TOC3"/>
            <w:rPr>
              <w:rFonts w:eastAsiaTheme="minorEastAsia" w:cstheme="minorBidi"/>
              <w:i/>
              <w:iCs/>
              <w:noProof/>
            </w:rPr>
          </w:pPr>
          <w:hyperlink w:anchor="_Toc462149208" w:history="1">
            <w:r w:rsidR="0057207B" w:rsidRPr="005C3EC8">
              <w:rPr>
                <w:rStyle w:val="Hyperlink"/>
                <w:rFonts w:ascii="Calibri" w:hAnsi="Calibri"/>
                <w:noProof/>
              </w:rPr>
              <w:t>Public debate (#7.1)</w:t>
            </w:r>
            <w:r w:rsidR="0057207B" w:rsidRPr="005C3EC8">
              <w:rPr>
                <w:noProof/>
                <w:webHidden/>
              </w:rPr>
              <w:tab/>
            </w:r>
            <w:r w:rsidR="0057207B" w:rsidRPr="005C3EC8">
              <w:rPr>
                <w:noProof/>
                <w:webHidden/>
              </w:rPr>
              <w:fldChar w:fldCharType="begin"/>
            </w:r>
            <w:r w:rsidR="0057207B" w:rsidRPr="005C3EC8">
              <w:rPr>
                <w:noProof/>
                <w:webHidden/>
              </w:rPr>
              <w:instrText xml:space="preserve"> PAGEREF _Toc462149208 \h </w:instrText>
            </w:r>
            <w:r w:rsidR="0057207B" w:rsidRPr="005C3EC8">
              <w:rPr>
                <w:noProof/>
                <w:webHidden/>
              </w:rPr>
            </w:r>
            <w:r w:rsidR="0057207B" w:rsidRPr="005C3EC8">
              <w:rPr>
                <w:noProof/>
                <w:webHidden/>
              </w:rPr>
              <w:fldChar w:fldCharType="separate"/>
            </w:r>
            <w:r w:rsidR="000A673B">
              <w:rPr>
                <w:noProof/>
                <w:webHidden/>
              </w:rPr>
              <w:t>113</w:t>
            </w:r>
            <w:r w:rsidR="0057207B" w:rsidRPr="005C3EC8">
              <w:rPr>
                <w:noProof/>
                <w:webHidden/>
              </w:rPr>
              <w:fldChar w:fldCharType="end"/>
            </w:r>
          </w:hyperlink>
        </w:p>
        <w:p w14:paraId="1D47B405" w14:textId="6244692D" w:rsidR="0057207B" w:rsidRPr="005C3EC8" w:rsidRDefault="000047B5">
          <w:pPr>
            <w:pStyle w:val="TOC3"/>
            <w:rPr>
              <w:rFonts w:eastAsiaTheme="minorEastAsia" w:cstheme="minorBidi"/>
              <w:i/>
              <w:iCs/>
              <w:noProof/>
            </w:rPr>
          </w:pPr>
          <w:hyperlink w:anchor="_Toc462149209" w:history="1">
            <w:r w:rsidR="0057207B" w:rsidRPr="005C3EC8">
              <w:rPr>
                <w:rStyle w:val="Hyperlink"/>
                <w:rFonts w:ascii="Calibri" w:hAnsi="Calibri"/>
                <w:noProof/>
              </w:rPr>
              <w:t>Data Accessibility (#7.2)</w:t>
            </w:r>
            <w:r w:rsidR="0057207B" w:rsidRPr="005C3EC8">
              <w:rPr>
                <w:noProof/>
                <w:webHidden/>
              </w:rPr>
              <w:tab/>
            </w:r>
            <w:r w:rsidR="0057207B" w:rsidRPr="005C3EC8">
              <w:rPr>
                <w:noProof/>
                <w:webHidden/>
              </w:rPr>
              <w:fldChar w:fldCharType="begin"/>
            </w:r>
            <w:r w:rsidR="0057207B" w:rsidRPr="005C3EC8">
              <w:rPr>
                <w:noProof/>
                <w:webHidden/>
              </w:rPr>
              <w:instrText xml:space="preserve"> PAGEREF _Toc462149209 \h </w:instrText>
            </w:r>
            <w:r w:rsidR="0057207B" w:rsidRPr="005C3EC8">
              <w:rPr>
                <w:noProof/>
                <w:webHidden/>
              </w:rPr>
            </w:r>
            <w:r w:rsidR="0057207B" w:rsidRPr="005C3EC8">
              <w:rPr>
                <w:noProof/>
                <w:webHidden/>
              </w:rPr>
              <w:fldChar w:fldCharType="separate"/>
            </w:r>
            <w:r w:rsidR="000A673B">
              <w:rPr>
                <w:noProof/>
                <w:webHidden/>
              </w:rPr>
              <w:t>115</w:t>
            </w:r>
            <w:r w:rsidR="0057207B" w:rsidRPr="005C3EC8">
              <w:rPr>
                <w:noProof/>
                <w:webHidden/>
              </w:rPr>
              <w:fldChar w:fldCharType="end"/>
            </w:r>
          </w:hyperlink>
        </w:p>
        <w:p w14:paraId="62D1F855" w14:textId="328EDB77" w:rsidR="0057207B" w:rsidRPr="005C3EC8" w:rsidRDefault="000047B5">
          <w:pPr>
            <w:pStyle w:val="TOC3"/>
            <w:rPr>
              <w:rFonts w:eastAsiaTheme="minorEastAsia" w:cstheme="minorBidi"/>
              <w:i/>
              <w:iCs/>
              <w:noProof/>
            </w:rPr>
          </w:pPr>
          <w:hyperlink w:anchor="_Toc462149210" w:history="1">
            <w:r w:rsidR="0057207B" w:rsidRPr="005C3EC8">
              <w:rPr>
                <w:rStyle w:val="Hyperlink"/>
                <w:rFonts w:ascii="Calibri" w:hAnsi="Calibri"/>
                <w:noProof/>
              </w:rPr>
              <w:t>Lessons Learned and follow-up on recommendations (#7.3)</w:t>
            </w:r>
            <w:r w:rsidR="0057207B" w:rsidRPr="005C3EC8">
              <w:rPr>
                <w:noProof/>
                <w:webHidden/>
              </w:rPr>
              <w:tab/>
            </w:r>
            <w:r w:rsidR="0057207B" w:rsidRPr="005C3EC8">
              <w:rPr>
                <w:noProof/>
                <w:webHidden/>
              </w:rPr>
              <w:fldChar w:fldCharType="begin"/>
            </w:r>
            <w:r w:rsidR="0057207B" w:rsidRPr="005C3EC8">
              <w:rPr>
                <w:noProof/>
                <w:webHidden/>
              </w:rPr>
              <w:instrText xml:space="preserve"> PAGEREF _Toc462149210 \h </w:instrText>
            </w:r>
            <w:r w:rsidR="0057207B" w:rsidRPr="005C3EC8">
              <w:rPr>
                <w:noProof/>
                <w:webHidden/>
              </w:rPr>
            </w:r>
            <w:r w:rsidR="0057207B" w:rsidRPr="005C3EC8">
              <w:rPr>
                <w:noProof/>
                <w:webHidden/>
              </w:rPr>
              <w:fldChar w:fldCharType="separate"/>
            </w:r>
            <w:r w:rsidR="000A673B">
              <w:rPr>
                <w:noProof/>
                <w:webHidden/>
              </w:rPr>
              <w:t>115</w:t>
            </w:r>
            <w:r w:rsidR="0057207B" w:rsidRPr="005C3EC8">
              <w:rPr>
                <w:noProof/>
                <w:webHidden/>
              </w:rPr>
              <w:fldChar w:fldCharType="end"/>
            </w:r>
          </w:hyperlink>
        </w:p>
        <w:p w14:paraId="2C30D0E3" w14:textId="6137405E" w:rsidR="0057207B" w:rsidRPr="005C3EC8" w:rsidRDefault="000047B5">
          <w:pPr>
            <w:pStyle w:val="TOC3"/>
            <w:rPr>
              <w:rFonts w:eastAsiaTheme="minorEastAsia" w:cstheme="minorBidi"/>
              <w:i/>
              <w:iCs/>
              <w:noProof/>
            </w:rPr>
          </w:pPr>
          <w:hyperlink w:anchor="_Toc462149211" w:history="1">
            <w:r w:rsidR="0057207B" w:rsidRPr="005C3EC8">
              <w:rPr>
                <w:rStyle w:val="Hyperlink"/>
                <w:rFonts w:ascii="Calibri" w:hAnsi="Calibri"/>
                <w:noProof/>
              </w:rPr>
              <w:t>Outcomes and impact of implementation (#7.4)</w:t>
            </w:r>
            <w:r w:rsidR="0057207B" w:rsidRPr="005C3EC8">
              <w:rPr>
                <w:noProof/>
                <w:webHidden/>
              </w:rPr>
              <w:tab/>
            </w:r>
            <w:r w:rsidR="0057207B" w:rsidRPr="005C3EC8">
              <w:rPr>
                <w:noProof/>
                <w:webHidden/>
              </w:rPr>
              <w:fldChar w:fldCharType="begin"/>
            </w:r>
            <w:r w:rsidR="0057207B" w:rsidRPr="005C3EC8">
              <w:rPr>
                <w:noProof/>
                <w:webHidden/>
              </w:rPr>
              <w:instrText xml:space="preserve"> PAGEREF _Toc462149211 \h </w:instrText>
            </w:r>
            <w:r w:rsidR="0057207B" w:rsidRPr="005C3EC8">
              <w:rPr>
                <w:noProof/>
                <w:webHidden/>
              </w:rPr>
            </w:r>
            <w:r w:rsidR="0057207B" w:rsidRPr="005C3EC8">
              <w:rPr>
                <w:noProof/>
                <w:webHidden/>
              </w:rPr>
              <w:fldChar w:fldCharType="separate"/>
            </w:r>
            <w:r w:rsidR="000A673B">
              <w:rPr>
                <w:noProof/>
                <w:webHidden/>
              </w:rPr>
              <w:t>116</w:t>
            </w:r>
            <w:r w:rsidR="0057207B" w:rsidRPr="005C3EC8">
              <w:rPr>
                <w:noProof/>
                <w:webHidden/>
              </w:rPr>
              <w:fldChar w:fldCharType="end"/>
            </w:r>
          </w:hyperlink>
        </w:p>
        <w:p w14:paraId="67CA5F8A" w14:textId="32034947" w:rsidR="0057207B" w:rsidRPr="005C3EC8" w:rsidRDefault="000047B5" w:rsidP="00A351C9">
          <w:pPr>
            <w:pStyle w:val="TOC2"/>
            <w:rPr>
              <w:rFonts w:eastAsiaTheme="minorEastAsia" w:cstheme="minorBidi"/>
              <w:noProof/>
            </w:rPr>
          </w:pPr>
          <w:hyperlink w:anchor="_Toc462149212" w:history="1">
            <w:r w:rsidR="0057207B" w:rsidRPr="005C3EC8">
              <w:rPr>
                <w:rStyle w:val="Hyperlink"/>
                <w:rFonts w:ascii="Calibri" w:hAnsi="Calibri"/>
                <w:noProof/>
              </w:rPr>
              <w:t>8.</w:t>
            </w:r>
            <w:r w:rsidR="00A351C9" w:rsidRPr="005C3EC8">
              <w:rPr>
                <w:rFonts w:eastAsiaTheme="minorEastAsia" w:cstheme="minorBidi"/>
                <w:noProof/>
              </w:rPr>
              <w:t xml:space="preserve"> </w:t>
            </w:r>
            <w:r w:rsidR="0057207B" w:rsidRPr="005C3EC8">
              <w:rPr>
                <w:rStyle w:val="Hyperlink"/>
                <w:rFonts w:ascii="Calibri" w:hAnsi="Calibri"/>
                <w:noProof/>
              </w:rPr>
              <w:t>Impact analysis (not to be considered in assessing compliance with the EITI provisions)</w:t>
            </w:r>
            <w:r w:rsidR="0057207B" w:rsidRPr="005C3EC8">
              <w:rPr>
                <w:noProof/>
                <w:webHidden/>
              </w:rPr>
              <w:tab/>
            </w:r>
            <w:r w:rsidR="0057207B" w:rsidRPr="005C3EC8">
              <w:rPr>
                <w:noProof/>
                <w:webHidden/>
              </w:rPr>
              <w:fldChar w:fldCharType="begin"/>
            </w:r>
            <w:r w:rsidR="0057207B" w:rsidRPr="005C3EC8">
              <w:rPr>
                <w:noProof/>
                <w:webHidden/>
              </w:rPr>
              <w:instrText xml:space="preserve"> PAGEREF _Toc462149212 \h </w:instrText>
            </w:r>
            <w:r w:rsidR="0057207B" w:rsidRPr="005C3EC8">
              <w:rPr>
                <w:noProof/>
                <w:webHidden/>
              </w:rPr>
            </w:r>
            <w:r w:rsidR="0057207B" w:rsidRPr="005C3EC8">
              <w:rPr>
                <w:noProof/>
                <w:webHidden/>
              </w:rPr>
              <w:fldChar w:fldCharType="separate"/>
            </w:r>
            <w:r w:rsidR="000A673B">
              <w:rPr>
                <w:noProof/>
                <w:webHidden/>
              </w:rPr>
              <w:t>119</w:t>
            </w:r>
            <w:r w:rsidR="0057207B" w:rsidRPr="005C3EC8">
              <w:rPr>
                <w:noProof/>
                <w:webHidden/>
              </w:rPr>
              <w:fldChar w:fldCharType="end"/>
            </w:r>
          </w:hyperlink>
        </w:p>
        <w:p w14:paraId="59C0317C" w14:textId="1AC3E7C7" w:rsidR="0057207B" w:rsidRPr="005C3EC8" w:rsidRDefault="000047B5" w:rsidP="0097728B">
          <w:pPr>
            <w:pStyle w:val="TOC1"/>
            <w:tabs>
              <w:tab w:val="right" w:pos="9495"/>
            </w:tabs>
            <w:rPr>
              <w:rFonts w:ascii="Calibri" w:eastAsiaTheme="minorEastAsia" w:hAnsi="Calibri" w:cstheme="minorBidi"/>
              <w:noProof/>
            </w:rPr>
          </w:pPr>
          <w:hyperlink w:anchor="_Toc462149213" w:history="1">
            <w:r w:rsidR="0057207B" w:rsidRPr="005C3EC8">
              <w:rPr>
                <w:rStyle w:val="Hyperlink"/>
                <w:rFonts w:ascii="Calibri" w:hAnsi="Calibri"/>
                <w:noProof/>
                <w:sz w:val="22"/>
                <w:szCs w:val="22"/>
              </w:rPr>
              <w:t>Annexes</w:t>
            </w:r>
            <w:r w:rsidR="0057207B" w:rsidRPr="005C3EC8">
              <w:rPr>
                <w:rFonts w:ascii="Calibri" w:hAnsi="Calibri"/>
                <w:noProof/>
                <w:webHidden/>
              </w:rPr>
              <w:tab/>
            </w:r>
            <w:r w:rsidR="0057207B" w:rsidRPr="005C3EC8">
              <w:rPr>
                <w:rFonts w:ascii="Calibri" w:hAnsi="Calibri"/>
                <w:noProof/>
                <w:webHidden/>
              </w:rPr>
              <w:fldChar w:fldCharType="begin"/>
            </w:r>
            <w:r w:rsidR="0057207B" w:rsidRPr="005C3EC8">
              <w:rPr>
                <w:rFonts w:ascii="Calibri" w:hAnsi="Calibri"/>
                <w:noProof/>
                <w:webHidden/>
              </w:rPr>
              <w:instrText xml:space="preserve"> PAGEREF _Toc462149213 \h </w:instrText>
            </w:r>
            <w:r w:rsidR="0057207B" w:rsidRPr="005C3EC8">
              <w:rPr>
                <w:rFonts w:ascii="Calibri" w:hAnsi="Calibri"/>
                <w:noProof/>
                <w:webHidden/>
              </w:rPr>
            </w:r>
            <w:r w:rsidR="0057207B" w:rsidRPr="005C3EC8">
              <w:rPr>
                <w:rFonts w:ascii="Calibri" w:hAnsi="Calibri"/>
                <w:noProof/>
                <w:webHidden/>
              </w:rPr>
              <w:fldChar w:fldCharType="separate"/>
            </w:r>
            <w:r w:rsidR="000A673B">
              <w:rPr>
                <w:rFonts w:ascii="Calibri" w:hAnsi="Calibri"/>
                <w:noProof/>
                <w:webHidden/>
              </w:rPr>
              <w:t>122</w:t>
            </w:r>
            <w:r w:rsidR="0057207B" w:rsidRPr="005C3EC8">
              <w:rPr>
                <w:rFonts w:ascii="Calibri" w:hAnsi="Calibri"/>
                <w:noProof/>
                <w:webHidden/>
              </w:rPr>
              <w:fldChar w:fldCharType="end"/>
            </w:r>
          </w:hyperlink>
        </w:p>
        <w:p w14:paraId="3D3741A8" w14:textId="237FDA05" w:rsidR="0057207B" w:rsidRPr="005C3EC8" w:rsidRDefault="000047B5">
          <w:pPr>
            <w:pStyle w:val="TOC2"/>
            <w:rPr>
              <w:rFonts w:eastAsiaTheme="minorEastAsia" w:cstheme="minorBidi"/>
              <w:noProof/>
            </w:rPr>
          </w:pPr>
          <w:hyperlink w:anchor="_Toc462149214" w:history="1">
            <w:r w:rsidR="0057207B" w:rsidRPr="005C3EC8">
              <w:rPr>
                <w:rStyle w:val="Hyperlink"/>
                <w:rFonts w:ascii="Calibri" w:hAnsi="Calibri"/>
                <w:noProof/>
              </w:rPr>
              <w:t>Annex A - List of MSG members and contact details</w:t>
            </w:r>
            <w:r w:rsidR="0057207B" w:rsidRPr="005C3EC8">
              <w:rPr>
                <w:noProof/>
                <w:webHidden/>
              </w:rPr>
              <w:tab/>
            </w:r>
            <w:r w:rsidR="0057207B" w:rsidRPr="005C3EC8">
              <w:rPr>
                <w:noProof/>
                <w:webHidden/>
              </w:rPr>
              <w:fldChar w:fldCharType="begin"/>
            </w:r>
            <w:r w:rsidR="0057207B" w:rsidRPr="005C3EC8">
              <w:rPr>
                <w:noProof/>
                <w:webHidden/>
              </w:rPr>
              <w:instrText xml:space="preserve"> PAGEREF _Toc462149214 \h </w:instrText>
            </w:r>
            <w:r w:rsidR="0057207B" w:rsidRPr="005C3EC8">
              <w:rPr>
                <w:noProof/>
                <w:webHidden/>
              </w:rPr>
            </w:r>
            <w:r w:rsidR="0057207B" w:rsidRPr="005C3EC8">
              <w:rPr>
                <w:noProof/>
                <w:webHidden/>
              </w:rPr>
              <w:fldChar w:fldCharType="separate"/>
            </w:r>
            <w:r w:rsidR="000A673B">
              <w:rPr>
                <w:noProof/>
                <w:webHidden/>
              </w:rPr>
              <w:t>122</w:t>
            </w:r>
            <w:r w:rsidR="0057207B" w:rsidRPr="005C3EC8">
              <w:rPr>
                <w:noProof/>
                <w:webHidden/>
              </w:rPr>
              <w:fldChar w:fldCharType="end"/>
            </w:r>
          </w:hyperlink>
        </w:p>
        <w:p w14:paraId="0BDE9B2F" w14:textId="56B4F623" w:rsidR="0057207B" w:rsidRPr="005C3EC8" w:rsidRDefault="000047B5">
          <w:pPr>
            <w:pStyle w:val="TOC2"/>
            <w:rPr>
              <w:rFonts w:eastAsiaTheme="minorEastAsia" w:cstheme="minorBidi"/>
              <w:noProof/>
            </w:rPr>
          </w:pPr>
          <w:hyperlink w:anchor="_Toc462149215" w:history="1">
            <w:r w:rsidR="0057207B" w:rsidRPr="005C3EC8">
              <w:rPr>
                <w:rStyle w:val="Hyperlink"/>
                <w:rFonts w:ascii="Calibri" w:hAnsi="Calibri"/>
                <w:noProof/>
              </w:rPr>
              <w:t>Annex B –</w:t>
            </w:r>
            <w:r w:rsidR="00873A95" w:rsidRPr="005C3EC8">
              <w:rPr>
                <w:rStyle w:val="Hyperlink"/>
                <w:rFonts w:ascii="Calibri" w:hAnsi="Calibri"/>
                <w:noProof/>
              </w:rPr>
              <w:t xml:space="preserve"> Materiality calculations based on the 2016 EITI Report</w:t>
            </w:r>
            <w:r w:rsidR="0057207B" w:rsidRPr="005C3EC8">
              <w:rPr>
                <w:noProof/>
                <w:webHidden/>
              </w:rPr>
              <w:tab/>
            </w:r>
            <w:r w:rsidR="0057207B" w:rsidRPr="005C3EC8">
              <w:rPr>
                <w:noProof/>
                <w:webHidden/>
              </w:rPr>
              <w:fldChar w:fldCharType="begin"/>
            </w:r>
            <w:r w:rsidR="0057207B" w:rsidRPr="005C3EC8">
              <w:rPr>
                <w:noProof/>
                <w:webHidden/>
              </w:rPr>
              <w:instrText xml:space="preserve"> PAGEREF _Toc462149215 \h </w:instrText>
            </w:r>
            <w:r w:rsidR="0057207B" w:rsidRPr="005C3EC8">
              <w:rPr>
                <w:noProof/>
                <w:webHidden/>
              </w:rPr>
            </w:r>
            <w:r w:rsidR="0057207B" w:rsidRPr="005C3EC8">
              <w:rPr>
                <w:noProof/>
                <w:webHidden/>
              </w:rPr>
              <w:fldChar w:fldCharType="separate"/>
            </w:r>
            <w:r w:rsidR="000A673B">
              <w:rPr>
                <w:noProof/>
                <w:webHidden/>
              </w:rPr>
              <w:t>124</w:t>
            </w:r>
            <w:r w:rsidR="0057207B" w:rsidRPr="005C3EC8">
              <w:rPr>
                <w:noProof/>
                <w:webHidden/>
              </w:rPr>
              <w:fldChar w:fldCharType="end"/>
            </w:r>
          </w:hyperlink>
        </w:p>
        <w:p w14:paraId="75F402AF" w14:textId="121B56B5" w:rsidR="0057207B" w:rsidRPr="005C3EC8" w:rsidRDefault="000047B5">
          <w:pPr>
            <w:pStyle w:val="TOC2"/>
            <w:rPr>
              <w:rFonts w:eastAsiaTheme="minorEastAsia" w:cstheme="minorBidi"/>
              <w:noProof/>
            </w:rPr>
          </w:pPr>
          <w:hyperlink w:anchor="_Toc462149216" w:history="1">
            <w:r w:rsidR="0057207B" w:rsidRPr="005C3EC8">
              <w:rPr>
                <w:rStyle w:val="Hyperlink"/>
                <w:rFonts w:ascii="Calibri" w:hAnsi="Calibri"/>
                <w:noProof/>
              </w:rPr>
              <w:t>Annex C – Cost of EITI Reports</w:t>
            </w:r>
            <w:r w:rsidR="0057207B" w:rsidRPr="005C3EC8">
              <w:rPr>
                <w:noProof/>
                <w:webHidden/>
              </w:rPr>
              <w:tab/>
            </w:r>
            <w:r w:rsidR="0057207B" w:rsidRPr="005C3EC8">
              <w:rPr>
                <w:noProof/>
                <w:webHidden/>
              </w:rPr>
              <w:fldChar w:fldCharType="begin"/>
            </w:r>
            <w:r w:rsidR="0057207B" w:rsidRPr="005C3EC8">
              <w:rPr>
                <w:noProof/>
                <w:webHidden/>
              </w:rPr>
              <w:instrText xml:space="preserve"> PAGEREF _Toc462149216 \h </w:instrText>
            </w:r>
            <w:r w:rsidR="0057207B" w:rsidRPr="005C3EC8">
              <w:rPr>
                <w:noProof/>
                <w:webHidden/>
              </w:rPr>
            </w:r>
            <w:r w:rsidR="0057207B" w:rsidRPr="005C3EC8">
              <w:rPr>
                <w:noProof/>
                <w:webHidden/>
              </w:rPr>
              <w:fldChar w:fldCharType="separate"/>
            </w:r>
            <w:r w:rsidR="000A673B">
              <w:rPr>
                <w:noProof/>
                <w:webHidden/>
              </w:rPr>
              <w:t>125</w:t>
            </w:r>
            <w:r w:rsidR="0057207B" w:rsidRPr="005C3EC8">
              <w:rPr>
                <w:noProof/>
                <w:webHidden/>
              </w:rPr>
              <w:fldChar w:fldCharType="end"/>
            </w:r>
          </w:hyperlink>
        </w:p>
        <w:p w14:paraId="2D17DEA6" w14:textId="3EED1D51" w:rsidR="0057207B" w:rsidRPr="005C3EC8" w:rsidRDefault="000047B5">
          <w:pPr>
            <w:pStyle w:val="TOC2"/>
            <w:rPr>
              <w:rFonts w:eastAsiaTheme="minorEastAsia" w:cstheme="minorBidi"/>
              <w:noProof/>
            </w:rPr>
          </w:pPr>
          <w:hyperlink w:anchor="_Toc462149217" w:history="1">
            <w:r w:rsidR="0057207B" w:rsidRPr="005C3EC8">
              <w:rPr>
                <w:rStyle w:val="Hyperlink"/>
                <w:rFonts w:ascii="Calibri" w:hAnsi="Calibri"/>
                <w:noProof/>
              </w:rPr>
              <w:t>Annex D - List of stakeholders consulted</w:t>
            </w:r>
            <w:r w:rsidR="0057207B" w:rsidRPr="005C3EC8">
              <w:rPr>
                <w:noProof/>
                <w:webHidden/>
              </w:rPr>
              <w:tab/>
            </w:r>
            <w:r w:rsidR="0057207B" w:rsidRPr="005C3EC8">
              <w:rPr>
                <w:noProof/>
                <w:webHidden/>
              </w:rPr>
              <w:fldChar w:fldCharType="begin"/>
            </w:r>
            <w:r w:rsidR="0057207B" w:rsidRPr="005C3EC8">
              <w:rPr>
                <w:noProof/>
                <w:webHidden/>
              </w:rPr>
              <w:instrText xml:space="preserve"> PAGEREF _Toc462149217 \h </w:instrText>
            </w:r>
            <w:r w:rsidR="0057207B" w:rsidRPr="005C3EC8">
              <w:rPr>
                <w:noProof/>
                <w:webHidden/>
              </w:rPr>
            </w:r>
            <w:r w:rsidR="0057207B" w:rsidRPr="005C3EC8">
              <w:rPr>
                <w:noProof/>
                <w:webHidden/>
              </w:rPr>
              <w:fldChar w:fldCharType="separate"/>
            </w:r>
            <w:r w:rsidR="000A673B">
              <w:rPr>
                <w:noProof/>
                <w:webHidden/>
              </w:rPr>
              <w:t>126</w:t>
            </w:r>
            <w:r w:rsidR="0057207B" w:rsidRPr="005C3EC8">
              <w:rPr>
                <w:noProof/>
                <w:webHidden/>
              </w:rPr>
              <w:fldChar w:fldCharType="end"/>
            </w:r>
          </w:hyperlink>
        </w:p>
        <w:p w14:paraId="07C54F83" w14:textId="13DBE1C5" w:rsidR="0057207B" w:rsidRPr="005C3EC8" w:rsidRDefault="000047B5">
          <w:pPr>
            <w:pStyle w:val="TOC2"/>
            <w:rPr>
              <w:rFonts w:eastAsiaTheme="minorEastAsia" w:cstheme="minorBidi"/>
              <w:noProof/>
            </w:rPr>
          </w:pPr>
          <w:hyperlink w:anchor="_Toc462149218" w:history="1">
            <w:r w:rsidR="0057207B" w:rsidRPr="005C3EC8">
              <w:rPr>
                <w:rStyle w:val="Hyperlink"/>
                <w:rFonts w:ascii="Calibri" w:hAnsi="Calibri"/>
                <w:noProof/>
              </w:rPr>
              <w:t>Annex E - List of reference documents</w:t>
            </w:r>
            <w:r w:rsidR="0057207B" w:rsidRPr="005C3EC8">
              <w:rPr>
                <w:noProof/>
                <w:webHidden/>
              </w:rPr>
              <w:tab/>
            </w:r>
            <w:r w:rsidR="0057207B" w:rsidRPr="005C3EC8">
              <w:rPr>
                <w:noProof/>
                <w:webHidden/>
              </w:rPr>
              <w:fldChar w:fldCharType="begin"/>
            </w:r>
            <w:r w:rsidR="0057207B" w:rsidRPr="005C3EC8">
              <w:rPr>
                <w:noProof/>
                <w:webHidden/>
              </w:rPr>
              <w:instrText xml:space="preserve"> PAGEREF _Toc462149218 \h </w:instrText>
            </w:r>
            <w:r w:rsidR="0057207B" w:rsidRPr="005C3EC8">
              <w:rPr>
                <w:noProof/>
                <w:webHidden/>
              </w:rPr>
            </w:r>
            <w:r w:rsidR="0057207B" w:rsidRPr="005C3EC8">
              <w:rPr>
                <w:noProof/>
                <w:webHidden/>
              </w:rPr>
              <w:fldChar w:fldCharType="separate"/>
            </w:r>
            <w:r w:rsidR="000A673B">
              <w:rPr>
                <w:noProof/>
                <w:webHidden/>
              </w:rPr>
              <w:t>128</w:t>
            </w:r>
            <w:r w:rsidR="0057207B" w:rsidRPr="005C3EC8">
              <w:rPr>
                <w:noProof/>
                <w:webHidden/>
              </w:rPr>
              <w:fldChar w:fldCharType="end"/>
            </w:r>
          </w:hyperlink>
        </w:p>
        <w:p w14:paraId="29B94833" w14:textId="3381829D" w:rsidR="009A34B5" w:rsidRPr="005C3EC8" w:rsidRDefault="007B124A" w:rsidP="0097728B">
          <w:pPr>
            <w:tabs>
              <w:tab w:val="right" w:pos="9495"/>
            </w:tabs>
          </w:pPr>
          <w:r w:rsidRPr="005C3EC8">
            <w:rPr>
              <w:rFonts w:ascii="Calibri" w:hAnsi="Calibri"/>
              <w:b/>
              <w:bCs/>
              <w:color w:val="548DD4"/>
            </w:rPr>
            <w:fldChar w:fldCharType="end"/>
          </w:r>
        </w:p>
      </w:sdtContent>
    </w:sdt>
    <w:p w14:paraId="67438DEF" w14:textId="678FB699" w:rsidR="00B33EAB" w:rsidRPr="005C3EC8" w:rsidRDefault="000E06FA" w:rsidP="00764C60">
      <w:pPr>
        <w:pStyle w:val="TOCHeading"/>
      </w:pPr>
      <w:r w:rsidRPr="005C3EC8">
        <w:t>Index of f</w:t>
      </w:r>
      <w:r w:rsidR="00B33EAB" w:rsidRPr="005C3EC8">
        <w:t>igures and tables</w:t>
      </w:r>
    </w:p>
    <w:p w14:paraId="5C8E92C8" w14:textId="07FCBD36" w:rsidR="00B33EAB" w:rsidRPr="005C3EC8" w:rsidRDefault="0022210E" w:rsidP="0083320D">
      <w:pPr>
        <w:pStyle w:val="TableofFigures"/>
        <w:tabs>
          <w:tab w:val="right" w:leader="dot" w:pos="9485"/>
        </w:tabs>
        <w:spacing w:after="0"/>
        <w:ind w:left="442" w:hanging="442"/>
      </w:pPr>
      <w:r w:rsidRPr="005C3EC8">
        <w:rPr>
          <w:lang w:bidi="en-US"/>
        </w:rPr>
        <w:fldChar w:fldCharType="begin"/>
      </w:r>
      <w:r w:rsidRPr="005C3EC8">
        <w:rPr>
          <w:lang w:bidi="en-US"/>
        </w:rPr>
        <w:instrText xml:space="preserve"> TOC \c "Figure" </w:instrText>
      </w:r>
      <w:r w:rsidRPr="005C3EC8">
        <w:rPr>
          <w:lang w:bidi="en-US"/>
        </w:rPr>
        <w:fldChar w:fldCharType="separate"/>
      </w:r>
      <w:r w:rsidR="00B33EAB" w:rsidRPr="005C3EC8">
        <w:rPr>
          <w:lang w:bidi="en-US"/>
        </w:rPr>
        <w:t>Figure 1</w:t>
      </w:r>
      <w:r w:rsidR="009943C1" w:rsidRPr="005C3EC8">
        <w:rPr>
          <w:lang w:bidi="en-US"/>
        </w:rPr>
        <w:t xml:space="preserve"> </w:t>
      </w:r>
      <w:r w:rsidR="00B33EAB" w:rsidRPr="005C3EC8">
        <w:rPr>
          <w:rFonts w:eastAsia="Calibri"/>
          <w:lang w:bidi="en-US"/>
        </w:rPr>
        <w:t>– initial assessment card</w:t>
      </w:r>
      <w:r w:rsidR="00B33EAB" w:rsidRPr="005C3EC8">
        <w:tab/>
      </w:r>
      <w:r w:rsidR="000A673B">
        <w:t>9</w:t>
      </w:r>
      <w:r w:rsidRPr="005C3EC8">
        <w:fldChar w:fldCharType="end"/>
      </w:r>
    </w:p>
    <w:p w14:paraId="7D17DE67" w14:textId="694BFC48" w:rsidR="001F7E28" w:rsidRPr="005C3EC8" w:rsidRDefault="001F7E28" w:rsidP="001F7E28">
      <w:pPr>
        <w:pStyle w:val="TableofFigures"/>
        <w:tabs>
          <w:tab w:val="right" w:leader="dot" w:pos="9485"/>
        </w:tabs>
        <w:spacing w:after="0"/>
        <w:ind w:left="442" w:hanging="442"/>
      </w:pPr>
      <w:r w:rsidRPr="005C3EC8">
        <w:rPr>
          <w:lang w:bidi="en-US"/>
        </w:rPr>
        <w:fldChar w:fldCharType="begin"/>
      </w:r>
      <w:r w:rsidRPr="005C3EC8">
        <w:rPr>
          <w:lang w:bidi="en-US"/>
        </w:rPr>
        <w:instrText xml:space="preserve"> TOC \c "Figure" </w:instrText>
      </w:r>
      <w:r w:rsidRPr="005C3EC8">
        <w:rPr>
          <w:lang w:bidi="en-US"/>
        </w:rPr>
        <w:fldChar w:fldCharType="separate"/>
      </w:r>
      <w:r w:rsidRPr="005C3EC8">
        <w:rPr>
          <w:lang w:bidi="en-US"/>
        </w:rPr>
        <w:t xml:space="preserve">Figure 2 </w:t>
      </w:r>
      <w:r w:rsidRPr="005C3EC8">
        <w:rPr>
          <w:rFonts w:eastAsia="Calibri"/>
          <w:lang w:bidi="en-US"/>
        </w:rPr>
        <w:t>– Actual &amp; projected UK continental shelf oil and gas production</w:t>
      </w:r>
      <w:r w:rsidRPr="005C3EC8">
        <w:tab/>
        <w:t>1</w:t>
      </w:r>
      <w:r w:rsidR="000A673B">
        <w:t>4</w:t>
      </w:r>
      <w:r w:rsidRPr="005C3EC8">
        <w:fldChar w:fldCharType="end"/>
      </w:r>
    </w:p>
    <w:p w14:paraId="36EF1096" w14:textId="23F042E8" w:rsidR="000A673B" w:rsidRPr="005C3EC8" w:rsidRDefault="000A673B" w:rsidP="000A673B">
      <w:pPr>
        <w:pStyle w:val="TableofFigures"/>
        <w:tabs>
          <w:tab w:val="right" w:leader="dot" w:pos="9485"/>
        </w:tabs>
        <w:spacing w:after="0"/>
        <w:ind w:left="442" w:hanging="442"/>
      </w:pPr>
      <w:r w:rsidRPr="005C3EC8">
        <w:rPr>
          <w:lang w:bidi="en-US"/>
        </w:rPr>
        <w:fldChar w:fldCharType="begin"/>
      </w:r>
      <w:r w:rsidRPr="005C3EC8">
        <w:rPr>
          <w:lang w:bidi="en-US"/>
        </w:rPr>
        <w:instrText xml:space="preserve"> TOC \c "Figure" </w:instrText>
      </w:r>
      <w:r w:rsidRPr="005C3EC8">
        <w:rPr>
          <w:lang w:bidi="en-US"/>
        </w:rPr>
        <w:fldChar w:fldCharType="separate"/>
      </w:r>
      <w:r w:rsidRPr="005C3EC8">
        <w:rPr>
          <w:lang w:bidi="en-US"/>
        </w:rPr>
        <w:t xml:space="preserve">Figure </w:t>
      </w:r>
      <w:r>
        <w:rPr>
          <w:lang w:bidi="en-US"/>
        </w:rPr>
        <w:t>3</w:t>
      </w:r>
      <w:r w:rsidRPr="005C3EC8">
        <w:rPr>
          <w:lang w:bidi="en-US"/>
        </w:rPr>
        <w:t xml:space="preserve"> </w:t>
      </w:r>
      <w:r w:rsidRPr="005C3EC8">
        <w:rPr>
          <w:rFonts w:eastAsia="Calibri"/>
          <w:lang w:bidi="en-US"/>
        </w:rPr>
        <w:t xml:space="preserve">– </w:t>
      </w:r>
      <w:r w:rsidRPr="000A673B">
        <w:t>Visualisation of UK Civil Society, 2018</w:t>
      </w:r>
      <w:r w:rsidRPr="005C3EC8">
        <w:rPr>
          <w:rFonts w:eastAsia="Calibri"/>
          <w:lang w:bidi="en-US"/>
        </w:rPr>
        <w:t xml:space="preserve"> production</w:t>
      </w:r>
      <w:r w:rsidRPr="005C3EC8">
        <w:tab/>
      </w:r>
      <w:r>
        <w:t>23</w:t>
      </w:r>
      <w:r w:rsidRPr="005C3EC8">
        <w:fldChar w:fldCharType="end"/>
      </w:r>
    </w:p>
    <w:p w14:paraId="26EBE7B3" w14:textId="0F79484E" w:rsidR="000A673B" w:rsidRPr="000A673B" w:rsidRDefault="000A673B" w:rsidP="000A673B"/>
    <w:p w14:paraId="06E9AECD" w14:textId="33EE8C4D" w:rsidR="00764C60" w:rsidRPr="005C3EC8" w:rsidRDefault="000E06FA" w:rsidP="0097728B">
      <w:pPr>
        <w:pStyle w:val="TableofFigures"/>
        <w:tabs>
          <w:tab w:val="right" w:leader="dot" w:pos="9485"/>
        </w:tabs>
        <w:spacing w:after="0"/>
        <w:rPr>
          <w:rFonts w:asciiTheme="minorHAnsi" w:eastAsiaTheme="minorEastAsia" w:hAnsiTheme="minorHAnsi" w:cstheme="minorBidi"/>
          <w:noProof/>
          <w:lang w:eastAsia="nb-NO"/>
        </w:rPr>
      </w:pPr>
      <w:r w:rsidRPr="005C3EC8">
        <w:fldChar w:fldCharType="begin"/>
      </w:r>
      <w:r w:rsidRPr="005C3EC8">
        <w:instrText xml:space="preserve"> TOC \f t \t "Abbreviations;1" \c "Table" </w:instrText>
      </w:r>
      <w:r w:rsidRPr="005C3EC8">
        <w:fldChar w:fldCharType="separate"/>
      </w:r>
      <w:r w:rsidR="00764C60" w:rsidRPr="005C3EC8">
        <w:rPr>
          <w:noProof/>
          <w:lang w:bidi="en-US"/>
        </w:rPr>
        <w:t>Table 1</w:t>
      </w:r>
      <w:r w:rsidR="00764C60" w:rsidRPr="005C3EC8">
        <w:rPr>
          <w:noProof/>
          <w:color w:val="000000"/>
          <w:lang w:bidi="en-US"/>
        </w:rPr>
        <w:t xml:space="preserve"> – </w:t>
      </w:r>
      <w:r w:rsidR="00764C60" w:rsidRPr="005C3EC8">
        <w:rPr>
          <w:rFonts w:eastAsia="Calibri"/>
          <w:noProof/>
          <w:lang w:bidi="en-US"/>
        </w:rPr>
        <w:t>Summary initial assessment table: MSG oversight</w:t>
      </w:r>
      <w:r w:rsidR="00764C60" w:rsidRPr="005C3EC8">
        <w:rPr>
          <w:noProof/>
        </w:rPr>
        <w:tab/>
      </w:r>
      <w:r w:rsidR="00764C60" w:rsidRPr="005C3EC8">
        <w:rPr>
          <w:noProof/>
        </w:rPr>
        <w:fldChar w:fldCharType="begin"/>
      </w:r>
      <w:r w:rsidR="00764C60" w:rsidRPr="005C3EC8">
        <w:rPr>
          <w:noProof/>
        </w:rPr>
        <w:instrText xml:space="preserve"> PAGEREF _Toc485385502 \h </w:instrText>
      </w:r>
      <w:r w:rsidR="00764C60" w:rsidRPr="005C3EC8">
        <w:rPr>
          <w:noProof/>
        </w:rPr>
      </w:r>
      <w:r w:rsidR="00764C60" w:rsidRPr="005C3EC8">
        <w:rPr>
          <w:noProof/>
        </w:rPr>
        <w:fldChar w:fldCharType="separate"/>
      </w:r>
      <w:r w:rsidR="000A673B">
        <w:rPr>
          <w:noProof/>
        </w:rPr>
        <w:t>35</w:t>
      </w:r>
      <w:r w:rsidR="00764C60" w:rsidRPr="005C3EC8">
        <w:rPr>
          <w:noProof/>
        </w:rPr>
        <w:fldChar w:fldCharType="end"/>
      </w:r>
    </w:p>
    <w:p w14:paraId="4DE3A0B6" w14:textId="6576AD5E" w:rsidR="00764C60" w:rsidRPr="005C3EC8" w:rsidRDefault="00764C60" w:rsidP="0097728B">
      <w:pPr>
        <w:pStyle w:val="TableofFigures"/>
        <w:tabs>
          <w:tab w:val="right" w:leader="dot" w:pos="9485"/>
        </w:tabs>
        <w:spacing w:after="0"/>
        <w:rPr>
          <w:rFonts w:asciiTheme="minorHAnsi" w:eastAsiaTheme="minorEastAsia" w:hAnsiTheme="minorHAnsi" w:cstheme="minorBidi"/>
          <w:noProof/>
          <w:lang w:eastAsia="nb-NO"/>
        </w:rPr>
      </w:pPr>
      <w:r w:rsidRPr="005C3EC8">
        <w:rPr>
          <w:noProof/>
          <w:lang w:bidi="en-US"/>
        </w:rPr>
        <w:t>Table 2</w:t>
      </w:r>
      <w:r w:rsidR="009943C1" w:rsidRPr="005C3EC8">
        <w:rPr>
          <w:noProof/>
          <w:lang w:bidi="en-US"/>
        </w:rPr>
        <w:t xml:space="preserve"> </w:t>
      </w:r>
      <w:r w:rsidRPr="005C3EC8">
        <w:rPr>
          <w:noProof/>
          <w:color w:val="000000"/>
          <w:lang w:bidi="en-US"/>
        </w:rPr>
        <w:t xml:space="preserve">- </w:t>
      </w:r>
      <w:r w:rsidRPr="005C3EC8">
        <w:rPr>
          <w:rFonts w:eastAsia="Calibri"/>
          <w:noProof/>
          <w:lang w:bidi="en-US"/>
        </w:rPr>
        <w:t>Summary initial assessment table: Award of contracts and licenses</w:t>
      </w:r>
      <w:r w:rsidRPr="005C3EC8">
        <w:rPr>
          <w:noProof/>
        </w:rPr>
        <w:tab/>
      </w:r>
      <w:r w:rsidRPr="005C3EC8">
        <w:rPr>
          <w:noProof/>
        </w:rPr>
        <w:fldChar w:fldCharType="begin"/>
      </w:r>
      <w:r w:rsidRPr="005C3EC8">
        <w:rPr>
          <w:noProof/>
        </w:rPr>
        <w:instrText xml:space="preserve"> PAGEREF _Toc485385503 \h </w:instrText>
      </w:r>
      <w:r w:rsidRPr="005C3EC8">
        <w:rPr>
          <w:noProof/>
        </w:rPr>
      </w:r>
      <w:r w:rsidRPr="005C3EC8">
        <w:rPr>
          <w:noProof/>
        </w:rPr>
        <w:fldChar w:fldCharType="separate"/>
      </w:r>
      <w:r w:rsidR="000A673B">
        <w:rPr>
          <w:noProof/>
        </w:rPr>
        <w:t>65</w:t>
      </w:r>
      <w:r w:rsidRPr="005C3EC8">
        <w:rPr>
          <w:noProof/>
        </w:rPr>
        <w:fldChar w:fldCharType="end"/>
      </w:r>
    </w:p>
    <w:p w14:paraId="30994B16" w14:textId="511CA3E5" w:rsidR="00764C60" w:rsidRPr="005C3EC8" w:rsidRDefault="00764C60" w:rsidP="0097728B">
      <w:pPr>
        <w:pStyle w:val="TableofFigures"/>
        <w:tabs>
          <w:tab w:val="right" w:leader="dot" w:pos="9485"/>
        </w:tabs>
        <w:spacing w:after="0"/>
        <w:rPr>
          <w:rFonts w:asciiTheme="minorHAnsi" w:eastAsiaTheme="minorEastAsia" w:hAnsiTheme="minorHAnsi" w:cstheme="minorBidi"/>
          <w:noProof/>
          <w:lang w:eastAsia="nb-NO"/>
        </w:rPr>
      </w:pPr>
      <w:r w:rsidRPr="005C3EC8">
        <w:rPr>
          <w:noProof/>
          <w:lang w:bidi="en-US"/>
        </w:rPr>
        <w:t>Table 3</w:t>
      </w:r>
      <w:r w:rsidR="009943C1" w:rsidRPr="005C3EC8">
        <w:rPr>
          <w:noProof/>
          <w:lang w:bidi="en-US"/>
        </w:rPr>
        <w:t xml:space="preserve"> </w:t>
      </w:r>
      <w:r w:rsidRPr="005C3EC8">
        <w:rPr>
          <w:noProof/>
          <w:lang w:bidi="en-US"/>
        </w:rPr>
        <w:t xml:space="preserve">- </w:t>
      </w:r>
      <w:r w:rsidRPr="005C3EC8">
        <w:rPr>
          <w:noProof/>
          <w:color w:val="000000"/>
          <w:lang w:bidi="en-US"/>
        </w:rPr>
        <w:t xml:space="preserve"> </w:t>
      </w:r>
      <w:r w:rsidRPr="005C3EC8">
        <w:rPr>
          <w:rFonts w:eastAsia="Calibri"/>
          <w:noProof/>
          <w:lang w:bidi="en-US"/>
        </w:rPr>
        <w:t>Summary initial assessment table: Monitoring and production</w:t>
      </w:r>
      <w:r w:rsidRPr="005C3EC8">
        <w:rPr>
          <w:noProof/>
        </w:rPr>
        <w:tab/>
      </w:r>
      <w:r w:rsidRPr="005C3EC8">
        <w:rPr>
          <w:noProof/>
        </w:rPr>
        <w:fldChar w:fldCharType="begin"/>
      </w:r>
      <w:r w:rsidRPr="005C3EC8">
        <w:rPr>
          <w:noProof/>
        </w:rPr>
        <w:instrText xml:space="preserve"> PAGEREF _Toc485385504 \h </w:instrText>
      </w:r>
      <w:r w:rsidRPr="005C3EC8">
        <w:rPr>
          <w:noProof/>
        </w:rPr>
      </w:r>
      <w:r w:rsidRPr="005C3EC8">
        <w:rPr>
          <w:noProof/>
        </w:rPr>
        <w:fldChar w:fldCharType="separate"/>
      </w:r>
      <w:r w:rsidR="000A673B">
        <w:rPr>
          <w:noProof/>
        </w:rPr>
        <w:t>74</w:t>
      </w:r>
      <w:r w:rsidRPr="005C3EC8">
        <w:rPr>
          <w:noProof/>
        </w:rPr>
        <w:fldChar w:fldCharType="end"/>
      </w:r>
    </w:p>
    <w:p w14:paraId="03E24870" w14:textId="703F9237" w:rsidR="00764C60" w:rsidRPr="005C3EC8" w:rsidRDefault="00764C60" w:rsidP="0097728B">
      <w:pPr>
        <w:pStyle w:val="TableofFigures"/>
        <w:tabs>
          <w:tab w:val="right" w:leader="dot" w:pos="9485"/>
        </w:tabs>
        <w:spacing w:after="0"/>
        <w:rPr>
          <w:rFonts w:asciiTheme="minorHAnsi" w:eastAsiaTheme="minorEastAsia" w:hAnsiTheme="minorHAnsi" w:cstheme="minorBidi"/>
          <w:noProof/>
          <w:lang w:eastAsia="nb-NO"/>
        </w:rPr>
      </w:pPr>
      <w:r w:rsidRPr="005C3EC8">
        <w:rPr>
          <w:noProof/>
          <w:lang w:bidi="en-US"/>
        </w:rPr>
        <w:t>Table 4</w:t>
      </w:r>
      <w:r w:rsidR="009943C1" w:rsidRPr="005C3EC8">
        <w:rPr>
          <w:noProof/>
          <w:lang w:bidi="en-US"/>
        </w:rPr>
        <w:t xml:space="preserve"> </w:t>
      </w:r>
      <w:r w:rsidRPr="005C3EC8">
        <w:rPr>
          <w:noProof/>
          <w:color w:val="000000"/>
          <w:lang w:bidi="en-US"/>
        </w:rPr>
        <w:t xml:space="preserve">- </w:t>
      </w:r>
      <w:r w:rsidRPr="005C3EC8">
        <w:rPr>
          <w:rFonts w:eastAsia="Calibri"/>
          <w:noProof/>
          <w:lang w:bidi="en-US"/>
        </w:rPr>
        <w:t>Summary initial assessment table: Revenue collection</w:t>
      </w:r>
      <w:r w:rsidRPr="005C3EC8">
        <w:rPr>
          <w:noProof/>
        </w:rPr>
        <w:tab/>
      </w:r>
      <w:r w:rsidRPr="005C3EC8">
        <w:rPr>
          <w:noProof/>
        </w:rPr>
        <w:fldChar w:fldCharType="begin"/>
      </w:r>
      <w:r w:rsidRPr="005C3EC8">
        <w:rPr>
          <w:noProof/>
        </w:rPr>
        <w:instrText xml:space="preserve"> PAGEREF _Toc485385505 \h </w:instrText>
      </w:r>
      <w:r w:rsidRPr="005C3EC8">
        <w:rPr>
          <w:noProof/>
        </w:rPr>
      </w:r>
      <w:r w:rsidRPr="005C3EC8">
        <w:rPr>
          <w:noProof/>
        </w:rPr>
        <w:fldChar w:fldCharType="separate"/>
      </w:r>
      <w:r w:rsidR="000A673B">
        <w:rPr>
          <w:noProof/>
        </w:rPr>
        <w:t>97</w:t>
      </w:r>
      <w:r w:rsidRPr="005C3EC8">
        <w:rPr>
          <w:noProof/>
        </w:rPr>
        <w:fldChar w:fldCharType="end"/>
      </w:r>
    </w:p>
    <w:p w14:paraId="1B01A211" w14:textId="1884DB4F" w:rsidR="00764C60" w:rsidRPr="005C3EC8" w:rsidRDefault="00764C60" w:rsidP="0097728B">
      <w:pPr>
        <w:pStyle w:val="TableofFigures"/>
        <w:tabs>
          <w:tab w:val="right" w:leader="dot" w:pos="9485"/>
        </w:tabs>
        <w:spacing w:after="0"/>
        <w:rPr>
          <w:rFonts w:asciiTheme="minorHAnsi" w:eastAsiaTheme="minorEastAsia" w:hAnsiTheme="minorHAnsi" w:cstheme="minorBidi"/>
          <w:noProof/>
          <w:lang w:eastAsia="nb-NO"/>
        </w:rPr>
      </w:pPr>
      <w:r w:rsidRPr="005C3EC8">
        <w:rPr>
          <w:noProof/>
          <w:lang w:bidi="en-US"/>
        </w:rPr>
        <w:t>Table 5</w:t>
      </w:r>
      <w:r w:rsidRPr="005C3EC8">
        <w:rPr>
          <w:noProof/>
          <w:color w:val="000000"/>
          <w:lang w:bidi="en-US"/>
        </w:rPr>
        <w:t xml:space="preserve"> - </w:t>
      </w:r>
      <w:r w:rsidRPr="005C3EC8">
        <w:rPr>
          <w:rFonts w:eastAsia="Calibri"/>
          <w:noProof/>
          <w:lang w:bidi="en-US"/>
        </w:rPr>
        <w:t>Summary initial assessment table: Revenue management and distribution</w:t>
      </w:r>
      <w:r w:rsidRPr="005C3EC8">
        <w:rPr>
          <w:noProof/>
        </w:rPr>
        <w:tab/>
      </w:r>
      <w:r w:rsidRPr="005C3EC8">
        <w:rPr>
          <w:noProof/>
        </w:rPr>
        <w:fldChar w:fldCharType="begin"/>
      </w:r>
      <w:r w:rsidRPr="005C3EC8">
        <w:rPr>
          <w:noProof/>
        </w:rPr>
        <w:instrText xml:space="preserve"> PAGEREF _Toc485385506 \h </w:instrText>
      </w:r>
      <w:r w:rsidRPr="005C3EC8">
        <w:rPr>
          <w:noProof/>
        </w:rPr>
      </w:r>
      <w:r w:rsidRPr="005C3EC8">
        <w:rPr>
          <w:noProof/>
        </w:rPr>
        <w:fldChar w:fldCharType="separate"/>
      </w:r>
      <w:r w:rsidR="000A673B">
        <w:rPr>
          <w:noProof/>
        </w:rPr>
        <w:t>105</w:t>
      </w:r>
      <w:r w:rsidRPr="005C3EC8">
        <w:rPr>
          <w:noProof/>
        </w:rPr>
        <w:fldChar w:fldCharType="end"/>
      </w:r>
    </w:p>
    <w:p w14:paraId="28B3348D" w14:textId="53503B52" w:rsidR="00764C60" w:rsidRPr="005C3EC8" w:rsidRDefault="00764C60" w:rsidP="0097728B">
      <w:pPr>
        <w:pStyle w:val="TableofFigures"/>
        <w:tabs>
          <w:tab w:val="right" w:leader="dot" w:pos="9485"/>
        </w:tabs>
        <w:spacing w:after="0"/>
        <w:rPr>
          <w:rFonts w:asciiTheme="minorHAnsi" w:eastAsiaTheme="minorEastAsia" w:hAnsiTheme="minorHAnsi" w:cstheme="minorBidi"/>
          <w:noProof/>
          <w:lang w:eastAsia="nb-NO"/>
        </w:rPr>
      </w:pPr>
      <w:r w:rsidRPr="005C3EC8">
        <w:rPr>
          <w:noProof/>
          <w:lang w:bidi="en-US"/>
        </w:rPr>
        <w:t>Table 6</w:t>
      </w:r>
      <w:r w:rsidR="009943C1" w:rsidRPr="005C3EC8">
        <w:rPr>
          <w:noProof/>
          <w:lang w:bidi="en-US"/>
        </w:rPr>
        <w:t xml:space="preserve"> </w:t>
      </w:r>
      <w:r w:rsidRPr="005C3EC8">
        <w:rPr>
          <w:noProof/>
          <w:color w:val="000000"/>
          <w:lang w:bidi="en-US"/>
        </w:rPr>
        <w:t xml:space="preserve">- </w:t>
      </w:r>
      <w:r w:rsidRPr="005C3EC8">
        <w:rPr>
          <w:rFonts w:eastAsia="Calibri"/>
          <w:noProof/>
          <w:lang w:bidi="en-US"/>
        </w:rPr>
        <w:t>Summary initial assessment table: Social and economic spending</w:t>
      </w:r>
      <w:r w:rsidRPr="005C3EC8">
        <w:rPr>
          <w:noProof/>
        </w:rPr>
        <w:tab/>
      </w:r>
      <w:r w:rsidRPr="005C3EC8">
        <w:rPr>
          <w:noProof/>
        </w:rPr>
        <w:fldChar w:fldCharType="begin"/>
      </w:r>
      <w:r w:rsidRPr="005C3EC8">
        <w:rPr>
          <w:noProof/>
        </w:rPr>
        <w:instrText xml:space="preserve"> PAGEREF _Toc485385507 \h </w:instrText>
      </w:r>
      <w:r w:rsidRPr="005C3EC8">
        <w:rPr>
          <w:noProof/>
        </w:rPr>
      </w:r>
      <w:r w:rsidRPr="005C3EC8">
        <w:rPr>
          <w:noProof/>
        </w:rPr>
        <w:fldChar w:fldCharType="separate"/>
      </w:r>
      <w:r w:rsidR="000A673B">
        <w:rPr>
          <w:noProof/>
        </w:rPr>
        <w:t>111</w:t>
      </w:r>
      <w:r w:rsidRPr="005C3EC8">
        <w:rPr>
          <w:noProof/>
        </w:rPr>
        <w:fldChar w:fldCharType="end"/>
      </w:r>
    </w:p>
    <w:p w14:paraId="7DF3DEE9" w14:textId="58A160AF" w:rsidR="00764C60" w:rsidRPr="005C3EC8" w:rsidRDefault="00764C60" w:rsidP="0097728B">
      <w:pPr>
        <w:pStyle w:val="TableofFigures"/>
        <w:tabs>
          <w:tab w:val="right" w:leader="dot" w:pos="9485"/>
        </w:tabs>
        <w:spacing w:after="0"/>
        <w:rPr>
          <w:rFonts w:asciiTheme="minorHAnsi" w:eastAsiaTheme="minorEastAsia" w:hAnsiTheme="minorHAnsi" w:cstheme="minorBidi"/>
          <w:noProof/>
          <w:lang w:eastAsia="nb-NO"/>
        </w:rPr>
      </w:pPr>
      <w:r w:rsidRPr="005C3EC8">
        <w:rPr>
          <w:noProof/>
          <w:lang w:bidi="en-US"/>
        </w:rPr>
        <w:t>Table 7</w:t>
      </w:r>
      <w:r w:rsidRPr="005C3EC8">
        <w:rPr>
          <w:noProof/>
          <w:color w:val="000000"/>
          <w:lang w:bidi="en-US"/>
        </w:rPr>
        <w:t xml:space="preserve"> - </w:t>
      </w:r>
      <w:r w:rsidRPr="005C3EC8">
        <w:rPr>
          <w:rFonts w:eastAsia="Calibri"/>
          <w:noProof/>
          <w:lang w:bidi="en-US"/>
        </w:rPr>
        <w:t>Summary initial assessment table: Outcomes and impact</w:t>
      </w:r>
      <w:r w:rsidRPr="005C3EC8">
        <w:rPr>
          <w:noProof/>
        </w:rPr>
        <w:tab/>
      </w:r>
      <w:r w:rsidRPr="005C3EC8">
        <w:rPr>
          <w:noProof/>
        </w:rPr>
        <w:fldChar w:fldCharType="begin"/>
      </w:r>
      <w:r w:rsidRPr="005C3EC8">
        <w:rPr>
          <w:noProof/>
        </w:rPr>
        <w:instrText xml:space="preserve"> PAGEREF _Toc485385508 \h </w:instrText>
      </w:r>
      <w:r w:rsidRPr="005C3EC8">
        <w:rPr>
          <w:noProof/>
        </w:rPr>
      </w:r>
      <w:r w:rsidRPr="005C3EC8">
        <w:rPr>
          <w:noProof/>
        </w:rPr>
        <w:fldChar w:fldCharType="separate"/>
      </w:r>
      <w:r w:rsidR="000A673B">
        <w:rPr>
          <w:noProof/>
        </w:rPr>
        <w:t>117</w:t>
      </w:r>
      <w:r w:rsidRPr="005C3EC8">
        <w:rPr>
          <w:noProof/>
        </w:rPr>
        <w:fldChar w:fldCharType="end"/>
      </w:r>
    </w:p>
    <w:p w14:paraId="79DA3E5A" w14:textId="6A2EF743" w:rsidR="000E06FA" w:rsidRPr="005C3EC8" w:rsidRDefault="000E06FA" w:rsidP="0097728B">
      <w:pPr>
        <w:pStyle w:val="TableofFigures"/>
        <w:spacing w:after="0"/>
        <w:ind w:left="442" w:hanging="442"/>
      </w:pPr>
      <w:r w:rsidRPr="005C3EC8">
        <w:fldChar w:fldCharType="end"/>
      </w:r>
    </w:p>
    <w:p w14:paraId="529989AD" w14:textId="4496FDF4" w:rsidR="00B33EAB" w:rsidRPr="005C3EC8" w:rsidRDefault="00B33EAB" w:rsidP="00B33EAB">
      <w:pPr>
        <w:widowControl/>
        <w:suppressAutoHyphens w:val="0"/>
        <w:spacing w:after="0" w:line="240" w:lineRule="auto"/>
        <w:rPr>
          <w:rFonts w:ascii="Calibri" w:hAnsi="Calibri"/>
          <w:b/>
          <w:bCs/>
          <w:color w:val="365F91"/>
        </w:rPr>
      </w:pPr>
    </w:p>
    <w:p w14:paraId="6875BDD4" w14:textId="77777777" w:rsidR="00AD33A3" w:rsidRPr="005C3EC8" w:rsidRDefault="00AD33A3" w:rsidP="00764C60">
      <w:pPr>
        <w:pStyle w:val="Heading1"/>
        <w:sectPr w:rsidR="00AD33A3" w:rsidRPr="005C3EC8" w:rsidSect="007364B0">
          <w:headerReference w:type="default" r:id="rId17"/>
          <w:headerReference w:type="first" r:id="rId18"/>
          <w:pgSz w:w="11905" w:h="16837"/>
          <w:pgMar w:top="1175" w:right="1276" w:bottom="1418" w:left="1134" w:header="567" w:footer="364" w:gutter="0"/>
          <w:cols w:space="708"/>
          <w:titlePg/>
          <w:docGrid w:linePitch="326"/>
        </w:sectPr>
      </w:pPr>
      <w:bookmarkStart w:id="22" w:name="_Toc461803022"/>
      <w:bookmarkStart w:id="23" w:name="_Toc461787303"/>
      <w:bookmarkStart w:id="24" w:name="_Toc461795824"/>
      <w:bookmarkStart w:id="25" w:name="_Toc462149171"/>
    </w:p>
    <w:p w14:paraId="548FC528" w14:textId="48D73DB6" w:rsidR="00A9042C" w:rsidRPr="005C3EC8" w:rsidRDefault="00B517AB" w:rsidP="00764C60">
      <w:pPr>
        <w:pStyle w:val="Heading1"/>
      </w:pPr>
      <w:r w:rsidRPr="005C3EC8">
        <w:lastRenderedPageBreak/>
        <w:t>Executive Summary</w:t>
      </w:r>
      <w:bookmarkEnd w:id="22"/>
      <w:bookmarkEnd w:id="23"/>
      <w:bookmarkEnd w:id="24"/>
      <w:bookmarkEnd w:id="25"/>
    </w:p>
    <w:p w14:paraId="5FC19E79" w14:textId="2BB61C35" w:rsidR="00C265A6" w:rsidRPr="005C3EC8" w:rsidRDefault="006B04D0" w:rsidP="00505211">
      <w:pPr>
        <w:rPr>
          <w:rFonts w:ascii="Calibri" w:hAnsi="Calibri"/>
        </w:rPr>
      </w:pPr>
      <w:bookmarkStart w:id="26" w:name="_Toc459105652"/>
      <w:r w:rsidRPr="005C3EC8">
        <w:t xml:space="preserve">The United Kingdom (UK) became an EITI implementing country in October 2014 after submitting a candidature application in August 2014. </w:t>
      </w:r>
      <w:r w:rsidR="00C265A6" w:rsidRPr="005C3EC8">
        <w:t xml:space="preserve">A multi-stakeholder group (MSG) was formed and has overseen the publication of </w:t>
      </w:r>
      <w:r w:rsidRPr="005C3EC8">
        <w:rPr>
          <w:rFonts w:ascii="Calibri" w:hAnsi="Calibri"/>
        </w:rPr>
        <w:t xml:space="preserve">four EITI </w:t>
      </w:r>
      <w:r w:rsidR="008E693F" w:rsidRPr="005C3EC8">
        <w:rPr>
          <w:rFonts w:ascii="Calibri" w:hAnsi="Calibri"/>
        </w:rPr>
        <w:t>r</w:t>
      </w:r>
      <w:r w:rsidRPr="005C3EC8">
        <w:rPr>
          <w:rFonts w:ascii="Calibri" w:hAnsi="Calibri"/>
        </w:rPr>
        <w:t>eports covering the years 2014 - 2017. On 25 October 2016, the Board agreed that the UK’s Validation under the 2016 EITI Standard would commence on 1 July 2018</w:t>
      </w:r>
      <w:r w:rsidRPr="005C3EC8">
        <w:rPr>
          <w:rStyle w:val="FootnoteReference"/>
          <w:rFonts w:ascii="Calibri" w:hAnsi="Calibri"/>
        </w:rPr>
        <w:footnoteReference w:id="2"/>
      </w:r>
      <w:r w:rsidRPr="005C3EC8">
        <w:rPr>
          <w:rFonts w:ascii="Calibri" w:hAnsi="Calibri"/>
        </w:rPr>
        <w:t>.</w:t>
      </w:r>
      <w:r w:rsidR="00505211" w:rsidRPr="005C3EC8">
        <w:rPr>
          <w:rFonts w:ascii="Calibri" w:hAnsi="Calibri"/>
        </w:rPr>
        <w:t xml:space="preserve"> </w:t>
      </w:r>
    </w:p>
    <w:p w14:paraId="17DF5D37" w14:textId="0BA9B505" w:rsidR="00505211" w:rsidRPr="005C3EC8" w:rsidRDefault="006B04D0" w:rsidP="00505211">
      <w:pPr>
        <w:rPr>
          <w:rFonts w:ascii="Calibri" w:hAnsi="Calibri"/>
        </w:rPr>
      </w:pPr>
      <w:r w:rsidRPr="005C3EC8">
        <w:rPr>
          <w:rFonts w:ascii="Calibri" w:hAnsi="Calibri"/>
        </w:rPr>
        <w:t>This report presents the findings and initial assessment of the International</w:t>
      </w:r>
      <w:r w:rsidR="00505211" w:rsidRPr="005C3EC8">
        <w:rPr>
          <w:rFonts w:ascii="Calibri" w:hAnsi="Calibri"/>
        </w:rPr>
        <w:t xml:space="preserve"> </w:t>
      </w:r>
      <w:r w:rsidRPr="005C3EC8">
        <w:rPr>
          <w:rFonts w:ascii="Calibri" w:hAnsi="Calibri"/>
        </w:rPr>
        <w:t>Secretariat’s data gathering and stakeholder consultations. The International Secretariat has followed the</w:t>
      </w:r>
      <w:r w:rsidR="00505211" w:rsidRPr="005C3EC8">
        <w:rPr>
          <w:rFonts w:ascii="Calibri" w:hAnsi="Calibri"/>
        </w:rPr>
        <w:t xml:space="preserve"> </w:t>
      </w:r>
      <w:r w:rsidRPr="005C3EC8">
        <w:rPr>
          <w:rFonts w:ascii="Calibri" w:hAnsi="Calibri"/>
        </w:rPr>
        <w:t>Validation Procedures</w:t>
      </w:r>
      <w:r w:rsidR="00505211" w:rsidRPr="005C3EC8">
        <w:rPr>
          <w:rFonts w:ascii="Calibri" w:hAnsi="Calibri"/>
        </w:rPr>
        <w:t xml:space="preserve"> </w:t>
      </w:r>
      <w:r w:rsidRPr="005C3EC8">
        <w:rPr>
          <w:rFonts w:ascii="Calibri" w:hAnsi="Calibri"/>
        </w:rPr>
        <w:t>and applied the Validation Guide</w:t>
      </w:r>
      <w:r w:rsidR="00505211" w:rsidRPr="005C3EC8">
        <w:rPr>
          <w:rFonts w:ascii="Calibri" w:hAnsi="Calibri"/>
        </w:rPr>
        <w:t xml:space="preserve"> </w:t>
      </w:r>
      <w:r w:rsidRPr="005C3EC8">
        <w:rPr>
          <w:rFonts w:ascii="Calibri" w:hAnsi="Calibri"/>
        </w:rPr>
        <w:t xml:space="preserve">in assessing </w:t>
      </w:r>
      <w:r w:rsidR="00505211" w:rsidRPr="005C3EC8">
        <w:rPr>
          <w:rFonts w:ascii="Calibri" w:hAnsi="Calibri"/>
        </w:rPr>
        <w:t xml:space="preserve">the UK’s </w:t>
      </w:r>
      <w:r w:rsidRPr="005C3EC8">
        <w:rPr>
          <w:rFonts w:ascii="Calibri" w:hAnsi="Calibri"/>
        </w:rPr>
        <w:t>progress with the</w:t>
      </w:r>
      <w:r w:rsidR="00505211" w:rsidRPr="005C3EC8">
        <w:rPr>
          <w:rFonts w:ascii="Calibri" w:hAnsi="Calibri"/>
        </w:rPr>
        <w:t xml:space="preserve"> </w:t>
      </w:r>
      <w:r w:rsidR="008E693F" w:rsidRPr="005C3EC8">
        <w:rPr>
          <w:rFonts w:ascii="Calibri" w:hAnsi="Calibri"/>
        </w:rPr>
        <w:t xml:space="preserve">2016 </w:t>
      </w:r>
      <w:r w:rsidRPr="005C3EC8">
        <w:rPr>
          <w:rFonts w:ascii="Calibri" w:hAnsi="Calibri"/>
        </w:rPr>
        <w:t>EITI Standard.</w:t>
      </w:r>
      <w:r w:rsidR="00505211" w:rsidRPr="005C3EC8">
        <w:rPr>
          <w:rFonts w:ascii="Calibri" w:hAnsi="Calibri"/>
        </w:rPr>
        <w:t xml:space="preserve"> </w:t>
      </w:r>
      <w:r w:rsidRPr="005C3EC8">
        <w:rPr>
          <w:rFonts w:ascii="Calibri" w:hAnsi="Calibri"/>
        </w:rPr>
        <w:t>While the assessment has not</w:t>
      </w:r>
      <w:r w:rsidR="00505211" w:rsidRPr="005C3EC8">
        <w:rPr>
          <w:rFonts w:ascii="Calibri" w:hAnsi="Calibri"/>
        </w:rPr>
        <w:t xml:space="preserve"> </w:t>
      </w:r>
      <w:r w:rsidRPr="005C3EC8">
        <w:rPr>
          <w:rFonts w:ascii="Calibri" w:hAnsi="Calibri"/>
        </w:rPr>
        <w:t>yet been reviewed by the MSG or been quality assured</w:t>
      </w:r>
      <w:r w:rsidR="00505211" w:rsidRPr="005C3EC8">
        <w:rPr>
          <w:rFonts w:ascii="Calibri" w:hAnsi="Calibri"/>
        </w:rPr>
        <w:t xml:space="preserve"> by the independent validator</w:t>
      </w:r>
      <w:r w:rsidRPr="005C3EC8">
        <w:rPr>
          <w:rFonts w:ascii="Calibri" w:hAnsi="Calibri"/>
        </w:rPr>
        <w:t>, the Secretariat’s</w:t>
      </w:r>
      <w:r w:rsidR="00505211" w:rsidRPr="005C3EC8">
        <w:rPr>
          <w:rFonts w:ascii="Calibri" w:hAnsi="Calibri"/>
        </w:rPr>
        <w:t xml:space="preserve"> </w:t>
      </w:r>
      <w:r w:rsidRPr="005C3EC8">
        <w:rPr>
          <w:rFonts w:ascii="Calibri" w:hAnsi="Calibri"/>
        </w:rPr>
        <w:t>preliminary assessment is</w:t>
      </w:r>
      <w:r w:rsidR="00505211" w:rsidRPr="005C3EC8">
        <w:rPr>
          <w:rFonts w:ascii="Calibri" w:hAnsi="Calibri"/>
        </w:rPr>
        <w:t xml:space="preserve"> </w:t>
      </w:r>
      <w:r w:rsidRPr="005C3EC8">
        <w:rPr>
          <w:rFonts w:ascii="Calibri" w:hAnsi="Calibri"/>
        </w:rPr>
        <w:t>that</w:t>
      </w:r>
      <w:r w:rsidR="00505211" w:rsidRPr="005C3EC8">
        <w:rPr>
          <w:rFonts w:ascii="Calibri" w:hAnsi="Calibri"/>
        </w:rPr>
        <w:t xml:space="preserve"> </w:t>
      </w:r>
      <w:r w:rsidR="00691059" w:rsidRPr="005C3EC8">
        <w:rPr>
          <w:rFonts w:ascii="Calibri" w:hAnsi="Calibri"/>
        </w:rPr>
        <w:t xml:space="preserve">much progress has been achieved in the process.  However, </w:t>
      </w:r>
      <w:r w:rsidR="004E2EAE">
        <w:rPr>
          <w:rFonts w:ascii="Calibri" w:hAnsi="Calibri"/>
        </w:rPr>
        <w:t>eight</w:t>
      </w:r>
      <w:r w:rsidR="00505211" w:rsidRPr="005C3EC8">
        <w:rPr>
          <w:rFonts w:ascii="Calibri" w:hAnsi="Calibri"/>
        </w:rPr>
        <w:t xml:space="preserve"> requirements are assessed as unmet with meaningful progress. The corrective actions identified through this assessment relate to civil society engagement and MSG oversight (</w:t>
      </w:r>
      <w:r w:rsidR="00505211" w:rsidRPr="005C3EC8">
        <w:rPr>
          <w:rFonts w:ascii="Calibri" w:hAnsi="Calibri"/>
          <w:i/>
        </w:rPr>
        <w:t>see Requirements 1.3 and 1.4</w:t>
      </w:r>
      <w:r w:rsidR="00505211" w:rsidRPr="005C3EC8">
        <w:rPr>
          <w:rFonts w:ascii="Calibri" w:hAnsi="Calibri"/>
        </w:rPr>
        <w:t>), license allocation and registers (</w:t>
      </w:r>
      <w:r w:rsidR="00505211" w:rsidRPr="005C3EC8">
        <w:rPr>
          <w:rFonts w:ascii="Calibri" w:hAnsi="Calibri"/>
          <w:i/>
        </w:rPr>
        <w:t>see Requirements 2.2 and 2.3</w:t>
      </w:r>
      <w:r w:rsidR="00505211" w:rsidRPr="005C3EC8">
        <w:rPr>
          <w:rFonts w:ascii="Calibri" w:hAnsi="Calibri"/>
        </w:rPr>
        <w:t>), production and export data (</w:t>
      </w:r>
      <w:r w:rsidR="00505211" w:rsidRPr="005C3EC8">
        <w:rPr>
          <w:rFonts w:ascii="Calibri" w:hAnsi="Calibri"/>
          <w:i/>
        </w:rPr>
        <w:t>see Requirements 3.2 and 3.3</w:t>
      </w:r>
      <w:r w:rsidR="00505211" w:rsidRPr="005C3EC8">
        <w:rPr>
          <w:rFonts w:ascii="Calibri" w:hAnsi="Calibri"/>
        </w:rPr>
        <w:t xml:space="preserve">), the reporting of social expenditures </w:t>
      </w:r>
      <w:r w:rsidR="00691059" w:rsidRPr="005C3EC8">
        <w:rPr>
          <w:rFonts w:ascii="Calibri" w:hAnsi="Calibri"/>
        </w:rPr>
        <w:t xml:space="preserve">by companies </w:t>
      </w:r>
      <w:r w:rsidR="00505211" w:rsidRPr="005C3EC8">
        <w:rPr>
          <w:rFonts w:ascii="Calibri" w:hAnsi="Calibri"/>
        </w:rPr>
        <w:t>(</w:t>
      </w:r>
      <w:r w:rsidR="00505211" w:rsidRPr="005C3EC8">
        <w:rPr>
          <w:rFonts w:ascii="Calibri" w:hAnsi="Calibri"/>
          <w:i/>
        </w:rPr>
        <w:t>see Requirement 6.1)</w:t>
      </w:r>
      <w:r w:rsidR="004E2EAE">
        <w:rPr>
          <w:rFonts w:ascii="Calibri" w:hAnsi="Calibri"/>
          <w:i/>
        </w:rPr>
        <w:t xml:space="preserve"> </w:t>
      </w:r>
      <w:r w:rsidR="004E2EAE" w:rsidRPr="004E2EAE">
        <w:rPr>
          <w:rFonts w:ascii="Calibri" w:hAnsi="Calibri"/>
          <w:iCs/>
        </w:rPr>
        <w:t>and</w:t>
      </w:r>
      <w:r w:rsidR="004E2EAE">
        <w:rPr>
          <w:rFonts w:ascii="Calibri" w:hAnsi="Calibri"/>
          <w:iCs/>
        </w:rPr>
        <w:t xml:space="preserve"> reviewing the </w:t>
      </w:r>
      <w:r w:rsidR="004E2EAE" w:rsidRPr="004E2EAE">
        <w:rPr>
          <w:rFonts w:ascii="Calibri" w:hAnsi="Calibri"/>
          <w:iCs/>
        </w:rPr>
        <w:t>outcomes and impact of implementation</w:t>
      </w:r>
      <w:r w:rsidR="004E2EAE">
        <w:rPr>
          <w:rFonts w:ascii="Calibri" w:hAnsi="Calibri"/>
          <w:i/>
        </w:rPr>
        <w:t xml:space="preserve"> (Requirement 7.4)</w:t>
      </w:r>
      <w:r w:rsidR="00505211" w:rsidRPr="005C3EC8">
        <w:rPr>
          <w:rFonts w:ascii="Calibri" w:hAnsi="Calibri"/>
        </w:rPr>
        <w:t>.</w:t>
      </w:r>
    </w:p>
    <w:p w14:paraId="4CD076B8" w14:textId="7480D2DA" w:rsidR="00B517AB" w:rsidRPr="005C3EC8" w:rsidRDefault="00B517AB">
      <w:pPr>
        <w:pStyle w:val="Heading2notindexed"/>
      </w:pPr>
      <w:bookmarkStart w:id="27" w:name="_Toc461803023"/>
      <w:bookmarkStart w:id="28" w:name="_Toc461787304"/>
      <w:r w:rsidRPr="005C3EC8">
        <w:t>Overall conclusions</w:t>
      </w:r>
      <w:bookmarkEnd w:id="26"/>
      <w:bookmarkEnd w:id="27"/>
      <w:bookmarkEnd w:id="28"/>
    </w:p>
    <w:p w14:paraId="5C09FDD7" w14:textId="2CCABA73" w:rsidR="00505211" w:rsidRPr="005C3EC8" w:rsidRDefault="00505211" w:rsidP="00505211">
      <w:pPr>
        <w:rPr>
          <w:rFonts w:ascii="Calibri" w:hAnsi="Calibri"/>
        </w:rPr>
      </w:pPr>
      <w:r w:rsidRPr="005C3EC8">
        <w:rPr>
          <w:rFonts w:ascii="Calibri" w:hAnsi="Calibri"/>
        </w:rPr>
        <w:t xml:space="preserve">EITI implementation in the UK has two mutually reinforcing objectives. Domestically, the UK EITI aims to increase public understanding of the social and economic impacts of the UK's extractive industries and enrich public debate on the governance and stewardship of the UK's oil, gas and mineral resources. This is achieved by working to ensure that essential information to inform </w:t>
      </w:r>
      <w:r w:rsidR="00863052" w:rsidRPr="005C3EC8">
        <w:rPr>
          <w:rFonts w:ascii="Calibri" w:hAnsi="Calibri"/>
        </w:rPr>
        <w:t>public</w:t>
      </w:r>
      <w:r w:rsidRPr="005C3EC8">
        <w:rPr>
          <w:rFonts w:ascii="Calibri" w:hAnsi="Calibri"/>
        </w:rPr>
        <w:t xml:space="preserve"> debate is accessible and presented to the public in a clear manner. Internationally, EITI implementation supports the UK government’s championing of extractives transparency and open government. UK industry and civil society have strongly supported these efforts. </w:t>
      </w:r>
      <w:r w:rsidR="00863052" w:rsidRPr="005C3EC8">
        <w:rPr>
          <w:rFonts w:ascii="Calibri" w:hAnsi="Calibri"/>
        </w:rPr>
        <w:t xml:space="preserve">UK EITI stakeholders agree that, </w:t>
      </w:r>
      <w:r w:rsidRPr="005C3EC8">
        <w:rPr>
          <w:rFonts w:ascii="Calibri" w:hAnsi="Calibri"/>
        </w:rPr>
        <w:t xml:space="preserve">having helped establish the EITI globally, the UK should “practice what </w:t>
      </w:r>
      <w:r w:rsidR="00C265A6" w:rsidRPr="005C3EC8">
        <w:rPr>
          <w:rFonts w:ascii="Calibri" w:hAnsi="Calibri"/>
        </w:rPr>
        <w:t>we</w:t>
      </w:r>
      <w:r w:rsidRPr="005C3EC8">
        <w:rPr>
          <w:rFonts w:ascii="Calibri" w:hAnsi="Calibri"/>
        </w:rPr>
        <w:t xml:space="preserve"> preach” and set an example </w:t>
      </w:r>
      <w:r w:rsidR="00863052" w:rsidRPr="005C3EC8">
        <w:rPr>
          <w:rFonts w:ascii="Calibri" w:hAnsi="Calibri"/>
        </w:rPr>
        <w:t>for</w:t>
      </w:r>
      <w:r w:rsidRPr="005C3EC8">
        <w:rPr>
          <w:rFonts w:ascii="Calibri" w:hAnsi="Calibri"/>
        </w:rPr>
        <w:t xml:space="preserve"> other resource rich countries. </w:t>
      </w:r>
    </w:p>
    <w:p w14:paraId="376D7F3E" w14:textId="764856EF" w:rsidR="00505211" w:rsidRPr="005C3EC8" w:rsidRDefault="00505211" w:rsidP="00AA542C">
      <w:pPr>
        <w:rPr>
          <w:rFonts w:ascii="Calibri" w:hAnsi="Calibri"/>
        </w:rPr>
      </w:pPr>
      <w:r w:rsidRPr="005C3EC8">
        <w:rPr>
          <w:rFonts w:ascii="Calibri" w:hAnsi="Calibri"/>
        </w:rPr>
        <w:t xml:space="preserve">These objectives have been met. While the UK EITI has been </w:t>
      </w:r>
      <w:r w:rsidR="00AD7E05" w:rsidRPr="005C3EC8">
        <w:rPr>
          <w:rFonts w:ascii="Calibri" w:hAnsi="Calibri"/>
        </w:rPr>
        <w:t>hampered by</w:t>
      </w:r>
      <w:r w:rsidRPr="005C3EC8">
        <w:rPr>
          <w:rFonts w:ascii="Calibri" w:hAnsi="Calibri"/>
        </w:rPr>
        <w:t xml:space="preserve"> internal challenges related to the representation of civil society organisations </w:t>
      </w:r>
      <w:r w:rsidR="00AD7E05" w:rsidRPr="005C3EC8">
        <w:rPr>
          <w:rFonts w:ascii="Calibri" w:hAnsi="Calibri"/>
        </w:rPr>
        <w:t>on the multi-stakeholder group, the UK has produced four high</w:t>
      </w:r>
      <w:r w:rsidR="0083087F" w:rsidRPr="005C3EC8">
        <w:rPr>
          <w:rFonts w:ascii="Calibri" w:hAnsi="Calibri"/>
        </w:rPr>
        <w:t>-</w:t>
      </w:r>
      <w:r w:rsidR="00AD7E05" w:rsidRPr="005C3EC8">
        <w:rPr>
          <w:rFonts w:ascii="Calibri" w:hAnsi="Calibri"/>
        </w:rPr>
        <w:t xml:space="preserve">quality EITI reports that address both the domestic and international objectives. There is </w:t>
      </w:r>
      <w:r w:rsidRPr="005C3EC8">
        <w:rPr>
          <w:rFonts w:ascii="Calibri" w:hAnsi="Calibri"/>
        </w:rPr>
        <w:t xml:space="preserve">limited demand for EITI data, </w:t>
      </w:r>
      <w:r w:rsidR="00AD7E05" w:rsidRPr="005C3EC8">
        <w:rPr>
          <w:rFonts w:ascii="Calibri" w:hAnsi="Calibri"/>
        </w:rPr>
        <w:t xml:space="preserve">not least since a considerable amount of information is already publicly available. </w:t>
      </w:r>
      <w:r w:rsidR="00C265A6" w:rsidRPr="005C3EC8">
        <w:rPr>
          <w:rFonts w:ascii="Calibri" w:hAnsi="Calibri"/>
        </w:rPr>
        <w:t>Oil, gas and mining companies incorporated in the United Kingdom or listed on the London Stock Exchange (LSE) publish reports on payments to governments each year under UK law. Payment reporting covers payment types as published under the EITI</w:t>
      </w:r>
      <w:r w:rsidR="00A351C9" w:rsidRPr="005C3EC8">
        <w:rPr>
          <w:rFonts w:ascii="Calibri" w:hAnsi="Calibri"/>
        </w:rPr>
        <w:t>. While these are not</w:t>
      </w:r>
      <w:r w:rsidR="00A351C9" w:rsidRPr="005C3EC8">
        <w:t xml:space="preserve"> </w:t>
      </w:r>
      <w:r w:rsidR="00A351C9" w:rsidRPr="005C3EC8">
        <w:rPr>
          <w:rFonts w:ascii="Calibri" w:hAnsi="Calibri"/>
        </w:rPr>
        <w:t>disaggregated to the levels required by the EITI Standard</w:t>
      </w:r>
      <w:r w:rsidR="00C265A6" w:rsidRPr="005C3EC8">
        <w:rPr>
          <w:rFonts w:ascii="Calibri" w:hAnsi="Calibri"/>
        </w:rPr>
        <w:t xml:space="preserve">, </w:t>
      </w:r>
      <w:r w:rsidR="00A351C9" w:rsidRPr="005C3EC8">
        <w:rPr>
          <w:rFonts w:ascii="Calibri" w:hAnsi="Calibri"/>
        </w:rPr>
        <w:t xml:space="preserve">they are </w:t>
      </w:r>
      <w:r w:rsidR="00C265A6" w:rsidRPr="005C3EC8">
        <w:rPr>
          <w:rFonts w:ascii="Calibri" w:hAnsi="Calibri"/>
        </w:rPr>
        <w:t>more up to date and cover every country where each company operates</w:t>
      </w:r>
      <w:r w:rsidR="00AA542C" w:rsidRPr="005C3EC8">
        <w:rPr>
          <w:rFonts w:ascii="Calibri" w:hAnsi="Calibri"/>
        </w:rPr>
        <w:t xml:space="preserve">. </w:t>
      </w:r>
      <w:r w:rsidR="00AD7E05" w:rsidRPr="005C3EC8">
        <w:rPr>
          <w:rFonts w:ascii="Calibri" w:hAnsi="Calibri"/>
        </w:rPr>
        <w:t xml:space="preserve">The </w:t>
      </w:r>
      <w:r w:rsidR="00C265A6" w:rsidRPr="005C3EC8">
        <w:rPr>
          <w:rFonts w:ascii="Calibri" w:hAnsi="Calibri"/>
        </w:rPr>
        <w:t xml:space="preserve">UK </w:t>
      </w:r>
      <w:r w:rsidR="00AD7E05" w:rsidRPr="005C3EC8">
        <w:rPr>
          <w:rFonts w:ascii="Calibri" w:hAnsi="Calibri"/>
        </w:rPr>
        <w:t>EITI</w:t>
      </w:r>
      <w:r w:rsidR="00C265A6" w:rsidRPr="005C3EC8">
        <w:rPr>
          <w:rFonts w:ascii="Calibri" w:hAnsi="Calibri"/>
        </w:rPr>
        <w:t xml:space="preserve"> Reports collate </w:t>
      </w:r>
      <w:r w:rsidR="00AA542C" w:rsidRPr="005C3EC8">
        <w:rPr>
          <w:rFonts w:ascii="Calibri" w:hAnsi="Calibri"/>
        </w:rPr>
        <w:t xml:space="preserve">a wide range of information relating to the UK. In accordance with the 2016 EITI Standard, they reconcile company and government disclosures. The resulting information </w:t>
      </w:r>
      <w:r w:rsidR="00AD7E05" w:rsidRPr="005C3EC8">
        <w:rPr>
          <w:rFonts w:ascii="Calibri" w:hAnsi="Calibri"/>
        </w:rPr>
        <w:t xml:space="preserve">is of interest to relatively small and specialised audiences. That said, the high quality of EITI Reports </w:t>
      </w:r>
      <w:r w:rsidR="00AD7E05" w:rsidRPr="005C3EC8">
        <w:rPr>
          <w:rFonts w:ascii="Calibri" w:hAnsi="Calibri"/>
        </w:rPr>
        <w:lastRenderedPageBreak/>
        <w:t>underscores the government’s commitment to transparency and accountability</w:t>
      </w:r>
      <w:r w:rsidR="00863052" w:rsidRPr="005C3EC8">
        <w:rPr>
          <w:rFonts w:ascii="Calibri" w:hAnsi="Calibri"/>
        </w:rPr>
        <w:t>, and s</w:t>
      </w:r>
      <w:r w:rsidRPr="005C3EC8">
        <w:rPr>
          <w:rFonts w:ascii="Calibri" w:hAnsi="Calibri"/>
        </w:rPr>
        <w:t xml:space="preserve">takeholders </w:t>
      </w:r>
      <w:r w:rsidR="00863052" w:rsidRPr="005C3EC8">
        <w:rPr>
          <w:rFonts w:ascii="Calibri" w:hAnsi="Calibri"/>
        </w:rPr>
        <w:t xml:space="preserve">continue to </w:t>
      </w:r>
      <w:r w:rsidRPr="005C3EC8">
        <w:rPr>
          <w:rFonts w:ascii="Calibri" w:hAnsi="Calibri"/>
        </w:rPr>
        <w:t xml:space="preserve">see value in using domestic implementation as a means to encourage other resource-rich countries to implement the EITI and high social and environmental standards. </w:t>
      </w:r>
    </w:p>
    <w:p w14:paraId="25C2389B" w14:textId="13DE7F32" w:rsidR="00941CEF" w:rsidRPr="005C3EC8" w:rsidRDefault="00941CEF" w:rsidP="00AD7E05">
      <w:pPr>
        <w:rPr>
          <w:rFonts w:ascii="Calibri" w:hAnsi="Calibri"/>
        </w:rPr>
      </w:pPr>
      <w:r w:rsidRPr="005C3EC8">
        <w:rPr>
          <w:rFonts w:ascii="Calibri" w:hAnsi="Calibri"/>
        </w:rPr>
        <w:t xml:space="preserve">Concurrent with preparing for this Validation, the MSG was exploring opportunities to streamline </w:t>
      </w:r>
      <w:r w:rsidR="00863052" w:rsidRPr="005C3EC8">
        <w:rPr>
          <w:rFonts w:ascii="Calibri" w:hAnsi="Calibri"/>
        </w:rPr>
        <w:t xml:space="preserve">EITI implementation through </w:t>
      </w:r>
      <w:r w:rsidRPr="005C3EC8">
        <w:rPr>
          <w:rFonts w:ascii="Calibri" w:hAnsi="Calibri"/>
        </w:rPr>
        <w:t xml:space="preserve">systematic disclosure (“mainstreaming”), which would speed up the publication </w:t>
      </w:r>
      <w:r w:rsidR="00FE78CA" w:rsidRPr="005C3EC8">
        <w:rPr>
          <w:rFonts w:ascii="Calibri" w:hAnsi="Calibri"/>
        </w:rPr>
        <w:t xml:space="preserve">of data </w:t>
      </w:r>
      <w:r w:rsidRPr="005C3EC8">
        <w:rPr>
          <w:rFonts w:ascii="Calibri" w:hAnsi="Calibri"/>
        </w:rPr>
        <w:t xml:space="preserve">and reduce the cost associated with EITI Reporting. Accelerating this work presents a further opportunity for the UK to set an example to other EITI implementing countries. </w:t>
      </w:r>
    </w:p>
    <w:p w14:paraId="6B397BB1" w14:textId="0001CF86" w:rsidR="0028415F" w:rsidRPr="005C3EC8" w:rsidRDefault="00941CEF" w:rsidP="0028415F">
      <w:pPr>
        <w:rPr>
          <w:rFonts w:ascii="Calibri" w:hAnsi="Calibri"/>
        </w:rPr>
      </w:pPr>
      <w:r w:rsidRPr="005C3EC8">
        <w:rPr>
          <w:rFonts w:ascii="Calibri" w:hAnsi="Calibri"/>
        </w:rPr>
        <w:t xml:space="preserve">As noted above, the </w:t>
      </w:r>
      <w:r w:rsidR="00C265A6" w:rsidRPr="005C3EC8">
        <w:rPr>
          <w:rFonts w:ascii="Calibri" w:hAnsi="Calibri"/>
        </w:rPr>
        <w:t xml:space="preserve">UK EITI has been hampered by internal challenges related to the </w:t>
      </w:r>
      <w:r w:rsidR="00FA2EBF" w:rsidRPr="005C3EC8">
        <w:rPr>
          <w:rFonts w:ascii="Calibri" w:hAnsi="Calibri"/>
        </w:rPr>
        <w:t xml:space="preserve">nomination and </w:t>
      </w:r>
      <w:r w:rsidR="00C265A6" w:rsidRPr="005C3EC8">
        <w:rPr>
          <w:rFonts w:ascii="Calibri" w:hAnsi="Calibri"/>
        </w:rPr>
        <w:t>representation of civil society organisations on the multi-stakeholder group</w:t>
      </w:r>
      <w:r w:rsidRPr="005C3EC8">
        <w:rPr>
          <w:rFonts w:ascii="Calibri" w:hAnsi="Calibri"/>
        </w:rPr>
        <w:t>. The civil society organisations that ha</w:t>
      </w:r>
      <w:r w:rsidR="0028415F" w:rsidRPr="005C3EC8">
        <w:rPr>
          <w:rFonts w:ascii="Calibri" w:hAnsi="Calibri"/>
        </w:rPr>
        <w:t>d</w:t>
      </w:r>
      <w:r w:rsidRPr="005C3EC8">
        <w:rPr>
          <w:rFonts w:ascii="Calibri" w:hAnsi="Calibri"/>
        </w:rPr>
        <w:t xml:space="preserve"> been active in the EITI’s work globally </w:t>
      </w:r>
      <w:r w:rsidR="00FE78CA" w:rsidRPr="005C3EC8">
        <w:rPr>
          <w:rFonts w:ascii="Calibri" w:hAnsi="Calibri"/>
        </w:rPr>
        <w:t xml:space="preserve">since its inception </w:t>
      </w:r>
      <w:r w:rsidRPr="005C3EC8">
        <w:rPr>
          <w:rFonts w:ascii="Calibri" w:hAnsi="Calibri"/>
        </w:rPr>
        <w:t>played a strong and supportive role in establishing the EITI in the UK</w:t>
      </w:r>
      <w:r w:rsidR="00863052" w:rsidRPr="005C3EC8">
        <w:rPr>
          <w:rFonts w:ascii="Calibri" w:hAnsi="Calibri"/>
        </w:rPr>
        <w:t>. Through the UK EITI Civil Society Network</w:t>
      </w:r>
      <w:r w:rsidR="002564DB">
        <w:rPr>
          <w:rFonts w:ascii="Calibri" w:hAnsi="Calibri"/>
        </w:rPr>
        <w:t xml:space="preserve"> (CSN)</w:t>
      </w:r>
      <w:r w:rsidR="00863052" w:rsidRPr="005C3EC8">
        <w:rPr>
          <w:rFonts w:ascii="Calibri" w:hAnsi="Calibri"/>
        </w:rPr>
        <w:t xml:space="preserve"> these groups </w:t>
      </w:r>
      <w:r w:rsidR="0028415F" w:rsidRPr="005C3EC8">
        <w:rPr>
          <w:rFonts w:ascii="Calibri" w:hAnsi="Calibri"/>
        </w:rPr>
        <w:t xml:space="preserve">represented </w:t>
      </w:r>
      <w:r w:rsidR="00FE78CA" w:rsidRPr="005C3EC8">
        <w:rPr>
          <w:rFonts w:ascii="Calibri" w:hAnsi="Calibri"/>
        </w:rPr>
        <w:t xml:space="preserve">civil society </w:t>
      </w:r>
      <w:r w:rsidR="0028415F" w:rsidRPr="005C3EC8">
        <w:rPr>
          <w:rFonts w:ascii="Calibri" w:hAnsi="Calibri"/>
        </w:rPr>
        <w:t xml:space="preserve">when the MSG was </w:t>
      </w:r>
      <w:r w:rsidR="00FE78CA" w:rsidRPr="005C3EC8">
        <w:rPr>
          <w:rFonts w:ascii="Calibri" w:hAnsi="Calibri"/>
        </w:rPr>
        <w:t xml:space="preserve">first </w:t>
      </w:r>
      <w:r w:rsidR="0028415F" w:rsidRPr="005C3EC8">
        <w:rPr>
          <w:rFonts w:ascii="Calibri" w:hAnsi="Calibri"/>
        </w:rPr>
        <w:t xml:space="preserve">established. </w:t>
      </w:r>
      <w:r w:rsidRPr="005C3EC8">
        <w:rPr>
          <w:rFonts w:ascii="Calibri" w:hAnsi="Calibri"/>
        </w:rPr>
        <w:t xml:space="preserve">However, concurrent with similar challenges </w:t>
      </w:r>
      <w:r w:rsidR="00863052" w:rsidRPr="005C3EC8">
        <w:rPr>
          <w:rFonts w:ascii="Calibri" w:hAnsi="Calibri"/>
        </w:rPr>
        <w:t xml:space="preserve">with </w:t>
      </w:r>
      <w:r w:rsidR="00AF3875" w:rsidRPr="005C3EC8">
        <w:rPr>
          <w:rFonts w:ascii="Calibri" w:hAnsi="Calibri"/>
        </w:rPr>
        <w:t xml:space="preserve">the </w:t>
      </w:r>
      <w:r w:rsidR="00FE78CA" w:rsidRPr="005C3EC8">
        <w:rPr>
          <w:rFonts w:ascii="Calibri" w:hAnsi="Calibri"/>
        </w:rPr>
        <w:t xml:space="preserve">EITI’s </w:t>
      </w:r>
      <w:r w:rsidR="00AF3875" w:rsidRPr="005C3EC8">
        <w:rPr>
          <w:rFonts w:ascii="Calibri" w:hAnsi="Calibri"/>
        </w:rPr>
        <w:t xml:space="preserve">global </w:t>
      </w:r>
      <w:r w:rsidR="00FE78CA" w:rsidRPr="005C3EC8">
        <w:rPr>
          <w:rFonts w:ascii="Calibri" w:hAnsi="Calibri"/>
        </w:rPr>
        <w:t>governance</w:t>
      </w:r>
      <w:r w:rsidR="00AF3875" w:rsidRPr="005C3EC8">
        <w:rPr>
          <w:rStyle w:val="FootnoteReference"/>
          <w:rFonts w:ascii="Calibri" w:hAnsi="Calibri"/>
        </w:rPr>
        <w:footnoteReference w:id="3"/>
      </w:r>
      <w:r w:rsidR="00AF3875" w:rsidRPr="005C3EC8">
        <w:rPr>
          <w:rStyle w:val="FootnoteReference"/>
          <w:rFonts w:ascii="Calibri" w:hAnsi="Calibri"/>
        </w:rPr>
        <w:footnoteReference w:id="4"/>
      </w:r>
      <w:r w:rsidR="00AF3875" w:rsidRPr="005C3EC8">
        <w:rPr>
          <w:rFonts w:ascii="Calibri" w:hAnsi="Calibri"/>
        </w:rPr>
        <w:t>, conflict arose regarding how civil society representatives to the MSG should be selected. The EITI Standard requires that “each stakeholder group must have the right to appoint its own representatives, bearing in mind the desirability of pluralistic and diverse representation” and that “the nomination process must be independent and free from any suggestion of coercion” (</w:t>
      </w:r>
      <w:r w:rsidR="00AF3875" w:rsidRPr="005C3EC8">
        <w:rPr>
          <w:rFonts w:ascii="Calibri" w:hAnsi="Calibri"/>
          <w:i/>
          <w:iCs/>
        </w:rPr>
        <w:t>Requirement 1.4</w:t>
      </w:r>
      <w:r w:rsidR="00AF3875" w:rsidRPr="005C3EC8">
        <w:rPr>
          <w:rFonts w:ascii="Calibri" w:hAnsi="Calibri"/>
        </w:rPr>
        <w:t>). An organisation called the Extractive Industries Civil Society (EICS) challenged the existing nomination process</w:t>
      </w:r>
      <w:r w:rsidR="0028415F" w:rsidRPr="005C3EC8">
        <w:rPr>
          <w:rStyle w:val="FootnoteReference"/>
          <w:rFonts w:ascii="Calibri" w:hAnsi="Calibri"/>
        </w:rPr>
        <w:footnoteReference w:id="5"/>
      </w:r>
      <w:r w:rsidR="0028415F" w:rsidRPr="005C3EC8">
        <w:rPr>
          <w:rFonts w:ascii="Calibri" w:hAnsi="Calibri"/>
        </w:rPr>
        <w:t xml:space="preserve">. </w:t>
      </w:r>
      <w:r w:rsidR="00FE78CA" w:rsidRPr="005C3EC8">
        <w:rPr>
          <w:rFonts w:ascii="Calibri" w:hAnsi="Calibri"/>
        </w:rPr>
        <w:t>When efforts to agree a compromise stalled, t</w:t>
      </w:r>
      <w:r w:rsidR="0028415F" w:rsidRPr="005C3EC8">
        <w:rPr>
          <w:rFonts w:ascii="Calibri" w:hAnsi="Calibri"/>
        </w:rPr>
        <w:t xml:space="preserve">he UK government took </w:t>
      </w:r>
      <w:r w:rsidR="00FE78CA" w:rsidRPr="005C3EC8">
        <w:rPr>
          <w:rFonts w:ascii="Calibri" w:hAnsi="Calibri"/>
        </w:rPr>
        <w:t xml:space="preserve">a decision to split the </w:t>
      </w:r>
      <w:r w:rsidR="0028415F" w:rsidRPr="005C3EC8">
        <w:rPr>
          <w:rFonts w:ascii="Calibri" w:hAnsi="Calibri"/>
        </w:rPr>
        <w:t xml:space="preserve">nomination role </w:t>
      </w:r>
      <w:r w:rsidR="00FE78CA" w:rsidRPr="005C3EC8">
        <w:rPr>
          <w:rFonts w:ascii="Calibri" w:hAnsi="Calibri"/>
        </w:rPr>
        <w:t>between the two groups</w:t>
      </w:r>
      <w:r w:rsidR="0028415F" w:rsidRPr="005C3EC8">
        <w:rPr>
          <w:rFonts w:ascii="Calibri" w:hAnsi="Calibri"/>
        </w:rPr>
        <w:t xml:space="preserve">. This led the </w:t>
      </w:r>
      <w:r w:rsidR="002564DB">
        <w:rPr>
          <w:rFonts w:ascii="Calibri" w:hAnsi="Calibri"/>
        </w:rPr>
        <w:t xml:space="preserve">CSN </w:t>
      </w:r>
      <w:r w:rsidR="0028415F" w:rsidRPr="005C3EC8">
        <w:rPr>
          <w:rFonts w:ascii="Calibri" w:hAnsi="Calibri"/>
        </w:rPr>
        <w:t>to withdraw from the UK EITI process</w:t>
      </w:r>
      <w:r w:rsidR="0028415F" w:rsidRPr="005C3EC8">
        <w:rPr>
          <w:rStyle w:val="FootnoteReference"/>
          <w:rFonts w:ascii="Calibri" w:hAnsi="Calibri"/>
        </w:rPr>
        <w:footnoteReference w:id="6"/>
      </w:r>
      <w:r w:rsidR="0055713D" w:rsidRPr="005C3EC8">
        <w:rPr>
          <w:rFonts w:ascii="Calibri" w:hAnsi="Calibri"/>
        </w:rPr>
        <w:t xml:space="preserve">, a situation that persisted until the commencement of Validation. </w:t>
      </w:r>
    </w:p>
    <w:p w14:paraId="3862AEAE" w14:textId="2680817C" w:rsidR="00C4740A" w:rsidRPr="005C3EC8" w:rsidRDefault="0028415F" w:rsidP="00C4740A">
      <w:pPr>
        <w:rPr>
          <w:rFonts w:ascii="Calibri" w:hAnsi="Calibri"/>
        </w:rPr>
      </w:pPr>
      <w:r w:rsidRPr="005C3EC8">
        <w:rPr>
          <w:rFonts w:ascii="Calibri" w:hAnsi="Calibri"/>
        </w:rPr>
        <w:t>Th</w:t>
      </w:r>
      <w:r w:rsidR="00FE78CA" w:rsidRPr="005C3EC8">
        <w:rPr>
          <w:rFonts w:ascii="Calibri" w:hAnsi="Calibri"/>
        </w:rPr>
        <w:t xml:space="preserve">e </w:t>
      </w:r>
      <w:r w:rsidR="0083087F" w:rsidRPr="005C3EC8">
        <w:rPr>
          <w:rFonts w:ascii="Calibri" w:hAnsi="Calibri"/>
        </w:rPr>
        <w:t>I</w:t>
      </w:r>
      <w:r w:rsidR="00FE78CA" w:rsidRPr="005C3EC8">
        <w:rPr>
          <w:rFonts w:ascii="Calibri" w:hAnsi="Calibri"/>
        </w:rPr>
        <w:t xml:space="preserve">nternational </w:t>
      </w:r>
      <w:r w:rsidR="0083087F" w:rsidRPr="005C3EC8">
        <w:rPr>
          <w:rFonts w:ascii="Calibri" w:hAnsi="Calibri"/>
        </w:rPr>
        <w:t>S</w:t>
      </w:r>
      <w:r w:rsidR="00FE78CA" w:rsidRPr="005C3EC8">
        <w:rPr>
          <w:rFonts w:ascii="Calibri" w:hAnsi="Calibri"/>
        </w:rPr>
        <w:t xml:space="preserve">ecretariat is not mandated or resourced to carry out a detailed examination of </w:t>
      </w:r>
      <w:r w:rsidR="00370E95" w:rsidRPr="005C3EC8">
        <w:rPr>
          <w:rFonts w:ascii="Calibri" w:hAnsi="Calibri"/>
        </w:rPr>
        <w:t>this</w:t>
      </w:r>
      <w:r w:rsidR="0055562B" w:rsidRPr="005C3EC8">
        <w:rPr>
          <w:rFonts w:ascii="Calibri" w:hAnsi="Calibri"/>
        </w:rPr>
        <w:t xml:space="preserve"> controvers</w:t>
      </w:r>
      <w:r w:rsidR="00370E95" w:rsidRPr="005C3EC8">
        <w:rPr>
          <w:rFonts w:ascii="Calibri" w:hAnsi="Calibri"/>
        </w:rPr>
        <w:t xml:space="preserve">y, or to comment on the behaviour and motivations of the parties involved. The views of the </w:t>
      </w:r>
      <w:r w:rsidR="002564DB">
        <w:rPr>
          <w:rFonts w:ascii="Calibri" w:hAnsi="Calibri"/>
        </w:rPr>
        <w:t>CSN</w:t>
      </w:r>
      <w:r w:rsidR="00370E95" w:rsidRPr="005C3EC8">
        <w:rPr>
          <w:rFonts w:ascii="Calibri" w:hAnsi="Calibri"/>
        </w:rPr>
        <w:t xml:space="preserve"> and the </w:t>
      </w:r>
      <w:r w:rsidR="002564DB">
        <w:rPr>
          <w:rFonts w:ascii="Calibri" w:hAnsi="Calibri"/>
        </w:rPr>
        <w:t xml:space="preserve">EICS </w:t>
      </w:r>
      <w:r w:rsidR="00370E95" w:rsidRPr="005C3EC8">
        <w:rPr>
          <w:rFonts w:ascii="Calibri" w:hAnsi="Calibri"/>
        </w:rPr>
        <w:t>are a matter of public record</w:t>
      </w:r>
      <w:r w:rsidR="00863052" w:rsidRPr="005C3EC8">
        <w:rPr>
          <w:rFonts w:ascii="Calibri" w:hAnsi="Calibri"/>
        </w:rPr>
        <w:t xml:space="preserve"> and are </w:t>
      </w:r>
      <w:r w:rsidR="002564DB">
        <w:rPr>
          <w:rFonts w:ascii="Calibri" w:hAnsi="Calibri"/>
        </w:rPr>
        <w:t xml:space="preserve">summarised </w:t>
      </w:r>
      <w:r w:rsidR="00863052" w:rsidRPr="005C3EC8">
        <w:rPr>
          <w:rFonts w:ascii="Calibri" w:hAnsi="Calibri"/>
        </w:rPr>
        <w:t>in this assessment</w:t>
      </w:r>
      <w:r w:rsidR="00370E95" w:rsidRPr="005C3EC8">
        <w:rPr>
          <w:rFonts w:ascii="Calibri" w:hAnsi="Calibri"/>
        </w:rPr>
        <w:t xml:space="preserve">. The </w:t>
      </w:r>
      <w:r w:rsidR="0083087F" w:rsidRPr="005C3EC8">
        <w:rPr>
          <w:rFonts w:ascii="Calibri" w:hAnsi="Calibri"/>
        </w:rPr>
        <w:t>I</w:t>
      </w:r>
      <w:r w:rsidR="00370E95" w:rsidRPr="005C3EC8">
        <w:rPr>
          <w:rFonts w:ascii="Calibri" w:hAnsi="Calibri"/>
        </w:rPr>
        <w:t xml:space="preserve">nternational </w:t>
      </w:r>
      <w:r w:rsidR="0083087F" w:rsidRPr="005C3EC8">
        <w:rPr>
          <w:rFonts w:ascii="Calibri" w:hAnsi="Calibri"/>
        </w:rPr>
        <w:t>S</w:t>
      </w:r>
      <w:r w:rsidR="00370E95" w:rsidRPr="005C3EC8">
        <w:rPr>
          <w:rFonts w:ascii="Calibri" w:hAnsi="Calibri"/>
        </w:rPr>
        <w:t xml:space="preserve">ecretariat team met with representatives from each group. </w:t>
      </w:r>
      <w:r w:rsidR="0055562B" w:rsidRPr="005C3EC8">
        <w:rPr>
          <w:rFonts w:ascii="Calibri" w:hAnsi="Calibri"/>
        </w:rPr>
        <w:t xml:space="preserve">Validation </w:t>
      </w:r>
      <w:r w:rsidR="00370E95" w:rsidRPr="005C3EC8">
        <w:rPr>
          <w:rFonts w:ascii="Calibri" w:hAnsi="Calibri"/>
        </w:rPr>
        <w:t>focusses on</w:t>
      </w:r>
      <w:r w:rsidR="0055562B" w:rsidRPr="005C3EC8">
        <w:rPr>
          <w:rFonts w:ascii="Calibri" w:hAnsi="Calibri"/>
        </w:rPr>
        <w:t xml:space="preserve"> whether the EITI </w:t>
      </w:r>
      <w:r w:rsidR="0083087F" w:rsidRPr="005C3EC8">
        <w:rPr>
          <w:rFonts w:ascii="Calibri" w:hAnsi="Calibri"/>
        </w:rPr>
        <w:t>R</w:t>
      </w:r>
      <w:r w:rsidR="0055562B" w:rsidRPr="005C3EC8">
        <w:rPr>
          <w:rFonts w:ascii="Calibri" w:hAnsi="Calibri"/>
        </w:rPr>
        <w:t xml:space="preserve">equirements have been met and whether the broader objective of the requirements have been fulfilled. </w:t>
      </w:r>
      <w:r w:rsidR="00FE78CA" w:rsidRPr="005C3EC8">
        <w:rPr>
          <w:rFonts w:ascii="Calibri" w:hAnsi="Calibri"/>
        </w:rPr>
        <w:t xml:space="preserve">The </w:t>
      </w:r>
      <w:r w:rsidR="0083087F" w:rsidRPr="005C3EC8">
        <w:rPr>
          <w:rFonts w:ascii="Calibri" w:hAnsi="Calibri"/>
        </w:rPr>
        <w:t>I</w:t>
      </w:r>
      <w:r w:rsidR="00FE78CA" w:rsidRPr="005C3EC8">
        <w:rPr>
          <w:rFonts w:ascii="Calibri" w:hAnsi="Calibri"/>
        </w:rPr>
        <w:t xml:space="preserve">nternational </w:t>
      </w:r>
      <w:r w:rsidR="0083087F" w:rsidRPr="005C3EC8">
        <w:rPr>
          <w:rFonts w:ascii="Calibri" w:hAnsi="Calibri"/>
        </w:rPr>
        <w:t>S</w:t>
      </w:r>
      <w:r w:rsidR="00FE78CA" w:rsidRPr="005C3EC8">
        <w:rPr>
          <w:rFonts w:ascii="Calibri" w:hAnsi="Calibri"/>
        </w:rPr>
        <w:t xml:space="preserve">ecretariat has applied the Validation Guide and determined that </w:t>
      </w:r>
      <w:r w:rsidR="0083087F" w:rsidRPr="005C3EC8">
        <w:rPr>
          <w:rFonts w:ascii="Calibri" w:hAnsi="Calibri"/>
        </w:rPr>
        <w:t>R</w:t>
      </w:r>
      <w:r w:rsidR="00FE78CA" w:rsidRPr="005C3EC8">
        <w:rPr>
          <w:rFonts w:ascii="Calibri" w:hAnsi="Calibri"/>
        </w:rPr>
        <w:t xml:space="preserve">equirements 1.3 </w:t>
      </w:r>
      <w:r w:rsidR="00C4740A" w:rsidRPr="005C3EC8">
        <w:rPr>
          <w:rFonts w:ascii="Calibri" w:hAnsi="Calibri"/>
        </w:rPr>
        <w:t xml:space="preserve">regarding </w:t>
      </w:r>
      <w:r w:rsidR="00863052" w:rsidRPr="005C3EC8">
        <w:rPr>
          <w:rFonts w:ascii="Calibri" w:hAnsi="Calibri"/>
        </w:rPr>
        <w:t xml:space="preserve">civil society engagement </w:t>
      </w:r>
      <w:r w:rsidR="00FE78CA" w:rsidRPr="005C3EC8">
        <w:rPr>
          <w:rFonts w:ascii="Calibri" w:hAnsi="Calibri"/>
        </w:rPr>
        <w:t xml:space="preserve">and 1.4 </w:t>
      </w:r>
      <w:r w:rsidR="00863052" w:rsidRPr="005C3EC8">
        <w:rPr>
          <w:rFonts w:ascii="Calibri" w:hAnsi="Calibri"/>
        </w:rPr>
        <w:t xml:space="preserve">regarding the </w:t>
      </w:r>
      <w:r w:rsidR="00C4740A" w:rsidRPr="005C3EC8">
        <w:rPr>
          <w:rFonts w:ascii="Calibri" w:hAnsi="Calibri"/>
        </w:rPr>
        <w:t>m</w:t>
      </w:r>
      <w:r w:rsidR="00863052" w:rsidRPr="005C3EC8">
        <w:rPr>
          <w:rFonts w:ascii="Calibri" w:hAnsi="Calibri"/>
        </w:rPr>
        <w:t xml:space="preserve">ulti-stakeholder group </w:t>
      </w:r>
      <w:r w:rsidR="00C4740A" w:rsidRPr="005C3EC8">
        <w:rPr>
          <w:rFonts w:ascii="Calibri" w:hAnsi="Calibri"/>
        </w:rPr>
        <w:t xml:space="preserve">oversight </w:t>
      </w:r>
      <w:r w:rsidR="00FE78CA" w:rsidRPr="005C3EC8">
        <w:rPr>
          <w:rFonts w:ascii="Calibri" w:hAnsi="Calibri"/>
        </w:rPr>
        <w:t>are not met</w:t>
      </w:r>
      <w:r w:rsidR="002564DB">
        <w:rPr>
          <w:rFonts w:ascii="Calibri" w:hAnsi="Calibri"/>
        </w:rPr>
        <w:t xml:space="preserve">. </w:t>
      </w:r>
      <w:r w:rsidR="0055713D" w:rsidRPr="005C3EC8">
        <w:rPr>
          <w:rFonts w:ascii="Calibri" w:hAnsi="Calibri"/>
        </w:rPr>
        <w:t xml:space="preserve">As of 1 July 2018, the </w:t>
      </w:r>
      <w:r w:rsidR="00FE78CA" w:rsidRPr="005C3EC8">
        <w:rPr>
          <w:rFonts w:ascii="Calibri" w:hAnsi="Calibri"/>
        </w:rPr>
        <w:t xml:space="preserve">civil society </w:t>
      </w:r>
      <w:r w:rsidR="0055713D" w:rsidRPr="005C3EC8">
        <w:rPr>
          <w:rFonts w:ascii="Calibri" w:hAnsi="Calibri"/>
        </w:rPr>
        <w:t xml:space="preserve">constituency was not </w:t>
      </w:r>
      <w:r w:rsidR="00FE78CA" w:rsidRPr="005C3EC8">
        <w:rPr>
          <w:rFonts w:ascii="Calibri" w:hAnsi="Calibri"/>
        </w:rPr>
        <w:t>“fully, actively and effectively engaged in the EITI process”</w:t>
      </w:r>
      <w:r w:rsidR="0055713D" w:rsidRPr="005C3EC8">
        <w:rPr>
          <w:rFonts w:ascii="Calibri" w:hAnsi="Calibri"/>
        </w:rPr>
        <w:t xml:space="preserve"> (</w:t>
      </w:r>
      <w:r w:rsidR="0083087F" w:rsidRPr="005C3EC8">
        <w:rPr>
          <w:rFonts w:ascii="Calibri" w:hAnsi="Calibri"/>
        </w:rPr>
        <w:t>R</w:t>
      </w:r>
      <w:r w:rsidR="0055713D" w:rsidRPr="005C3EC8">
        <w:rPr>
          <w:rFonts w:ascii="Calibri" w:hAnsi="Calibri"/>
        </w:rPr>
        <w:t>equirement 1.3)</w:t>
      </w:r>
      <w:r w:rsidR="00370E95" w:rsidRPr="005C3EC8">
        <w:rPr>
          <w:rFonts w:ascii="Calibri" w:hAnsi="Calibri"/>
        </w:rPr>
        <w:t xml:space="preserve"> and not adequately engaged in MSG oversight of EITI</w:t>
      </w:r>
      <w:r w:rsidR="0055713D" w:rsidRPr="005C3EC8">
        <w:rPr>
          <w:rFonts w:ascii="Calibri" w:hAnsi="Calibri"/>
        </w:rPr>
        <w:t xml:space="preserve"> implementation (</w:t>
      </w:r>
      <w:r w:rsidR="0083087F" w:rsidRPr="005C3EC8">
        <w:rPr>
          <w:rFonts w:ascii="Calibri" w:hAnsi="Calibri"/>
        </w:rPr>
        <w:t>R</w:t>
      </w:r>
      <w:r w:rsidR="0055713D" w:rsidRPr="005C3EC8">
        <w:rPr>
          <w:rFonts w:ascii="Calibri" w:hAnsi="Calibri"/>
        </w:rPr>
        <w:t>equirement 1.4).</w:t>
      </w:r>
      <w:r w:rsidR="002564DB">
        <w:rPr>
          <w:rFonts w:ascii="Calibri" w:hAnsi="Calibri"/>
        </w:rPr>
        <w:t xml:space="preserve"> As a consequence, the </w:t>
      </w:r>
      <w:r w:rsidR="002564DB" w:rsidRPr="005C3EC8">
        <w:rPr>
          <w:rFonts w:ascii="Calibri" w:hAnsi="Calibri"/>
        </w:rPr>
        <w:t>broader objectives of the EITI have not been fulfilled.</w:t>
      </w:r>
    </w:p>
    <w:p w14:paraId="3C79C462" w14:textId="29C7003D" w:rsidR="00C4740A" w:rsidRPr="005C3EC8" w:rsidRDefault="0055713D" w:rsidP="00C4740A">
      <w:pPr>
        <w:rPr>
          <w:rFonts w:ascii="Calibri" w:hAnsi="Calibri"/>
        </w:rPr>
      </w:pPr>
      <w:r w:rsidRPr="005C3EC8">
        <w:rPr>
          <w:rFonts w:ascii="Calibri" w:hAnsi="Calibri"/>
        </w:rPr>
        <w:t xml:space="preserve">The </w:t>
      </w:r>
      <w:r w:rsidR="0083087F" w:rsidRPr="005C3EC8">
        <w:rPr>
          <w:rFonts w:ascii="Calibri" w:hAnsi="Calibri"/>
        </w:rPr>
        <w:t>I</w:t>
      </w:r>
      <w:r w:rsidRPr="005C3EC8">
        <w:rPr>
          <w:rFonts w:ascii="Calibri" w:hAnsi="Calibri"/>
        </w:rPr>
        <w:t xml:space="preserve">nternational </w:t>
      </w:r>
      <w:r w:rsidR="0083087F" w:rsidRPr="005C3EC8">
        <w:rPr>
          <w:rFonts w:ascii="Calibri" w:hAnsi="Calibri"/>
        </w:rPr>
        <w:t>S</w:t>
      </w:r>
      <w:r w:rsidRPr="005C3EC8">
        <w:rPr>
          <w:rFonts w:ascii="Calibri" w:hAnsi="Calibri"/>
        </w:rPr>
        <w:t xml:space="preserve">ecretariat does not consider </w:t>
      </w:r>
      <w:r w:rsidR="0055562B" w:rsidRPr="005C3EC8">
        <w:rPr>
          <w:rFonts w:ascii="Calibri" w:hAnsi="Calibri"/>
        </w:rPr>
        <w:t>these</w:t>
      </w:r>
      <w:r w:rsidRPr="005C3EC8">
        <w:rPr>
          <w:rFonts w:ascii="Calibri" w:hAnsi="Calibri"/>
        </w:rPr>
        <w:t xml:space="preserve"> incident</w:t>
      </w:r>
      <w:r w:rsidR="0055562B" w:rsidRPr="005C3EC8">
        <w:rPr>
          <w:rFonts w:ascii="Calibri" w:hAnsi="Calibri"/>
        </w:rPr>
        <w:t>s</w:t>
      </w:r>
      <w:r w:rsidRPr="005C3EC8">
        <w:rPr>
          <w:rFonts w:ascii="Calibri" w:hAnsi="Calibri"/>
        </w:rPr>
        <w:t xml:space="preserve"> to </w:t>
      </w:r>
      <w:r w:rsidR="0055562B" w:rsidRPr="005C3EC8">
        <w:rPr>
          <w:rFonts w:ascii="Calibri" w:hAnsi="Calibri"/>
        </w:rPr>
        <w:t>constitute</w:t>
      </w:r>
      <w:r w:rsidRPr="005C3EC8">
        <w:rPr>
          <w:rFonts w:ascii="Calibri" w:hAnsi="Calibri"/>
        </w:rPr>
        <w:t xml:space="preserve"> a breach of the civil society protocol. There is no evidence of any legal, regulatory or practical barriers to civil society’s ability to engage in EITI, nor to their ability to freely operate, communicate and cooperate with the broader constituency.</w:t>
      </w:r>
      <w:r w:rsidR="00C4740A" w:rsidRPr="005C3EC8">
        <w:rPr>
          <w:rFonts w:ascii="Calibri" w:hAnsi="Calibri"/>
        </w:rPr>
        <w:t xml:space="preserve"> In the </w:t>
      </w:r>
      <w:r w:rsidR="0083087F" w:rsidRPr="005C3EC8">
        <w:rPr>
          <w:rFonts w:ascii="Calibri" w:hAnsi="Calibri"/>
        </w:rPr>
        <w:t>I</w:t>
      </w:r>
      <w:r w:rsidR="00C4740A" w:rsidRPr="005C3EC8">
        <w:rPr>
          <w:rFonts w:ascii="Calibri" w:hAnsi="Calibri"/>
        </w:rPr>
        <w:t xml:space="preserve">nternational </w:t>
      </w:r>
      <w:r w:rsidR="0083087F" w:rsidRPr="005C3EC8">
        <w:rPr>
          <w:rFonts w:ascii="Calibri" w:hAnsi="Calibri"/>
        </w:rPr>
        <w:t>S</w:t>
      </w:r>
      <w:r w:rsidR="00C4740A" w:rsidRPr="005C3EC8">
        <w:rPr>
          <w:rFonts w:ascii="Calibri" w:hAnsi="Calibri"/>
        </w:rPr>
        <w:t xml:space="preserve">ecretariat’s view, the government’s efforts to address the challenges regarding the representation of civil society organisations on the multi-stakeholder group were made in </w:t>
      </w:r>
      <w:r w:rsidR="00C4740A" w:rsidRPr="005C3EC8">
        <w:rPr>
          <w:rFonts w:ascii="Calibri" w:hAnsi="Calibri"/>
        </w:rPr>
        <w:lastRenderedPageBreak/>
        <w:t xml:space="preserve">good faith. There is no evidence to suggest that the government has sought to influence or orchestrate civil society representation. Similarly, there is no evidence to suggest any coercion or threat of reprisal. </w:t>
      </w:r>
    </w:p>
    <w:p w14:paraId="76FB5307" w14:textId="66136121" w:rsidR="00370E95" w:rsidRPr="005C3EC8" w:rsidRDefault="00C4740A" w:rsidP="00370E95">
      <w:pPr>
        <w:rPr>
          <w:rFonts w:ascii="Calibri" w:hAnsi="Calibri"/>
        </w:rPr>
      </w:pPr>
      <w:r w:rsidRPr="005C3EC8">
        <w:rPr>
          <w:rFonts w:ascii="Calibri" w:hAnsi="Calibri"/>
        </w:rPr>
        <w:t>All stakeholders consulted by the International Secretariat agree that i</w:t>
      </w:r>
      <w:r w:rsidR="008E3C21" w:rsidRPr="005C3EC8">
        <w:rPr>
          <w:rFonts w:ascii="Calibri" w:hAnsi="Calibri"/>
        </w:rPr>
        <w:t>t</w:t>
      </w:r>
      <w:r w:rsidR="0055713D" w:rsidRPr="005C3EC8">
        <w:rPr>
          <w:rFonts w:ascii="Calibri" w:hAnsi="Calibri"/>
        </w:rPr>
        <w:t xml:space="preserve"> is for the civil society constituency to resolve th</w:t>
      </w:r>
      <w:r w:rsidR="0055562B" w:rsidRPr="005C3EC8">
        <w:rPr>
          <w:rFonts w:ascii="Calibri" w:hAnsi="Calibri"/>
        </w:rPr>
        <w:t xml:space="preserve">e matter of their representation on the MSG. At the time of writing, there had been some constructive discussions about resolving the situation. The procedure adopted at the international </w:t>
      </w:r>
      <w:r w:rsidR="00370E95" w:rsidRPr="005C3EC8">
        <w:rPr>
          <w:rFonts w:ascii="Calibri" w:hAnsi="Calibri"/>
        </w:rPr>
        <w:t>level in seeking civil society representatives for the EITI International Board through an open and transparent selection process managed by an independent civil society advisory group (CSAG) with the support of an independent organization (IO)</w:t>
      </w:r>
      <w:r w:rsidR="00370E95" w:rsidRPr="005C3EC8">
        <w:rPr>
          <w:rStyle w:val="FootnoteReference"/>
          <w:rFonts w:ascii="Calibri" w:hAnsi="Calibri"/>
        </w:rPr>
        <w:footnoteReference w:id="7"/>
      </w:r>
      <w:r w:rsidR="00370E95" w:rsidRPr="005C3EC8">
        <w:rPr>
          <w:rFonts w:ascii="Calibri" w:hAnsi="Calibri"/>
        </w:rPr>
        <w:t xml:space="preserve"> could be replicated at the national level. The civil society constituency </w:t>
      </w:r>
      <w:r w:rsidR="008E3C21" w:rsidRPr="005C3EC8">
        <w:rPr>
          <w:rFonts w:ascii="Calibri" w:hAnsi="Calibri"/>
        </w:rPr>
        <w:t xml:space="preserve">could consider seeking </w:t>
      </w:r>
      <w:r w:rsidR="00370E95" w:rsidRPr="005C3EC8">
        <w:rPr>
          <w:rFonts w:ascii="Calibri" w:hAnsi="Calibri"/>
        </w:rPr>
        <w:t xml:space="preserve">government support in this regard. </w:t>
      </w:r>
    </w:p>
    <w:p w14:paraId="56E55677" w14:textId="0D807257" w:rsidR="00714E62" w:rsidRPr="005C3EC8" w:rsidRDefault="00370E95" w:rsidP="00A66096">
      <w:pPr>
        <w:rPr>
          <w:rFonts w:ascii="Calibri" w:hAnsi="Calibri"/>
        </w:rPr>
      </w:pPr>
      <w:r w:rsidRPr="005C3EC8">
        <w:rPr>
          <w:rFonts w:ascii="Calibri" w:hAnsi="Calibri"/>
        </w:rPr>
        <w:t xml:space="preserve">A reconstituted MSG, with the full, active and effective engagement </w:t>
      </w:r>
      <w:r w:rsidR="008E3C21" w:rsidRPr="005C3EC8">
        <w:rPr>
          <w:rFonts w:ascii="Calibri" w:hAnsi="Calibri"/>
        </w:rPr>
        <w:t xml:space="preserve">of civil society would then be well placed to follow up the recommendations from this </w:t>
      </w:r>
      <w:r w:rsidR="0083087F" w:rsidRPr="005C3EC8">
        <w:rPr>
          <w:rFonts w:ascii="Calibri" w:hAnsi="Calibri"/>
        </w:rPr>
        <w:t>V</w:t>
      </w:r>
      <w:r w:rsidR="008E3C21" w:rsidRPr="005C3EC8">
        <w:rPr>
          <w:rFonts w:ascii="Calibri" w:hAnsi="Calibri"/>
        </w:rPr>
        <w:t xml:space="preserve">alidation. </w:t>
      </w:r>
      <w:r w:rsidR="00A66096" w:rsidRPr="005C3EC8">
        <w:rPr>
          <w:rFonts w:ascii="Calibri" w:hAnsi="Calibri"/>
        </w:rPr>
        <w:t xml:space="preserve">The corrective actions relating to disclosures are not onerous, and it should be possible to address these quickly. The work that commenced </w:t>
      </w:r>
      <w:r w:rsidR="0083087F" w:rsidRPr="005C3EC8">
        <w:rPr>
          <w:rFonts w:ascii="Calibri" w:hAnsi="Calibri"/>
        </w:rPr>
        <w:t xml:space="preserve">on </w:t>
      </w:r>
      <w:r w:rsidR="00A66096" w:rsidRPr="005C3EC8">
        <w:rPr>
          <w:rFonts w:ascii="Calibri" w:hAnsi="Calibri"/>
        </w:rPr>
        <w:t xml:space="preserve">EITI mainstreaming should be continued. More widely, the MSG should review the impact of the first </w:t>
      </w:r>
      <w:r w:rsidR="0083087F" w:rsidRPr="005C3EC8">
        <w:rPr>
          <w:rFonts w:ascii="Calibri" w:hAnsi="Calibri"/>
        </w:rPr>
        <w:t>five</w:t>
      </w:r>
      <w:r w:rsidR="00A66096" w:rsidRPr="005C3EC8">
        <w:rPr>
          <w:rFonts w:ascii="Calibri" w:hAnsi="Calibri"/>
        </w:rPr>
        <w:t xml:space="preserve"> years of EITI implementation and </w:t>
      </w:r>
      <w:r w:rsidR="00C4740A" w:rsidRPr="005C3EC8">
        <w:rPr>
          <w:rFonts w:ascii="Calibri" w:hAnsi="Calibri"/>
        </w:rPr>
        <w:t xml:space="preserve">explore the </w:t>
      </w:r>
      <w:r w:rsidR="00A66096" w:rsidRPr="005C3EC8">
        <w:rPr>
          <w:rFonts w:ascii="Calibri" w:hAnsi="Calibri"/>
        </w:rPr>
        <w:t xml:space="preserve">opportunities to </w:t>
      </w:r>
      <w:r w:rsidR="00C4740A" w:rsidRPr="005C3EC8">
        <w:rPr>
          <w:rFonts w:ascii="Calibri" w:hAnsi="Calibri"/>
        </w:rPr>
        <w:t xml:space="preserve">further </w:t>
      </w:r>
      <w:r w:rsidR="00A66096" w:rsidRPr="005C3EC8">
        <w:rPr>
          <w:rFonts w:ascii="Calibri" w:hAnsi="Calibri"/>
        </w:rPr>
        <w:t xml:space="preserve">leverage the EITI </w:t>
      </w:r>
      <w:r w:rsidR="00C4740A" w:rsidRPr="005C3EC8">
        <w:rPr>
          <w:rFonts w:ascii="Calibri" w:hAnsi="Calibri"/>
        </w:rPr>
        <w:t xml:space="preserve">platform </w:t>
      </w:r>
      <w:r w:rsidR="00A66096" w:rsidRPr="005C3EC8">
        <w:rPr>
          <w:rFonts w:ascii="Calibri" w:hAnsi="Calibri"/>
        </w:rPr>
        <w:t>to enrich public debate on the governance and stewardship of the UK's oil, gas and mineral resources.</w:t>
      </w:r>
    </w:p>
    <w:p w14:paraId="4F22B058" w14:textId="2145B028" w:rsidR="00B459C9" w:rsidRPr="005C3EC8" w:rsidRDefault="00B517AB" w:rsidP="00B459C9">
      <w:pPr>
        <w:pStyle w:val="Heading2notindexed"/>
      </w:pPr>
      <w:bookmarkStart w:id="29" w:name="_Toc459105653"/>
      <w:bookmarkStart w:id="30" w:name="_Toc461803024"/>
      <w:bookmarkStart w:id="31" w:name="_Toc461787305"/>
      <w:r w:rsidRPr="005C3EC8">
        <w:t>Recommendations</w:t>
      </w:r>
      <w:bookmarkEnd w:id="29"/>
      <w:bookmarkEnd w:id="30"/>
      <w:bookmarkEnd w:id="31"/>
    </w:p>
    <w:p w14:paraId="2A20E40E" w14:textId="5F47EB9C" w:rsidR="00B459C9" w:rsidRPr="005C3EC8" w:rsidRDefault="00B459C9" w:rsidP="00B459C9">
      <w:pPr>
        <w:rPr>
          <w:rFonts w:ascii="Calibri" w:hAnsi="Calibri"/>
        </w:rPr>
      </w:pPr>
      <w:r w:rsidRPr="005C3EC8">
        <w:rPr>
          <w:rFonts w:ascii="Calibri" w:hAnsi="Calibri"/>
        </w:rPr>
        <w:t>While the following report includes recommendations for specific improvements the UK may wish to consider implementing, the following is a list of strategic corrective actions that could help the UK make even greater use of the EITI as an instrument to support reforms.</w:t>
      </w:r>
    </w:p>
    <w:p w14:paraId="73328C39" w14:textId="13AF3193" w:rsidR="00B459C9" w:rsidRPr="005C3EC8" w:rsidRDefault="005A6AA0" w:rsidP="00B459C9">
      <w:pPr>
        <w:numPr>
          <w:ilvl w:val="0"/>
          <w:numId w:val="10"/>
        </w:numPr>
      </w:pPr>
      <w:r w:rsidRPr="005C3EC8">
        <w:t xml:space="preserve">In accordance with </w:t>
      </w:r>
      <w:r w:rsidR="00DF0E26" w:rsidRPr="005C3EC8">
        <w:t>R</w:t>
      </w:r>
      <w:r w:rsidRPr="005C3EC8">
        <w:t xml:space="preserve">equirement 1.3.a, the civil society constituency should demonstrate that they are fully, actively and effectively engaged in the EITI process. Specifically, civil society should ensure that they are able to fully contribute and provide input to the EITI process by ensuring that the constituency is adequately represented on the MSG, with agreed mechanisms for wider constituency engagement. </w:t>
      </w:r>
    </w:p>
    <w:p w14:paraId="5A17943B" w14:textId="430D9032" w:rsidR="00AD7E05" w:rsidRPr="005C3EC8" w:rsidRDefault="000A6EAE" w:rsidP="00B459C9">
      <w:pPr>
        <w:numPr>
          <w:ilvl w:val="0"/>
          <w:numId w:val="10"/>
        </w:numPr>
      </w:pPr>
      <w:r w:rsidRPr="005C3EC8">
        <w:t xml:space="preserve">In accordance with </w:t>
      </w:r>
      <w:r w:rsidR="00DF0E26" w:rsidRPr="005C3EC8">
        <w:t>R</w:t>
      </w:r>
      <w:r w:rsidRPr="005C3EC8">
        <w:t>equirement 1.4.a.ii, the MSG should ensure that the civil society constituency is adequately represented, and that the civil society constituency appoints its own representatives, bearing in mind the desirability of pluralistic and diverse representation.</w:t>
      </w:r>
    </w:p>
    <w:p w14:paraId="27AB88BE" w14:textId="559B10C7" w:rsidR="00247985" w:rsidRPr="005C3EC8" w:rsidRDefault="00501F4B" w:rsidP="00B459C9">
      <w:pPr>
        <w:numPr>
          <w:ilvl w:val="0"/>
          <w:numId w:val="10"/>
        </w:numPr>
      </w:pPr>
      <w:r w:rsidRPr="005C3EC8">
        <w:t xml:space="preserve">In accordance with Requirement 2.2, the UK should disclose information related to the award or transfer of licenses pertaining to the companies covered in EITI reporting. This information should include the number of mining, oil and gas licenses awarded and transferred in the year covered by the EITI reporting cycle, a description of the award procedures, including specific technical and financial criteria assessed, and highlight any non-trivial deviations in practice. The UK is encouraged to consider innovative solutions for embedding a public accountability mechanism to ensure transparency on any non-trivial deviations from statutory procedures in its systematic </w:t>
      </w:r>
      <w:r w:rsidRPr="005C3EC8">
        <w:lastRenderedPageBreak/>
        <w:t>disclosures of information per Requirement 2.2.</w:t>
      </w:r>
      <w:r w:rsidR="00194FD0" w:rsidRPr="005C3EC8">
        <w:t xml:space="preserve"> </w:t>
      </w:r>
    </w:p>
    <w:p w14:paraId="7AA9AA26" w14:textId="77777777" w:rsidR="00E66A26" w:rsidRPr="005C3EC8" w:rsidRDefault="0082156D" w:rsidP="00B459C9">
      <w:pPr>
        <w:numPr>
          <w:ilvl w:val="0"/>
          <w:numId w:val="10"/>
        </w:numPr>
      </w:pPr>
      <w:r w:rsidRPr="005C3EC8">
        <w:t>In accordance with Requirement 2.3, the UK should maintain a publicly available register or cadastre system(s), including comprehensive information on all active licenses held by all mining and quarrying companies included in the scope of EITI reporting. In the interim the UK should ensure that future EITI reporting provides the information set out under Requirement 2.3.b for all mining and quarrying companies. The UK is encouraged to consider the extent to which integration of EITI reporting with the work of organisations like the British Geological Survey could ensure systematic disclosure of information mandated under Requirement 2.3.b.</w:t>
      </w:r>
    </w:p>
    <w:p w14:paraId="362E6FB8" w14:textId="77777777" w:rsidR="00B459C9" w:rsidRPr="005C3EC8" w:rsidRDefault="002432FB" w:rsidP="00B459C9">
      <w:pPr>
        <w:numPr>
          <w:ilvl w:val="0"/>
          <w:numId w:val="10"/>
        </w:numPr>
      </w:pPr>
      <w:r w:rsidRPr="005C3EC8">
        <w:t>In accordance with Requirement 3.2, the UK should ensure that estimates of production values are publicly disclosed for all minerals produced in the year under review. The UK is encouraged to consider the extent to which estimates prepared based on average benchmarks could ensure that general estimates of the value of production is in the public domain.</w:t>
      </w:r>
    </w:p>
    <w:p w14:paraId="5424B8B9" w14:textId="77777777" w:rsidR="00B459C9" w:rsidRPr="005C3EC8" w:rsidRDefault="002432FB" w:rsidP="00B459C9">
      <w:pPr>
        <w:numPr>
          <w:ilvl w:val="0"/>
          <w:numId w:val="10"/>
        </w:numPr>
      </w:pPr>
      <w:r w:rsidRPr="005C3EC8">
        <w:t>In accordance with Requirement 3.3, the UK should ensure that export volumes and values are publicly disclosed for every mineral commodity exported annually.</w:t>
      </w:r>
    </w:p>
    <w:p w14:paraId="7BE7D405" w14:textId="1AFF7A49" w:rsidR="00B459C9" w:rsidRPr="004E2EAE" w:rsidRDefault="00B459C9" w:rsidP="00B459C9">
      <w:pPr>
        <w:numPr>
          <w:ilvl w:val="0"/>
          <w:numId w:val="10"/>
        </w:numPr>
      </w:pPr>
      <w:r w:rsidRPr="005C3EC8">
        <w:rPr>
          <w:rFonts w:eastAsia="Calibri"/>
        </w:rPr>
        <w:t>In accordance with Requirement 6.1, the UK should assess the materiality of mandatory social expenditures ahead of future EITI reporting and ensure that reporting of mandatory social expenditures be disaggregated by type of payment, nature of in-kind contributions and beneficiary(</w:t>
      </w:r>
      <w:proofErr w:type="spellStart"/>
      <w:r w:rsidRPr="005C3EC8">
        <w:rPr>
          <w:rFonts w:eastAsia="Calibri"/>
        </w:rPr>
        <w:t>ies</w:t>
      </w:r>
      <w:proofErr w:type="spellEnd"/>
      <w:r w:rsidRPr="005C3EC8">
        <w:rPr>
          <w:rFonts w:eastAsia="Calibri"/>
        </w:rPr>
        <w:t>), clarifying the name and function of any non-government (third-party) beneficiaries where applicable.</w:t>
      </w:r>
    </w:p>
    <w:p w14:paraId="5602F28C" w14:textId="4A1FCF42" w:rsidR="004E2EAE" w:rsidRPr="005C3EC8" w:rsidRDefault="004E2EAE" w:rsidP="00B459C9">
      <w:pPr>
        <w:numPr>
          <w:ilvl w:val="0"/>
          <w:numId w:val="10"/>
        </w:numPr>
      </w:pPr>
      <w:r>
        <w:t>In accordance with requirement 7.4, t</w:t>
      </w:r>
      <w:r w:rsidRPr="00B51B3A">
        <w:t>he MSG, with the full, active and effective engagement of civil society, should review the impact of the first five years of EITI implementation and explore the opportunities to further leverage the EITI platform to enrich public debate on the governance and stewardship of the UK's oil, gas and mineral resources.</w:t>
      </w:r>
    </w:p>
    <w:p w14:paraId="13B7F3B9" w14:textId="07BDBAF5" w:rsidR="00B317E1" w:rsidRPr="005C3EC8" w:rsidRDefault="00B317E1" w:rsidP="00B459C9">
      <w:pPr>
        <w:ind w:left="360"/>
      </w:pPr>
      <w:r w:rsidRPr="005C3EC8">
        <w:rPr>
          <w:rFonts w:eastAsia="Calibri"/>
        </w:rPr>
        <w:br w:type="page"/>
      </w:r>
    </w:p>
    <w:p w14:paraId="464F1251" w14:textId="1F843125" w:rsidR="00727A05" w:rsidRPr="005C3EC8" w:rsidRDefault="00727A05" w:rsidP="007906D4">
      <w:pPr>
        <w:pStyle w:val="Caption"/>
        <w:rPr>
          <w:rFonts w:eastAsia="Calibri"/>
        </w:rPr>
      </w:pPr>
      <w:bookmarkStart w:id="32" w:name="_Toc463528548"/>
      <w:bookmarkStart w:id="33" w:name="_Toc452707647"/>
      <w:bookmarkStart w:id="34" w:name="_Toc459133076"/>
      <w:bookmarkStart w:id="35" w:name="_Toc461803025"/>
      <w:bookmarkStart w:id="36" w:name="_Toc461787306"/>
      <w:bookmarkStart w:id="37" w:name="_Toc461795825"/>
      <w:bookmarkStart w:id="38" w:name="_Toc462149172"/>
      <w:r w:rsidRPr="005C3EC8">
        <w:lastRenderedPageBreak/>
        <w:t xml:space="preserve">Figure </w:t>
      </w:r>
      <w:r w:rsidR="000047B5">
        <w:fldChar w:fldCharType="begin"/>
      </w:r>
      <w:r w:rsidR="000047B5">
        <w:instrText xml:space="preserve"> SEQ Figure \* ARABIC </w:instrText>
      </w:r>
      <w:r w:rsidR="000047B5">
        <w:fldChar w:fldCharType="separate"/>
      </w:r>
      <w:r w:rsidR="0083320D" w:rsidRPr="005C3EC8">
        <w:t>1</w:t>
      </w:r>
      <w:r w:rsidR="000047B5">
        <w:fldChar w:fldCharType="end"/>
      </w:r>
      <w:r w:rsidRPr="005C3EC8">
        <w:rPr>
          <w:rFonts w:eastAsia="Calibri"/>
        </w:rPr>
        <w:t>– initial assessment card</w:t>
      </w:r>
    </w:p>
    <w:tbl>
      <w:tblPr>
        <w:tblW w:w="9067" w:type="dxa"/>
        <w:tblInd w:w="-15" w:type="dxa"/>
        <w:tblLayout w:type="fixed"/>
        <w:tblLook w:val="04A0" w:firstRow="1" w:lastRow="0" w:firstColumn="1" w:lastColumn="0" w:noHBand="0" w:noVBand="1"/>
      </w:tblPr>
      <w:tblGrid>
        <w:gridCol w:w="2127"/>
        <w:gridCol w:w="573"/>
        <w:gridCol w:w="940"/>
        <w:gridCol w:w="266"/>
        <w:gridCol w:w="2756"/>
        <w:gridCol w:w="491"/>
        <w:gridCol w:w="532"/>
        <w:gridCol w:w="491"/>
        <w:gridCol w:w="470"/>
        <w:gridCol w:w="421"/>
      </w:tblGrid>
      <w:tr w:rsidR="00BE1E18" w:rsidRPr="005C3EC8" w14:paraId="7B22FC0B" w14:textId="77777777" w:rsidTr="0097728B">
        <w:trPr>
          <w:trHeight w:val="142"/>
        </w:trPr>
        <w:tc>
          <w:tcPr>
            <w:tcW w:w="6662" w:type="dxa"/>
            <w:gridSpan w:val="5"/>
            <w:tcBorders>
              <w:top w:val="single" w:sz="12" w:space="0" w:color="auto"/>
              <w:left w:val="single" w:sz="12" w:space="0" w:color="auto"/>
              <w:bottom w:val="single" w:sz="4" w:space="0" w:color="auto"/>
              <w:right w:val="single" w:sz="4" w:space="0" w:color="auto"/>
            </w:tcBorders>
            <w:shd w:val="clear" w:color="000000" w:fill="366092"/>
            <w:noWrap/>
            <w:vAlign w:val="bottom"/>
          </w:tcPr>
          <w:p w14:paraId="1AEA34ED" w14:textId="77777777" w:rsidR="00BE1E18" w:rsidRPr="005C3EC8" w:rsidRDefault="00BE1E18" w:rsidP="0080605A">
            <w:pPr>
              <w:widowControl/>
              <w:suppressAutoHyphens w:val="0"/>
              <w:spacing w:after="0" w:line="240" w:lineRule="auto"/>
              <w:rPr>
                <w:rFonts w:ascii="Calibri" w:hAnsi="Calibri" w:cs="Times New Roman"/>
                <w:b/>
                <w:bCs/>
                <w:color w:val="FFFFFF"/>
                <w:lang w:eastAsia="en-GB"/>
              </w:rPr>
            </w:pPr>
            <w:r w:rsidRPr="005C3EC8">
              <w:rPr>
                <w:rFonts w:ascii="Calibri" w:hAnsi="Calibri" w:cs="Times New Roman"/>
                <w:b/>
                <w:bCs/>
                <w:color w:val="FFFFFF"/>
                <w:lang w:eastAsia="en-GB"/>
              </w:rPr>
              <w:t>EITI Requirements</w:t>
            </w:r>
          </w:p>
        </w:tc>
        <w:tc>
          <w:tcPr>
            <w:tcW w:w="2405" w:type="dxa"/>
            <w:gridSpan w:val="5"/>
            <w:tcBorders>
              <w:top w:val="single" w:sz="12" w:space="0" w:color="auto"/>
              <w:left w:val="single" w:sz="4" w:space="0" w:color="auto"/>
              <w:bottom w:val="single" w:sz="4" w:space="0" w:color="auto"/>
              <w:right w:val="single" w:sz="12" w:space="0" w:color="auto"/>
            </w:tcBorders>
            <w:shd w:val="clear" w:color="000000" w:fill="366092"/>
            <w:vAlign w:val="center"/>
          </w:tcPr>
          <w:p w14:paraId="25FD228B" w14:textId="77777777" w:rsidR="00BE1E18" w:rsidRPr="005C3EC8" w:rsidRDefault="00BE1E18" w:rsidP="0080605A">
            <w:pPr>
              <w:widowControl/>
              <w:suppressAutoHyphens w:val="0"/>
              <w:spacing w:after="0" w:line="240" w:lineRule="auto"/>
              <w:jc w:val="center"/>
              <w:rPr>
                <w:rFonts w:ascii="Calibri" w:hAnsi="Calibri" w:cs="Times New Roman"/>
                <w:b/>
                <w:bCs/>
                <w:color w:val="FFFFFF"/>
                <w:lang w:eastAsia="en-GB"/>
              </w:rPr>
            </w:pPr>
            <w:r w:rsidRPr="005C3EC8">
              <w:rPr>
                <w:rFonts w:ascii="Calibri" w:hAnsi="Calibri" w:cs="Times New Roman"/>
                <w:b/>
                <w:bCs/>
                <w:color w:val="FFFFFF"/>
                <w:lang w:eastAsia="en-GB"/>
              </w:rPr>
              <w:t>LEVEL OF PROGRESS</w:t>
            </w:r>
          </w:p>
        </w:tc>
      </w:tr>
      <w:tr w:rsidR="0097728B" w:rsidRPr="005C3EC8" w14:paraId="1FD01EB3" w14:textId="77777777" w:rsidTr="0097728B">
        <w:trPr>
          <w:trHeight w:val="1372"/>
        </w:trPr>
        <w:tc>
          <w:tcPr>
            <w:tcW w:w="2700" w:type="dxa"/>
            <w:gridSpan w:val="2"/>
            <w:tcBorders>
              <w:top w:val="single" w:sz="4" w:space="0" w:color="auto"/>
              <w:left w:val="single" w:sz="12" w:space="0" w:color="auto"/>
              <w:bottom w:val="nil"/>
              <w:right w:val="nil"/>
            </w:tcBorders>
            <w:shd w:val="clear" w:color="000000" w:fill="F2F2F2"/>
            <w:noWrap/>
            <w:vAlign w:val="bottom"/>
            <w:hideMark/>
          </w:tcPr>
          <w:p w14:paraId="082C3221"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940" w:type="dxa"/>
            <w:tcBorders>
              <w:top w:val="single" w:sz="4" w:space="0" w:color="auto"/>
              <w:left w:val="nil"/>
              <w:bottom w:val="nil"/>
              <w:right w:val="nil"/>
            </w:tcBorders>
            <w:shd w:val="clear" w:color="000000" w:fill="F2F2F2"/>
            <w:noWrap/>
            <w:vAlign w:val="bottom"/>
            <w:hideMark/>
          </w:tcPr>
          <w:p w14:paraId="228BC07B"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266" w:type="dxa"/>
            <w:tcBorders>
              <w:top w:val="single" w:sz="4" w:space="0" w:color="auto"/>
              <w:left w:val="nil"/>
              <w:bottom w:val="nil"/>
              <w:right w:val="nil"/>
            </w:tcBorders>
            <w:shd w:val="clear" w:color="000000" w:fill="F2F2F2"/>
            <w:noWrap/>
            <w:vAlign w:val="bottom"/>
            <w:hideMark/>
          </w:tcPr>
          <w:p w14:paraId="6663F3C4"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2756" w:type="dxa"/>
            <w:tcBorders>
              <w:top w:val="single" w:sz="4" w:space="0" w:color="auto"/>
              <w:left w:val="nil"/>
              <w:bottom w:val="nil"/>
              <w:right w:val="single" w:sz="8" w:space="0" w:color="auto"/>
            </w:tcBorders>
            <w:shd w:val="clear" w:color="000000" w:fill="F2F2F2"/>
            <w:noWrap/>
            <w:vAlign w:val="center"/>
            <w:hideMark/>
          </w:tcPr>
          <w:p w14:paraId="238B922D" w14:textId="77777777" w:rsidR="00BE1E18" w:rsidRPr="005C3EC8" w:rsidRDefault="00BE1E18" w:rsidP="0080605A">
            <w:pPr>
              <w:widowControl/>
              <w:suppressAutoHyphens w:val="0"/>
              <w:spacing w:after="0" w:line="240" w:lineRule="auto"/>
              <w:rPr>
                <w:rFonts w:ascii="Calibri" w:hAnsi="Calibri" w:cs="Times New Roman"/>
                <w:b/>
                <w:bCs/>
                <w:color w:val="FFFFFF"/>
                <w:lang w:eastAsia="en-GB"/>
              </w:rPr>
            </w:pPr>
            <w:r w:rsidRPr="005C3EC8">
              <w:rPr>
                <w:rFonts w:ascii="Calibri" w:hAnsi="Calibri" w:cs="Times New Roman"/>
                <w:b/>
                <w:bCs/>
                <w:color w:val="FFFFFF"/>
                <w:lang w:eastAsia="en-GB"/>
              </w:rPr>
              <w:t> </w:t>
            </w:r>
          </w:p>
        </w:tc>
        <w:tc>
          <w:tcPr>
            <w:tcW w:w="491" w:type="dxa"/>
            <w:tcBorders>
              <w:top w:val="single" w:sz="4" w:space="0" w:color="auto"/>
              <w:left w:val="single" w:sz="4" w:space="0" w:color="000000" w:themeColor="text1"/>
              <w:right w:val="single" w:sz="12" w:space="0" w:color="auto"/>
            </w:tcBorders>
            <w:shd w:val="clear" w:color="000000" w:fill="F2F2F2"/>
            <w:textDirection w:val="btLr"/>
          </w:tcPr>
          <w:p w14:paraId="3C73985F" w14:textId="35138EE4" w:rsidR="00BE1E18" w:rsidRPr="005C3EC8" w:rsidRDefault="00BE1E18" w:rsidP="0080605A">
            <w:pPr>
              <w:widowControl/>
              <w:suppressAutoHyphens w:val="0"/>
              <w:spacing w:after="0" w:line="240" w:lineRule="auto"/>
              <w:rPr>
                <w:rFonts w:ascii="Calibri" w:hAnsi="Calibri" w:cs="Times New Roman"/>
                <w:bCs/>
                <w:color w:val="000000"/>
                <w:lang w:eastAsia="en-GB"/>
              </w:rPr>
            </w:pPr>
            <w:r w:rsidRPr="005C3EC8">
              <w:rPr>
                <w:rFonts w:ascii="Calibri" w:hAnsi="Calibri" w:cs="Times New Roman"/>
                <w:bCs/>
                <w:color w:val="000000"/>
                <w:lang w:eastAsia="en-GB"/>
              </w:rPr>
              <w:t xml:space="preserve">  No</w:t>
            </w:r>
            <w:r w:rsidR="008937EE" w:rsidRPr="005C3EC8">
              <w:rPr>
                <w:rFonts w:ascii="Calibri" w:hAnsi="Calibri" w:cs="Times New Roman"/>
                <w:bCs/>
                <w:color w:val="000000"/>
                <w:lang w:eastAsia="en-GB"/>
              </w:rPr>
              <w:t xml:space="preserve"> progress</w:t>
            </w:r>
          </w:p>
        </w:tc>
        <w:tc>
          <w:tcPr>
            <w:tcW w:w="532" w:type="dxa"/>
            <w:tcBorders>
              <w:top w:val="single" w:sz="4" w:space="0" w:color="auto"/>
              <w:left w:val="single" w:sz="4" w:space="0" w:color="000000" w:themeColor="text1"/>
              <w:right w:val="single" w:sz="12" w:space="0" w:color="auto"/>
            </w:tcBorders>
            <w:shd w:val="clear" w:color="000000" w:fill="F2F2F2"/>
            <w:textDirection w:val="btLr"/>
          </w:tcPr>
          <w:p w14:paraId="39A94E0D" w14:textId="77777777" w:rsidR="00BE1E18" w:rsidRPr="005C3EC8" w:rsidRDefault="00BE1E18" w:rsidP="0080605A">
            <w:pPr>
              <w:widowControl/>
              <w:suppressAutoHyphens w:val="0"/>
              <w:spacing w:after="0" w:line="240" w:lineRule="auto"/>
              <w:rPr>
                <w:rFonts w:ascii="Calibri" w:hAnsi="Calibri" w:cs="Times New Roman"/>
                <w:bCs/>
                <w:color w:val="000000"/>
                <w:lang w:eastAsia="en-GB"/>
              </w:rPr>
            </w:pPr>
            <w:r w:rsidRPr="005C3EC8">
              <w:rPr>
                <w:rFonts w:ascii="Calibri" w:hAnsi="Calibri" w:cs="Times New Roman"/>
                <w:bCs/>
                <w:color w:val="000000"/>
                <w:lang w:eastAsia="en-GB"/>
              </w:rPr>
              <w:t xml:space="preserve">  Inadequate</w:t>
            </w:r>
          </w:p>
        </w:tc>
        <w:tc>
          <w:tcPr>
            <w:tcW w:w="491" w:type="dxa"/>
            <w:tcBorders>
              <w:top w:val="single" w:sz="4" w:space="0" w:color="auto"/>
              <w:left w:val="single" w:sz="4" w:space="0" w:color="000000" w:themeColor="text1"/>
              <w:right w:val="single" w:sz="12" w:space="0" w:color="auto"/>
            </w:tcBorders>
            <w:shd w:val="clear" w:color="000000" w:fill="F2F2F2"/>
            <w:textDirection w:val="btLr"/>
          </w:tcPr>
          <w:p w14:paraId="2F2424E3" w14:textId="77777777" w:rsidR="00BE1E18" w:rsidRPr="005C3EC8" w:rsidRDefault="00BE1E18" w:rsidP="0080605A">
            <w:pPr>
              <w:widowControl/>
              <w:suppressAutoHyphens w:val="0"/>
              <w:spacing w:after="0" w:line="240" w:lineRule="auto"/>
              <w:rPr>
                <w:rFonts w:ascii="Calibri" w:hAnsi="Calibri" w:cs="Times New Roman"/>
                <w:bCs/>
                <w:color w:val="000000"/>
                <w:lang w:eastAsia="en-GB"/>
              </w:rPr>
            </w:pPr>
            <w:r w:rsidRPr="005C3EC8">
              <w:rPr>
                <w:rFonts w:ascii="Calibri" w:hAnsi="Calibri" w:cs="Times New Roman"/>
                <w:bCs/>
                <w:color w:val="000000"/>
                <w:lang w:eastAsia="en-GB"/>
              </w:rPr>
              <w:t xml:space="preserve">  Meaningful</w:t>
            </w:r>
          </w:p>
        </w:tc>
        <w:tc>
          <w:tcPr>
            <w:tcW w:w="470" w:type="dxa"/>
            <w:tcBorders>
              <w:top w:val="single" w:sz="4" w:space="0" w:color="auto"/>
              <w:left w:val="single" w:sz="4" w:space="0" w:color="000000" w:themeColor="text1"/>
              <w:right w:val="single" w:sz="12" w:space="0" w:color="auto"/>
            </w:tcBorders>
            <w:shd w:val="clear" w:color="000000" w:fill="F2F2F2"/>
            <w:textDirection w:val="btLr"/>
          </w:tcPr>
          <w:p w14:paraId="18A7DBFA" w14:textId="77777777" w:rsidR="00BE1E18" w:rsidRPr="005C3EC8" w:rsidRDefault="00BE1E18" w:rsidP="0080605A">
            <w:pPr>
              <w:widowControl/>
              <w:suppressAutoHyphens w:val="0"/>
              <w:spacing w:after="0" w:line="240" w:lineRule="auto"/>
              <w:rPr>
                <w:rFonts w:ascii="Calibri" w:hAnsi="Calibri" w:cs="Times New Roman"/>
                <w:bCs/>
                <w:color w:val="000000"/>
                <w:lang w:eastAsia="en-GB"/>
              </w:rPr>
            </w:pPr>
            <w:r w:rsidRPr="005C3EC8">
              <w:rPr>
                <w:rFonts w:ascii="Calibri" w:hAnsi="Calibri" w:cs="Times New Roman"/>
                <w:bCs/>
                <w:color w:val="000000"/>
                <w:lang w:eastAsia="en-GB"/>
              </w:rPr>
              <w:t xml:space="preserve">  Satisfactory</w:t>
            </w:r>
          </w:p>
        </w:tc>
        <w:tc>
          <w:tcPr>
            <w:tcW w:w="421" w:type="dxa"/>
            <w:tcBorders>
              <w:top w:val="single" w:sz="4" w:space="0" w:color="auto"/>
              <w:left w:val="single" w:sz="4" w:space="0" w:color="000000" w:themeColor="text1"/>
              <w:right w:val="single" w:sz="12" w:space="0" w:color="auto"/>
            </w:tcBorders>
            <w:shd w:val="clear" w:color="000000" w:fill="F2F2F2"/>
            <w:textDirection w:val="btLr"/>
            <w:vAlign w:val="center"/>
          </w:tcPr>
          <w:p w14:paraId="7AAED28B" w14:textId="77777777" w:rsidR="00BE1E18" w:rsidRPr="005C3EC8" w:rsidRDefault="00BE1E18" w:rsidP="0080605A">
            <w:pPr>
              <w:widowControl/>
              <w:suppressAutoHyphens w:val="0"/>
              <w:spacing w:after="0" w:line="240" w:lineRule="auto"/>
              <w:rPr>
                <w:rFonts w:ascii="Calibri" w:hAnsi="Calibri" w:cs="Times New Roman"/>
                <w:bCs/>
                <w:color w:val="000000"/>
                <w:lang w:eastAsia="en-GB"/>
              </w:rPr>
            </w:pPr>
            <w:r w:rsidRPr="005C3EC8">
              <w:rPr>
                <w:rFonts w:ascii="Calibri" w:hAnsi="Calibri" w:cs="Times New Roman"/>
                <w:bCs/>
                <w:color w:val="000000"/>
                <w:lang w:eastAsia="en-GB"/>
              </w:rPr>
              <w:t xml:space="preserve">  Beyond</w:t>
            </w:r>
          </w:p>
        </w:tc>
      </w:tr>
      <w:tr w:rsidR="00764C60" w:rsidRPr="005C3EC8" w14:paraId="70D253A8" w14:textId="77777777" w:rsidTr="00F67076">
        <w:trPr>
          <w:trHeight w:val="306"/>
        </w:trPr>
        <w:tc>
          <w:tcPr>
            <w:tcW w:w="2127" w:type="dxa"/>
            <w:tcBorders>
              <w:left w:val="single" w:sz="12" w:space="0" w:color="auto"/>
              <w:bottom w:val="single" w:sz="12" w:space="0" w:color="000000" w:themeColor="text1"/>
            </w:tcBorders>
            <w:shd w:val="clear" w:color="000000" w:fill="F2F2F2"/>
            <w:noWrap/>
            <w:vAlign w:val="bottom"/>
            <w:hideMark/>
          </w:tcPr>
          <w:p w14:paraId="0E368AC7" w14:textId="77777777" w:rsidR="00764C60" w:rsidRPr="005C3EC8" w:rsidRDefault="00764C60" w:rsidP="0080605A">
            <w:pPr>
              <w:widowControl/>
              <w:suppressAutoHyphens w:val="0"/>
              <w:spacing w:after="0" w:line="240" w:lineRule="auto"/>
              <w:rPr>
                <w:rFonts w:ascii="Calibri" w:hAnsi="Calibri" w:cs="Times New Roman"/>
                <w:b/>
                <w:bCs/>
                <w:color w:val="000000"/>
                <w:lang w:eastAsia="en-GB"/>
              </w:rPr>
            </w:pPr>
            <w:r w:rsidRPr="005C3EC8">
              <w:rPr>
                <w:rFonts w:ascii="Calibri" w:hAnsi="Calibri" w:cs="Times New Roman"/>
                <w:b/>
                <w:bCs/>
                <w:color w:val="000000"/>
                <w:lang w:eastAsia="en-GB"/>
              </w:rPr>
              <w:t>Categories</w:t>
            </w:r>
          </w:p>
        </w:tc>
        <w:tc>
          <w:tcPr>
            <w:tcW w:w="4535" w:type="dxa"/>
            <w:gridSpan w:val="4"/>
            <w:tcBorders>
              <w:bottom w:val="single" w:sz="12" w:space="0" w:color="000000" w:themeColor="text1"/>
              <w:right w:val="single" w:sz="8" w:space="0" w:color="auto"/>
            </w:tcBorders>
            <w:shd w:val="clear" w:color="000000" w:fill="F2F2F2"/>
            <w:noWrap/>
            <w:vAlign w:val="center"/>
            <w:hideMark/>
          </w:tcPr>
          <w:p w14:paraId="5D76AE49" w14:textId="77777777" w:rsidR="00764C60" w:rsidRPr="005C3EC8" w:rsidRDefault="00764C60" w:rsidP="0080605A">
            <w:pPr>
              <w:widowControl/>
              <w:suppressAutoHyphens w:val="0"/>
              <w:spacing w:after="0" w:line="240" w:lineRule="auto"/>
              <w:rPr>
                <w:rFonts w:ascii="Calibri" w:hAnsi="Calibri" w:cs="Times New Roman"/>
                <w:b/>
                <w:bCs/>
                <w:color w:val="000000"/>
                <w:lang w:eastAsia="en-GB"/>
              </w:rPr>
            </w:pPr>
            <w:r w:rsidRPr="005C3EC8">
              <w:rPr>
                <w:rFonts w:ascii="Calibri" w:hAnsi="Calibri" w:cs="Times New Roman"/>
                <w:b/>
                <w:bCs/>
                <w:color w:val="000000"/>
                <w:lang w:eastAsia="en-GB"/>
              </w:rPr>
              <w:t>Requirements</w:t>
            </w:r>
          </w:p>
        </w:tc>
        <w:tc>
          <w:tcPr>
            <w:tcW w:w="491" w:type="dxa"/>
            <w:tcBorders>
              <w:left w:val="single" w:sz="4" w:space="0" w:color="000000" w:themeColor="text1"/>
              <w:bottom w:val="single" w:sz="12" w:space="0" w:color="auto"/>
              <w:right w:val="single" w:sz="12" w:space="0" w:color="auto"/>
            </w:tcBorders>
            <w:shd w:val="clear" w:color="000000" w:fill="C00000"/>
          </w:tcPr>
          <w:p w14:paraId="2D0916FD" w14:textId="77777777" w:rsidR="00764C60" w:rsidRPr="005C3EC8" w:rsidRDefault="00764C60" w:rsidP="0080605A">
            <w:pPr>
              <w:widowControl/>
              <w:suppressAutoHyphens w:val="0"/>
              <w:spacing w:after="0" w:line="240" w:lineRule="auto"/>
              <w:rPr>
                <w:rFonts w:ascii="Calibri" w:hAnsi="Calibri" w:cs="Times New Roman"/>
                <w:b/>
                <w:bCs/>
                <w:color w:val="C00000"/>
                <w:lang w:eastAsia="en-GB"/>
              </w:rPr>
            </w:pPr>
          </w:p>
        </w:tc>
        <w:tc>
          <w:tcPr>
            <w:tcW w:w="532" w:type="dxa"/>
            <w:tcBorders>
              <w:left w:val="single" w:sz="4" w:space="0" w:color="000000" w:themeColor="text1"/>
              <w:bottom w:val="single" w:sz="12" w:space="0" w:color="auto"/>
              <w:right w:val="single" w:sz="12" w:space="0" w:color="auto"/>
            </w:tcBorders>
            <w:shd w:val="clear" w:color="000000" w:fill="FAC636"/>
          </w:tcPr>
          <w:p w14:paraId="50C3B409" w14:textId="77777777" w:rsidR="00764C60" w:rsidRPr="005C3EC8" w:rsidRDefault="00764C60" w:rsidP="0080605A">
            <w:pPr>
              <w:widowControl/>
              <w:suppressAutoHyphens w:val="0"/>
              <w:spacing w:after="0" w:line="240" w:lineRule="auto"/>
              <w:rPr>
                <w:rFonts w:ascii="Calibri" w:hAnsi="Calibri" w:cs="Times New Roman"/>
                <w:b/>
                <w:bCs/>
                <w:color w:val="C00000"/>
                <w:lang w:eastAsia="en-GB"/>
              </w:rPr>
            </w:pPr>
          </w:p>
        </w:tc>
        <w:tc>
          <w:tcPr>
            <w:tcW w:w="491" w:type="dxa"/>
            <w:tcBorders>
              <w:left w:val="single" w:sz="4" w:space="0" w:color="000000" w:themeColor="text1"/>
              <w:bottom w:val="single" w:sz="12" w:space="0" w:color="auto"/>
              <w:right w:val="single" w:sz="12" w:space="0" w:color="auto"/>
            </w:tcBorders>
            <w:shd w:val="clear" w:color="000000" w:fill="84AE44"/>
            <w:vAlign w:val="bottom"/>
          </w:tcPr>
          <w:p w14:paraId="7EDEAC16" w14:textId="77777777" w:rsidR="00764C60" w:rsidRPr="005C3EC8" w:rsidRDefault="00764C60" w:rsidP="0080605A">
            <w:pPr>
              <w:widowControl/>
              <w:suppressAutoHyphens w:val="0"/>
              <w:spacing w:after="0" w:line="240" w:lineRule="auto"/>
              <w:rPr>
                <w:rFonts w:ascii="Calibri" w:hAnsi="Calibri" w:cs="Times New Roman"/>
                <w:b/>
                <w:bCs/>
                <w:color w:val="000000"/>
                <w:lang w:eastAsia="en-GB"/>
              </w:rPr>
            </w:pPr>
            <w:r w:rsidRPr="005C3EC8">
              <w:rPr>
                <w:rFonts w:ascii="Calibri" w:hAnsi="Calibri" w:cs="Times New Roman"/>
                <w:color w:val="000000"/>
                <w:lang w:eastAsia="en-GB"/>
              </w:rPr>
              <w:t> </w:t>
            </w:r>
          </w:p>
        </w:tc>
        <w:tc>
          <w:tcPr>
            <w:tcW w:w="470" w:type="dxa"/>
            <w:tcBorders>
              <w:left w:val="single" w:sz="4" w:space="0" w:color="000000" w:themeColor="text1"/>
              <w:bottom w:val="single" w:sz="12" w:space="0" w:color="auto"/>
              <w:right w:val="single" w:sz="12" w:space="0" w:color="auto"/>
            </w:tcBorders>
            <w:shd w:val="clear" w:color="000000" w:fill="2D8B2B"/>
            <w:vAlign w:val="bottom"/>
          </w:tcPr>
          <w:p w14:paraId="3F7CBAA2" w14:textId="77777777" w:rsidR="00764C60" w:rsidRPr="005C3EC8" w:rsidRDefault="00764C60" w:rsidP="0080605A">
            <w:pPr>
              <w:widowControl/>
              <w:suppressAutoHyphens w:val="0"/>
              <w:spacing w:after="0" w:line="240" w:lineRule="auto"/>
              <w:rPr>
                <w:rFonts w:ascii="Calibri" w:hAnsi="Calibri" w:cs="Times New Roman"/>
                <w:b/>
                <w:bCs/>
                <w:color w:val="000000"/>
                <w:lang w:eastAsia="en-GB"/>
              </w:rPr>
            </w:pPr>
            <w:r w:rsidRPr="005C3EC8">
              <w:rPr>
                <w:rFonts w:ascii="Calibri" w:hAnsi="Calibri" w:cs="Times New Roman"/>
                <w:color w:val="000000"/>
                <w:lang w:eastAsia="en-GB"/>
              </w:rPr>
              <w:t> </w:t>
            </w:r>
          </w:p>
        </w:tc>
        <w:tc>
          <w:tcPr>
            <w:tcW w:w="421" w:type="dxa"/>
            <w:tcBorders>
              <w:left w:val="single" w:sz="4" w:space="0" w:color="000000" w:themeColor="text1"/>
              <w:bottom w:val="single" w:sz="12" w:space="0" w:color="auto"/>
              <w:right w:val="single" w:sz="12" w:space="0" w:color="auto"/>
            </w:tcBorders>
            <w:shd w:val="clear" w:color="000000" w:fill="0076AF"/>
            <w:vAlign w:val="center"/>
          </w:tcPr>
          <w:p w14:paraId="2F10AF65" w14:textId="77777777" w:rsidR="00764C60" w:rsidRPr="005C3EC8" w:rsidRDefault="00764C60" w:rsidP="0080605A">
            <w:pPr>
              <w:widowControl/>
              <w:suppressAutoHyphens w:val="0"/>
              <w:spacing w:after="0" w:line="240" w:lineRule="auto"/>
              <w:rPr>
                <w:rFonts w:ascii="Calibri" w:hAnsi="Calibri" w:cs="Times New Roman"/>
                <w:b/>
                <w:bCs/>
                <w:color w:val="000000"/>
                <w:lang w:eastAsia="en-GB"/>
              </w:rPr>
            </w:pPr>
            <w:r w:rsidRPr="005C3EC8">
              <w:rPr>
                <w:rFonts w:ascii="Calibri" w:hAnsi="Calibri" w:cs="Times New Roman"/>
                <w:color w:val="000000"/>
                <w:lang w:eastAsia="en-GB"/>
              </w:rPr>
              <w:t> </w:t>
            </w:r>
          </w:p>
        </w:tc>
      </w:tr>
      <w:tr w:rsidR="00BE1E18" w:rsidRPr="005C3EC8" w14:paraId="675F4C50" w14:textId="77777777" w:rsidTr="004D56C6">
        <w:trPr>
          <w:trHeight w:hRule="exact" w:val="284"/>
        </w:trPr>
        <w:tc>
          <w:tcPr>
            <w:tcW w:w="2127" w:type="dxa"/>
            <w:vMerge w:val="restart"/>
            <w:tcBorders>
              <w:top w:val="single" w:sz="12" w:space="0" w:color="000000" w:themeColor="text1"/>
              <w:left w:val="single" w:sz="12" w:space="0" w:color="auto"/>
              <w:bottom w:val="single" w:sz="8" w:space="0" w:color="000000"/>
              <w:right w:val="single" w:sz="2" w:space="0" w:color="A6A6A6" w:themeColor="background1" w:themeShade="A6"/>
            </w:tcBorders>
            <w:shd w:val="clear" w:color="000000" w:fill="BFBFBF"/>
            <w:noWrap/>
            <w:vAlign w:val="center"/>
            <w:hideMark/>
          </w:tcPr>
          <w:p w14:paraId="4FE03823" w14:textId="77777777" w:rsidR="00BE1E18" w:rsidRPr="005C3EC8" w:rsidRDefault="00BE1E18" w:rsidP="0080605A">
            <w:pPr>
              <w:widowControl/>
              <w:suppressAutoHyphens w:val="0"/>
              <w:spacing w:after="0" w:line="240" w:lineRule="auto"/>
              <w:rPr>
                <w:rFonts w:ascii="Calibri" w:hAnsi="Calibri" w:cs="Times New Roman"/>
                <w:b/>
                <w:bCs/>
                <w:color w:val="000000"/>
                <w:lang w:eastAsia="en-GB"/>
              </w:rPr>
            </w:pPr>
            <w:r w:rsidRPr="005C3EC8">
              <w:rPr>
                <w:rFonts w:ascii="Calibri" w:hAnsi="Calibri" w:cs="Times New Roman"/>
                <w:b/>
                <w:bCs/>
                <w:color w:val="000000"/>
                <w:lang w:eastAsia="en-GB"/>
              </w:rPr>
              <w:t>MSG oversight</w:t>
            </w:r>
          </w:p>
        </w:tc>
        <w:tc>
          <w:tcPr>
            <w:tcW w:w="4535" w:type="dxa"/>
            <w:gridSpan w:val="4"/>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bottom"/>
            <w:hideMark/>
          </w:tcPr>
          <w:p w14:paraId="67D663F7" w14:textId="77777777" w:rsidR="00BE1E18" w:rsidRPr="005C3EC8" w:rsidRDefault="00BE1E18" w:rsidP="004D56C6">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Government engagement (#1.1)</w:t>
            </w:r>
          </w:p>
        </w:tc>
        <w:tc>
          <w:tcPr>
            <w:tcW w:w="491" w:type="dxa"/>
            <w:tcBorders>
              <w:top w:val="single" w:sz="12" w:space="0" w:color="auto"/>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26C5DEFD"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p>
        </w:tc>
        <w:tc>
          <w:tcPr>
            <w:tcW w:w="532" w:type="dxa"/>
            <w:tcBorders>
              <w:top w:val="single" w:sz="12" w:space="0" w:color="auto"/>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100844BD"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12" w:space="0" w:color="auto"/>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2841BC50"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12" w:space="0" w:color="auto"/>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2D8B2B"/>
            <w:noWrap/>
            <w:vAlign w:val="bottom"/>
            <w:hideMark/>
          </w:tcPr>
          <w:p w14:paraId="7CE1FEA2"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12" w:space="0" w:color="auto"/>
              <w:left w:val="single" w:sz="2" w:space="0" w:color="A6A6A6" w:themeColor="background1" w:themeShade="A6"/>
              <w:bottom w:val="single" w:sz="2" w:space="0" w:color="A6A6A6" w:themeColor="background1" w:themeShade="A6"/>
              <w:right w:val="single" w:sz="12" w:space="0" w:color="auto"/>
            </w:tcBorders>
            <w:shd w:val="clear" w:color="auto" w:fill="auto"/>
            <w:noWrap/>
            <w:vAlign w:val="bottom"/>
            <w:hideMark/>
          </w:tcPr>
          <w:p w14:paraId="04F28830"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BE1E18" w:rsidRPr="005C3EC8" w14:paraId="2A554514" w14:textId="77777777" w:rsidTr="004D56C6">
        <w:trPr>
          <w:trHeight w:hRule="exact" w:val="284"/>
        </w:trPr>
        <w:tc>
          <w:tcPr>
            <w:tcW w:w="2127" w:type="dxa"/>
            <w:vMerge/>
            <w:tcBorders>
              <w:top w:val="single" w:sz="8" w:space="0" w:color="auto"/>
              <w:left w:val="single" w:sz="12" w:space="0" w:color="auto"/>
              <w:bottom w:val="single" w:sz="8" w:space="0" w:color="000000"/>
              <w:right w:val="single" w:sz="2" w:space="0" w:color="A6A6A6" w:themeColor="background1" w:themeShade="A6"/>
            </w:tcBorders>
            <w:vAlign w:val="center"/>
            <w:hideMark/>
          </w:tcPr>
          <w:p w14:paraId="4DFF7FB7" w14:textId="77777777" w:rsidR="00BE1E18" w:rsidRPr="005C3EC8" w:rsidRDefault="00BE1E18" w:rsidP="0080605A">
            <w:pPr>
              <w:widowControl/>
              <w:suppressAutoHyphens w:val="0"/>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bottom"/>
            <w:hideMark/>
          </w:tcPr>
          <w:p w14:paraId="5DD36379" w14:textId="77777777" w:rsidR="00BE1E18" w:rsidRPr="005C3EC8" w:rsidRDefault="00BE1E18" w:rsidP="004D56C6">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Industry engagement (#1.2)</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19C0A8D"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2A4D84C9"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7AEBEA62"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2D8B2B"/>
            <w:noWrap/>
            <w:vAlign w:val="bottom"/>
            <w:hideMark/>
          </w:tcPr>
          <w:p w14:paraId="478BA9DD"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clear" w:color="auto" w:fill="auto"/>
            <w:noWrap/>
            <w:vAlign w:val="bottom"/>
            <w:hideMark/>
          </w:tcPr>
          <w:p w14:paraId="54004B4A"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BE1E18" w:rsidRPr="005C3EC8" w14:paraId="15B203D2" w14:textId="77777777" w:rsidTr="004D56C6">
        <w:trPr>
          <w:trHeight w:hRule="exact" w:val="284"/>
        </w:trPr>
        <w:tc>
          <w:tcPr>
            <w:tcW w:w="2127" w:type="dxa"/>
            <w:vMerge/>
            <w:tcBorders>
              <w:top w:val="single" w:sz="8" w:space="0" w:color="auto"/>
              <w:left w:val="single" w:sz="12" w:space="0" w:color="auto"/>
              <w:bottom w:val="single" w:sz="8" w:space="0" w:color="000000"/>
              <w:right w:val="single" w:sz="2" w:space="0" w:color="A6A6A6" w:themeColor="background1" w:themeShade="A6"/>
            </w:tcBorders>
            <w:vAlign w:val="center"/>
            <w:hideMark/>
          </w:tcPr>
          <w:p w14:paraId="2447D906" w14:textId="77777777" w:rsidR="00BE1E18" w:rsidRPr="005C3EC8" w:rsidRDefault="00BE1E18" w:rsidP="0080605A">
            <w:pPr>
              <w:widowControl/>
              <w:suppressAutoHyphens w:val="0"/>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bottom"/>
            <w:hideMark/>
          </w:tcPr>
          <w:p w14:paraId="735D7CF7" w14:textId="77777777" w:rsidR="00BE1E18" w:rsidRPr="005C3EC8" w:rsidRDefault="00BE1E18" w:rsidP="004D56C6">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Civil society engagement (#1.3)</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48FFC00"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02C377FA"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84AE44"/>
            <w:noWrap/>
            <w:vAlign w:val="bottom"/>
            <w:hideMark/>
          </w:tcPr>
          <w:p w14:paraId="1FDE5B7C"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3068573A"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clear" w:color="auto" w:fill="auto"/>
            <w:noWrap/>
            <w:vAlign w:val="bottom"/>
            <w:hideMark/>
          </w:tcPr>
          <w:p w14:paraId="2DE718E0"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BE1E18" w:rsidRPr="005C3EC8" w14:paraId="67DC34B9" w14:textId="77777777" w:rsidTr="004D56C6">
        <w:trPr>
          <w:trHeight w:hRule="exact" w:val="284"/>
        </w:trPr>
        <w:tc>
          <w:tcPr>
            <w:tcW w:w="2127" w:type="dxa"/>
            <w:vMerge/>
            <w:tcBorders>
              <w:top w:val="single" w:sz="8" w:space="0" w:color="auto"/>
              <w:left w:val="single" w:sz="12" w:space="0" w:color="auto"/>
              <w:bottom w:val="single" w:sz="8" w:space="0" w:color="000000"/>
              <w:right w:val="single" w:sz="2" w:space="0" w:color="A6A6A6" w:themeColor="background1" w:themeShade="A6"/>
            </w:tcBorders>
            <w:vAlign w:val="center"/>
            <w:hideMark/>
          </w:tcPr>
          <w:p w14:paraId="69495CD6" w14:textId="77777777" w:rsidR="00BE1E18" w:rsidRPr="005C3EC8" w:rsidRDefault="00BE1E18" w:rsidP="0080605A">
            <w:pPr>
              <w:widowControl/>
              <w:suppressAutoHyphens w:val="0"/>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bottom"/>
            <w:hideMark/>
          </w:tcPr>
          <w:p w14:paraId="3E7B7DDF" w14:textId="77777777" w:rsidR="00BE1E18" w:rsidRPr="005C3EC8" w:rsidRDefault="00BE1E18" w:rsidP="004D56C6">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MSG governance (#1.4)</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2989EB8"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540DAFFD"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84AE44"/>
            <w:noWrap/>
            <w:vAlign w:val="bottom"/>
            <w:hideMark/>
          </w:tcPr>
          <w:p w14:paraId="2C257120"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3371A7E6"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clear" w:color="auto" w:fill="auto"/>
            <w:noWrap/>
            <w:vAlign w:val="bottom"/>
            <w:hideMark/>
          </w:tcPr>
          <w:p w14:paraId="2A430324"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BE1E18" w:rsidRPr="005C3EC8" w14:paraId="530C6CC7" w14:textId="77777777" w:rsidTr="004D56C6">
        <w:trPr>
          <w:trHeight w:hRule="exact" w:val="284"/>
        </w:trPr>
        <w:tc>
          <w:tcPr>
            <w:tcW w:w="2127" w:type="dxa"/>
            <w:vMerge/>
            <w:tcBorders>
              <w:top w:val="single" w:sz="8" w:space="0" w:color="auto"/>
              <w:left w:val="single" w:sz="12" w:space="0" w:color="auto"/>
              <w:bottom w:val="single" w:sz="12" w:space="0" w:color="000000" w:themeColor="text1"/>
              <w:right w:val="single" w:sz="2" w:space="0" w:color="A6A6A6" w:themeColor="background1" w:themeShade="A6"/>
            </w:tcBorders>
            <w:vAlign w:val="center"/>
            <w:hideMark/>
          </w:tcPr>
          <w:p w14:paraId="05DF8357" w14:textId="77777777" w:rsidR="00BE1E18" w:rsidRPr="005C3EC8" w:rsidRDefault="00BE1E18" w:rsidP="0080605A">
            <w:pPr>
              <w:widowControl/>
              <w:suppressAutoHyphens w:val="0"/>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000000" w:fill="FFFFFF"/>
            <w:noWrap/>
            <w:vAlign w:val="bottom"/>
            <w:hideMark/>
          </w:tcPr>
          <w:p w14:paraId="6ABE43D2" w14:textId="72B0487D" w:rsidR="00BE1E18" w:rsidRPr="005C3EC8" w:rsidRDefault="00BE1E18" w:rsidP="004D56C6">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Work</w:t>
            </w:r>
            <w:r w:rsidR="00CF1CB5" w:rsidRPr="005C3EC8">
              <w:rPr>
                <w:rFonts w:ascii="Calibri" w:hAnsi="Calibri" w:cs="Times New Roman"/>
                <w:color w:val="000000"/>
                <w:lang w:eastAsia="en-GB"/>
              </w:rPr>
              <w:t xml:space="preserve"> </w:t>
            </w:r>
            <w:r w:rsidRPr="005C3EC8">
              <w:rPr>
                <w:rFonts w:ascii="Calibri" w:hAnsi="Calibri" w:cs="Times New Roman"/>
                <w:color w:val="000000"/>
                <w:lang w:eastAsia="en-GB"/>
              </w:rPr>
              <w:t>plan (#1.5)</w:t>
            </w:r>
          </w:p>
        </w:tc>
        <w:tc>
          <w:tcPr>
            <w:tcW w:w="491"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tcPr>
          <w:p w14:paraId="203CB75E"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auto" w:fill="auto"/>
            <w:noWrap/>
            <w:vAlign w:val="bottom"/>
            <w:hideMark/>
          </w:tcPr>
          <w:p w14:paraId="54535016"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auto" w:fill="auto"/>
            <w:noWrap/>
            <w:vAlign w:val="bottom"/>
            <w:hideMark/>
          </w:tcPr>
          <w:p w14:paraId="1B344C03"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auto" w:fill="2D8B2B"/>
            <w:noWrap/>
            <w:vAlign w:val="bottom"/>
            <w:hideMark/>
          </w:tcPr>
          <w:p w14:paraId="4054D7C5"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12" w:space="0" w:color="000000" w:themeColor="text1"/>
              <w:right w:val="single" w:sz="12" w:space="0" w:color="auto"/>
            </w:tcBorders>
            <w:shd w:val="clear" w:color="auto" w:fill="auto"/>
            <w:noWrap/>
            <w:vAlign w:val="bottom"/>
            <w:hideMark/>
          </w:tcPr>
          <w:p w14:paraId="11E681C0"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BE1E18" w:rsidRPr="005C3EC8" w14:paraId="36F2200C" w14:textId="77777777" w:rsidTr="004D56C6">
        <w:trPr>
          <w:trHeight w:hRule="exact" w:val="284"/>
        </w:trPr>
        <w:tc>
          <w:tcPr>
            <w:tcW w:w="2127" w:type="dxa"/>
            <w:vMerge w:val="restart"/>
            <w:tcBorders>
              <w:top w:val="single" w:sz="12" w:space="0" w:color="000000" w:themeColor="text1"/>
              <w:left w:val="single" w:sz="12" w:space="0" w:color="auto"/>
              <w:bottom w:val="single" w:sz="2" w:space="0" w:color="A6A6A6" w:themeColor="background1" w:themeShade="A6"/>
              <w:right w:val="single" w:sz="2" w:space="0" w:color="A6A6A6" w:themeColor="background1" w:themeShade="A6"/>
            </w:tcBorders>
            <w:shd w:val="clear" w:color="000000" w:fill="BFBFBF"/>
            <w:noWrap/>
            <w:vAlign w:val="center"/>
            <w:hideMark/>
          </w:tcPr>
          <w:p w14:paraId="1EB5F9D1" w14:textId="77777777" w:rsidR="00BE1E18" w:rsidRPr="005C3EC8" w:rsidRDefault="00BE1E18" w:rsidP="0080605A">
            <w:pPr>
              <w:widowControl/>
              <w:suppressAutoHyphens w:val="0"/>
              <w:spacing w:after="0" w:line="240" w:lineRule="auto"/>
              <w:rPr>
                <w:rFonts w:ascii="Calibri" w:hAnsi="Calibri" w:cs="Times New Roman"/>
                <w:b/>
                <w:bCs/>
                <w:color w:val="000000"/>
                <w:lang w:eastAsia="en-GB"/>
              </w:rPr>
            </w:pPr>
            <w:r w:rsidRPr="005C3EC8">
              <w:rPr>
                <w:rFonts w:ascii="Calibri" w:hAnsi="Calibri" w:cs="Times New Roman"/>
                <w:b/>
                <w:bCs/>
                <w:color w:val="000000"/>
                <w:lang w:eastAsia="en-GB"/>
              </w:rPr>
              <w:t>Licenses and contracts</w:t>
            </w:r>
          </w:p>
        </w:tc>
        <w:tc>
          <w:tcPr>
            <w:tcW w:w="4535" w:type="dxa"/>
            <w:gridSpan w:val="4"/>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center"/>
            <w:hideMark/>
          </w:tcPr>
          <w:p w14:paraId="463D9381"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Legal framework (#2.1)</w:t>
            </w:r>
          </w:p>
        </w:tc>
        <w:tc>
          <w:tcPr>
            <w:tcW w:w="491"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tcPr>
          <w:p w14:paraId="435087C4"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p>
        </w:tc>
        <w:tc>
          <w:tcPr>
            <w:tcW w:w="532"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0375441F"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44C30B8A"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099E8268"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12" w:space="0" w:color="000000" w:themeColor="text1"/>
              <w:left w:val="single" w:sz="2" w:space="0" w:color="A6A6A6" w:themeColor="background1" w:themeShade="A6"/>
              <w:bottom w:val="single" w:sz="2" w:space="0" w:color="A6A6A6" w:themeColor="background1" w:themeShade="A6"/>
              <w:right w:val="single" w:sz="12" w:space="0" w:color="auto"/>
            </w:tcBorders>
            <w:shd w:val="clear" w:color="auto" w:fill="0074AF"/>
            <w:noWrap/>
            <w:vAlign w:val="bottom"/>
            <w:hideMark/>
          </w:tcPr>
          <w:p w14:paraId="20FD7805"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BE1E18" w:rsidRPr="005C3EC8" w14:paraId="074512E0" w14:textId="77777777" w:rsidTr="004D56C6">
        <w:trPr>
          <w:trHeight w:hRule="exact" w:val="284"/>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14:paraId="01C44A19" w14:textId="77777777" w:rsidR="00BE1E18" w:rsidRPr="005C3EC8" w:rsidRDefault="00BE1E18" w:rsidP="0080605A">
            <w:pPr>
              <w:widowControl/>
              <w:suppressAutoHyphens w:val="0"/>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center"/>
            <w:hideMark/>
          </w:tcPr>
          <w:p w14:paraId="625B5D79"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License allocations (#2.2)</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61DD43B"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2163D425"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84AE44"/>
            <w:noWrap/>
            <w:vAlign w:val="bottom"/>
            <w:hideMark/>
          </w:tcPr>
          <w:p w14:paraId="0DCE5AD3"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407EF9CA"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clear" w:color="auto" w:fill="auto"/>
            <w:noWrap/>
            <w:vAlign w:val="bottom"/>
            <w:hideMark/>
          </w:tcPr>
          <w:p w14:paraId="62418981"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BE1E18" w:rsidRPr="005C3EC8" w14:paraId="58096B3B" w14:textId="77777777" w:rsidTr="004D56C6">
        <w:trPr>
          <w:trHeight w:hRule="exact" w:val="284"/>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14:paraId="7FF1DC42" w14:textId="77777777" w:rsidR="00BE1E18" w:rsidRPr="005C3EC8" w:rsidRDefault="00BE1E18" w:rsidP="0080605A">
            <w:pPr>
              <w:widowControl/>
              <w:suppressAutoHyphens w:val="0"/>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center"/>
            <w:hideMark/>
          </w:tcPr>
          <w:p w14:paraId="7C9BDBB7"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License register (#2.3)</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248F28C"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438D8A19"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84AE44"/>
            <w:noWrap/>
            <w:vAlign w:val="bottom"/>
            <w:hideMark/>
          </w:tcPr>
          <w:p w14:paraId="27F7C57D"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6760262C"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clear" w:color="auto" w:fill="auto"/>
            <w:noWrap/>
            <w:vAlign w:val="bottom"/>
            <w:hideMark/>
          </w:tcPr>
          <w:p w14:paraId="6EA5570C"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BE1E18" w:rsidRPr="005C3EC8" w14:paraId="66FAE7E4" w14:textId="77777777" w:rsidTr="004D56C6">
        <w:trPr>
          <w:trHeight w:hRule="exact" w:val="284"/>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14:paraId="7C63AAA5" w14:textId="77777777" w:rsidR="00BE1E18" w:rsidRPr="005C3EC8" w:rsidRDefault="00BE1E18" w:rsidP="0080605A">
            <w:pPr>
              <w:widowControl/>
              <w:suppressAutoHyphens w:val="0"/>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center"/>
            <w:hideMark/>
          </w:tcPr>
          <w:p w14:paraId="16967195"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Policy on contract disclosure (#2.4)</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4901B80"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477BC415"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721E3783"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2D8B2B"/>
            <w:noWrap/>
            <w:vAlign w:val="bottom"/>
            <w:hideMark/>
          </w:tcPr>
          <w:p w14:paraId="0C448D49"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clear" w:color="auto" w:fill="auto"/>
            <w:noWrap/>
            <w:vAlign w:val="bottom"/>
            <w:hideMark/>
          </w:tcPr>
          <w:p w14:paraId="3CECE430"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BE1E18" w:rsidRPr="005C3EC8" w14:paraId="089F52E8" w14:textId="77777777" w:rsidTr="004D56C6">
        <w:trPr>
          <w:trHeight w:hRule="exact" w:val="284"/>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14:paraId="429F0998" w14:textId="77777777" w:rsidR="00BE1E18" w:rsidRPr="005C3EC8" w:rsidRDefault="00BE1E18" w:rsidP="0080605A">
            <w:pPr>
              <w:widowControl/>
              <w:suppressAutoHyphens w:val="0"/>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center"/>
            <w:hideMark/>
          </w:tcPr>
          <w:p w14:paraId="6A3FD80B"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Beneficial ownership (#2.5)</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D9D9D9"/>
          </w:tcPr>
          <w:p w14:paraId="2E50174E"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D9D9D9"/>
            <w:noWrap/>
            <w:vAlign w:val="bottom"/>
            <w:hideMark/>
          </w:tcPr>
          <w:p w14:paraId="519AE819"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D9D9D9"/>
            <w:noWrap/>
            <w:vAlign w:val="bottom"/>
            <w:hideMark/>
          </w:tcPr>
          <w:p w14:paraId="3EC6DBFA"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D9D9D9"/>
            <w:noWrap/>
            <w:vAlign w:val="bottom"/>
            <w:hideMark/>
          </w:tcPr>
          <w:p w14:paraId="6DF1D7F0"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clear" w:color="000000" w:fill="0074AF"/>
            <w:noWrap/>
            <w:vAlign w:val="bottom"/>
            <w:hideMark/>
          </w:tcPr>
          <w:p w14:paraId="71F61562"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BE1E18" w:rsidRPr="005C3EC8" w14:paraId="4541353E" w14:textId="77777777" w:rsidTr="004D56C6">
        <w:trPr>
          <w:trHeight w:hRule="exact" w:val="284"/>
        </w:trPr>
        <w:tc>
          <w:tcPr>
            <w:tcW w:w="2127" w:type="dxa"/>
            <w:vMerge/>
            <w:tcBorders>
              <w:top w:val="single" w:sz="2" w:space="0" w:color="A6A6A6" w:themeColor="background1" w:themeShade="A6"/>
              <w:left w:val="single" w:sz="12" w:space="0" w:color="auto"/>
              <w:bottom w:val="single" w:sz="12" w:space="0" w:color="000000" w:themeColor="text1"/>
              <w:right w:val="single" w:sz="2" w:space="0" w:color="A6A6A6" w:themeColor="background1" w:themeShade="A6"/>
            </w:tcBorders>
            <w:vAlign w:val="center"/>
            <w:hideMark/>
          </w:tcPr>
          <w:p w14:paraId="633C3CF6" w14:textId="77777777" w:rsidR="00BE1E18" w:rsidRPr="005C3EC8" w:rsidRDefault="00BE1E18" w:rsidP="0080605A">
            <w:pPr>
              <w:widowControl/>
              <w:suppressAutoHyphens w:val="0"/>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000000" w:fill="FFFFFF"/>
            <w:noWrap/>
            <w:vAlign w:val="center"/>
            <w:hideMark/>
          </w:tcPr>
          <w:p w14:paraId="18FB896E"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State participation (#2.6)</w:t>
            </w:r>
          </w:p>
        </w:tc>
        <w:tc>
          <w:tcPr>
            <w:tcW w:w="491"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diagStripe" w:color="auto" w:fill="FFFFFF" w:themeFill="background1"/>
          </w:tcPr>
          <w:p w14:paraId="04D3EF32"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diagStripe" w:color="auto" w:fill="FFFFFF" w:themeFill="background1"/>
            <w:noWrap/>
            <w:vAlign w:val="bottom"/>
            <w:hideMark/>
          </w:tcPr>
          <w:p w14:paraId="518C0769"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diagStripe" w:color="auto" w:fill="FFFFFF" w:themeFill="background1"/>
            <w:noWrap/>
            <w:vAlign w:val="bottom"/>
            <w:hideMark/>
          </w:tcPr>
          <w:p w14:paraId="04053478"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diagStripe" w:color="auto" w:fill="FFFFFF" w:themeFill="background1"/>
            <w:noWrap/>
            <w:vAlign w:val="bottom"/>
            <w:hideMark/>
          </w:tcPr>
          <w:p w14:paraId="56BA9398"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12" w:space="0" w:color="000000" w:themeColor="text1"/>
              <w:right w:val="single" w:sz="12" w:space="0" w:color="auto"/>
            </w:tcBorders>
            <w:shd w:val="diagStripe" w:color="auto" w:fill="FFFFFF" w:themeFill="background1"/>
            <w:noWrap/>
            <w:vAlign w:val="bottom"/>
            <w:hideMark/>
          </w:tcPr>
          <w:p w14:paraId="4EBD0A4E"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BE1E18" w:rsidRPr="005C3EC8" w14:paraId="5CA7A813" w14:textId="77777777" w:rsidTr="000A6EAE">
        <w:trPr>
          <w:trHeight w:hRule="exact" w:val="284"/>
        </w:trPr>
        <w:tc>
          <w:tcPr>
            <w:tcW w:w="2127" w:type="dxa"/>
            <w:vMerge w:val="restart"/>
            <w:tcBorders>
              <w:top w:val="single" w:sz="12" w:space="0" w:color="000000" w:themeColor="text1"/>
              <w:left w:val="single" w:sz="12" w:space="0" w:color="auto"/>
              <w:bottom w:val="single" w:sz="2" w:space="0" w:color="A6A6A6" w:themeColor="background1" w:themeShade="A6"/>
              <w:right w:val="single" w:sz="2" w:space="0" w:color="A6A6A6" w:themeColor="background1" w:themeShade="A6"/>
            </w:tcBorders>
            <w:shd w:val="clear" w:color="000000" w:fill="BFBFBF"/>
            <w:noWrap/>
            <w:vAlign w:val="center"/>
            <w:hideMark/>
          </w:tcPr>
          <w:p w14:paraId="71A45C5E" w14:textId="77777777" w:rsidR="00BE1E18" w:rsidRPr="005C3EC8" w:rsidRDefault="00BE1E18" w:rsidP="0080605A">
            <w:pPr>
              <w:widowControl/>
              <w:suppressAutoHyphens w:val="0"/>
              <w:spacing w:after="0" w:line="240" w:lineRule="auto"/>
              <w:rPr>
                <w:rFonts w:ascii="Calibri" w:hAnsi="Calibri" w:cs="Times New Roman"/>
                <w:b/>
                <w:bCs/>
                <w:color w:val="000000"/>
                <w:lang w:eastAsia="en-GB"/>
              </w:rPr>
            </w:pPr>
            <w:r w:rsidRPr="005C3EC8">
              <w:rPr>
                <w:rFonts w:ascii="Calibri" w:hAnsi="Calibri" w:cs="Times New Roman"/>
                <w:b/>
                <w:bCs/>
                <w:color w:val="000000"/>
                <w:lang w:eastAsia="en-GB"/>
              </w:rPr>
              <w:t>Monitoring production</w:t>
            </w:r>
          </w:p>
        </w:tc>
        <w:tc>
          <w:tcPr>
            <w:tcW w:w="4535" w:type="dxa"/>
            <w:gridSpan w:val="4"/>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center"/>
            <w:hideMark/>
          </w:tcPr>
          <w:p w14:paraId="497881FA"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Exploration data (#3.1)</w:t>
            </w:r>
          </w:p>
        </w:tc>
        <w:tc>
          <w:tcPr>
            <w:tcW w:w="491"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tcPr>
          <w:p w14:paraId="2F1F292A"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p>
        </w:tc>
        <w:tc>
          <w:tcPr>
            <w:tcW w:w="532"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noWrap/>
            <w:vAlign w:val="bottom"/>
            <w:hideMark/>
          </w:tcPr>
          <w:p w14:paraId="597B05D3"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noWrap/>
            <w:vAlign w:val="bottom"/>
            <w:hideMark/>
          </w:tcPr>
          <w:p w14:paraId="5F9B5A20"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65DD5BBC"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12" w:space="0" w:color="000000" w:themeColor="text1"/>
              <w:left w:val="single" w:sz="2" w:space="0" w:color="A6A6A6" w:themeColor="background1" w:themeShade="A6"/>
              <w:bottom w:val="single" w:sz="2" w:space="0" w:color="A6A6A6" w:themeColor="background1" w:themeShade="A6"/>
              <w:right w:val="single" w:sz="12" w:space="0" w:color="auto"/>
            </w:tcBorders>
            <w:shd w:val="clear" w:color="auto" w:fill="0074AF"/>
            <w:noWrap/>
            <w:vAlign w:val="bottom"/>
            <w:hideMark/>
          </w:tcPr>
          <w:p w14:paraId="78151A87"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BE1E18" w:rsidRPr="005C3EC8" w14:paraId="0EA84AD8" w14:textId="77777777" w:rsidTr="004D56C6">
        <w:trPr>
          <w:trHeight w:hRule="exact" w:val="284"/>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14:paraId="26E7C4A2" w14:textId="77777777" w:rsidR="00BE1E18" w:rsidRPr="005C3EC8" w:rsidRDefault="00BE1E18" w:rsidP="0080605A">
            <w:pPr>
              <w:widowControl/>
              <w:suppressAutoHyphens w:val="0"/>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center"/>
            <w:hideMark/>
          </w:tcPr>
          <w:p w14:paraId="246F4BA0"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Production data (#3.2)</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tcPr>
          <w:p w14:paraId="5CB50B9F"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noWrap/>
            <w:vAlign w:val="bottom"/>
            <w:hideMark/>
          </w:tcPr>
          <w:p w14:paraId="288BAC14"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84AE44"/>
            <w:noWrap/>
            <w:vAlign w:val="bottom"/>
            <w:hideMark/>
          </w:tcPr>
          <w:p w14:paraId="11554287"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noWrap/>
            <w:vAlign w:val="bottom"/>
            <w:hideMark/>
          </w:tcPr>
          <w:p w14:paraId="0EE5DE8E"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clear" w:color="auto" w:fill="FFFFFF" w:themeFill="background1"/>
            <w:noWrap/>
            <w:vAlign w:val="bottom"/>
            <w:hideMark/>
          </w:tcPr>
          <w:p w14:paraId="2397B931"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BE1E18" w:rsidRPr="005C3EC8" w14:paraId="78F0AA91" w14:textId="77777777" w:rsidTr="004D56C6">
        <w:trPr>
          <w:trHeight w:hRule="exact" w:val="284"/>
        </w:trPr>
        <w:tc>
          <w:tcPr>
            <w:tcW w:w="2127" w:type="dxa"/>
            <w:vMerge/>
            <w:tcBorders>
              <w:top w:val="single" w:sz="2" w:space="0" w:color="A6A6A6" w:themeColor="background1" w:themeShade="A6"/>
              <w:left w:val="single" w:sz="12" w:space="0" w:color="auto"/>
              <w:bottom w:val="single" w:sz="12" w:space="0" w:color="000000" w:themeColor="text1"/>
              <w:right w:val="single" w:sz="2" w:space="0" w:color="A6A6A6" w:themeColor="background1" w:themeShade="A6"/>
            </w:tcBorders>
            <w:vAlign w:val="center"/>
            <w:hideMark/>
          </w:tcPr>
          <w:p w14:paraId="694C033A" w14:textId="77777777" w:rsidR="00BE1E18" w:rsidRPr="005C3EC8" w:rsidRDefault="00BE1E18" w:rsidP="0080605A">
            <w:pPr>
              <w:widowControl/>
              <w:suppressAutoHyphens w:val="0"/>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000000" w:fill="FFFFFF"/>
            <w:noWrap/>
            <w:vAlign w:val="center"/>
            <w:hideMark/>
          </w:tcPr>
          <w:p w14:paraId="2424C235"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Export data (#3.3)</w:t>
            </w:r>
          </w:p>
        </w:tc>
        <w:tc>
          <w:tcPr>
            <w:tcW w:w="491"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auto" w:fill="FFFFFF" w:themeFill="background1"/>
          </w:tcPr>
          <w:p w14:paraId="313B2194"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auto" w:fill="FFFFFF" w:themeFill="background1"/>
            <w:noWrap/>
            <w:vAlign w:val="bottom"/>
            <w:hideMark/>
          </w:tcPr>
          <w:p w14:paraId="4483F8B1"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auto" w:fill="84AE44"/>
            <w:noWrap/>
            <w:vAlign w:val="bottom"/>
            <w:hideMark/>
          </w:tcPr>
          <w:p w14:paraId="15E8748C"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auto" w:fill="FFFFFF" w:themeFill="background1"/>
            <w:noWrap/>
            <w:vAlign w:val="bottom"/>
            <w:hideMark/>
          </w:tcPr>
          <w:p w14:paraId="11CBD4F6"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12" w:space="0" w:color="000000" w:themeColor="text1"/>
              <w:right w:val="single" w:sz="12" w:space="0" w:color="auto"/>
            </w:tcBorders>
            <w:shd w:val="clear" w:color="auto" w:fill="FFFFFF" w:themeFill="background1"/>
            <w:noWrap/>
            <w:vAlign w:val="bottom"/>
            <w:hideMark/>
          </w:tcPr>
          <w:p w14:paraId="53B59A63"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BE1E18" w:rsidRPr="005C3EC8" w14:paraId="5610FD6D" w14:textId="77777777" w:rsidTr="004D56C6">
        <w:trPr>
          <w:trHeight w:hRule="exact" w:val="284"/>
        </w:trPr>
        <w:tc>
          <w:tcPr>
            <w:tcW w:w="2127" w:type="dxa"/>
            <w:vMerge w:val="restart"/>
            <w:tcBorders>
              <w:top w:val="single" w:sz="12" w:space="0" w:color="000000" w:themeColor="text1"/>
              <w:left w:val="single" w:sz="12" w:space="0" w:color="auto"/>
              <w:bottom w:val="single" w:sz="2" w:space="0" w:color="A6A6A6" w:themeColor="background1" w:themeShade="A6"/>
              <w:right w:val="single" w:sz="2" w:space="0" w:color="A6A6A6" w:themeColor="background1" w:themeShade="A6"/>
            </w:tcBorders>
            <w:shd w:val="clear" w:color="000000" w:fill="BFBFBF"/>
            <w:noWrap/>
            <w:vAlign w:val="center"/>
            <w:hideMark/>
          </w:tcPr>
          <w:p w14:paraId="43CC7E60" w14:textId="77777777" w:rsidR="00BE1E18" w:rsidRPr="005C3EC8" w:rsidRDefault="00BE1E18" w:rsidP="0080605A">
            <w:pPr>
              <w:widowControl/>
              <w:suppressAutoHyphens w:val="0"/>
              <w:spacing w:after="0" w:line="240" w:lineRule="auto"/>
              <w:rPr>
                <w:rFonts w:ascii="Calibri" w:hAnsi="Calibri" w:cs="Times New Roman"/>
                <w:b/>
                <w:bCs/>
                <w:color w:val="000000"/>
                <w:lang w:eastAsia="en-GB"/>
              </w:rPr>
            </w:pPr>
            <w:r w:rsidRPr="005C3EC8">
              <w:rPr>
                <w:rFonts w:ascii="Calibri" w:hAnsi="Calibri" w:cs="Times New Roman"/>
                <w:b/>
                <w:bCs/>
                <w:color w:val="000000"/>
                <w:lang w:eastAsia="en-GB"/>
              </w:rPr>
              <w:t>Revenue collection</w:t>
            </w:r>
          </w:p>
        </w:tc>
        <w:tc>
          <w:tcPr>
            <w:tcW w:w="4535" w:type="dxa"/>
            <w:gridSpan w:val="4"/>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center"/>
            <w:hideMark/>
          </w:tcPr>
          <w:p w14:paraId="171912E7"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Comprehensiveness (#4.1)</w:t>
            </w:r>
          </w:p>
        </w:tc>
        <w:tc>
          <w:tcPr>
            <w:tcW w:w="491"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tcPr>
          <w:p w14:paraId="37F6DC38"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p>
        </w:tc>
        <w:tc>
          <w:tcPr>
            <w:tcW w:w="532"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noWrap/>
            <w:vAlign w:val="bottom"/>
            <w:hideMark/>
          </w:tcPr>
          <w:p w14:paraId="146B21F2"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6D01ECF8"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2D8B2B"/>
            <w:noWrap/>
            <w:vAlign w:val="bottom"/>
            <w:hideMark/>
          </w:tcPr>
          <w:p w14:paraId="7DECDECD"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12" w:space="0" w:color="000000" w:themeColor="text1"/>
              <w:left w:val="single" w:sz="2" w:space="0" w:color="A6A6A6" w:themeColor="background1" w:themeShade="A6"/>
              <w:bottom w:val="single" w:sz="2" w:space="0" w:color="A6A6A6" w:themeColor="background1" w:themeShade="A6"/>
              <w:right w:val="single" w:sz="12" w:space="0" w:color="auto"/>
            </w:tcBorders>
            <w:shd w:val="clear" w:color="auto" w:fill="FFFFFF" w:themeFill="background1"/>
            <w:noWrap/>
            <w:vAlign w:val="bottom"/>
            <w:hideMark/>
          </w:tcPr>
          <w:p w14:paraId="032C504B"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BE1E18" w:rsidRPr="005C3EC8" w14:paraId="78944CB2" w14:textId="77777777" w:rsidTr="004D56C6">
        <w:trPr>
          <w:trHeight w:hRule="exact" w:val="284"/>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14:paraId="64D71092" w14:textId="77777777" w:rsidR="00BE1E18" w:rsidRPr="005C3EC8" w:rsidRDefault="00BE1E18" w:rsidP="0080605A">
            <w:pPr>
              <w:widowControl/>
              <w:suppressAutoHyphens w:val="0"/>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center"/>
            <w:hideMark/>
          </w:tcPr>
          <w:p w14:paraId="29A396F1"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In-kind revenues (#4.2)</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FFFFFF" w:themeFill="background1"/>
          </w:tcPr>
          <w:p w14:paraId="03E27698"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FFFFFF" w:themeFill="background1"/>
            <w:noWrap/>
            <w:vAlign w:val="bottom"/>
            <w:hideMark/>
          </w:tcPr>
          <w:p w14:paraId="21EC4CEF"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FFFFFF" w:themeFill="background1"/>
            <w:noWrap/>
            <w:vAlign w:val="bottom"/>
            <w:hideMark/>
          </w:tcPr>
          <w:p w14:paraId="01502AA5"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FFFFFF" w:themeFill="background1"/>
            <w:noWrap/>
            <w:vAlign w:val="bottom"/>
            <w:hideMark/>
          </w:tcPr>
          <w:p w14:paraId="7B80A9CB"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diagStripe" w:color="auto" w:fill="FFFFFF" w:themeFill="background1"/>
            <w:noWrap/>
            <w:vAlign w:val="bottom"/>
            <w:hideMark/>
          </w:tcPr>
          <w:p w14:paraId="11FED73F"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BE1E18" w:rsidRPr="005C3EC8" w14:paraId="5C1020D5" w14:textId="77777777" w:rsidTr="004D56C6">
        <w:trPr>
          <w:trHeight w:hRule="exact" w:val="284"/>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14:paraId="6C4F4D6F" w14:textId="77777777" w:rsidR="00BE1E18" w:rsidRPr="005C3EC8" w:rsidRDefault="00BE1E18" w:rsidP="0080605A">
            <w:pPr>
              <w:widowControl/>
              <w:suppressAutoHyphens w:val="0"/>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center"/>
            <w:hideMark/>
          </w:tcPr>
          <w:p w14:paraId="395A966F"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Barter agreements (#4.3)</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FFFFFF" w:themeFill="background1"/>
          </w:tcPr>
          <w:p w14:paraId="6349E495"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FFFFFF" w:themeFill="background1"/>
            <w:noWrap/>
            <w:vAlign w:val="bottom"/>
            <w:hideMark/>
          </w:tcPr>
          <w:p w14:paraId="24D3142D"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FFFFFF" w:themeFill="background1"/>
            <w:noWrap/>
            <w:vAlign w:val="bottom"/>
            <w:hideMark/>
          </w:tcPr>
          <w:p w14:paraId="50B9D957"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FFFFFF" w:themeFill="background1"/>
            <w:noWrap/>
            <w:vAlign w:val="bottom"/>
            <w:hideMark/>
          </w:tcPr>
          <w:p w14:paraId="04D3B407"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diagStripe" w:color="auto" w:fill="FFFFFF" w:themeFill="background1"/>
            <w:noWrap/>
            <w:vAlign w:val="bottom"/>
            <w:hideMark/>
          </w:tcPr>
          <w:p w14:paraId="48AE26B7"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BE1E18" w:rsidRPr="005C3EC8" w14:paraId="3D47AEAE" w14:textId="77777777" w:rsidTr="004D56C6">
        <w:trPr>
          <w:trHeight w:hRule="exact" w:val="284"/>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14:paraId="71C869DC" w14:textId="77777777" w:rsidR="00BE1E18" w:rsidRPr="005C3EC8" w:rsidRDefault="00BE1E18" w:rsidP="0080605A">
            <w:pPr>
              <w:widowControl/>
              <w:suppressAutoHyphens w:val="0"/>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center"/>
            <w:hideMark/>
          </w:tcPr>
          <w:p w14:paraId="30921F00"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Transportation revenues (#4.4)</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FFFFFF" w:themeFill="background1"/>
          </w:tcPr>
          <w:p w14:paraId="70BC0310"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FFFFFF" w:themeFill="background1"/>
            <w:noWrap/>
            <w:vAlign w:val="bottom"/>
            <w:hideMark/>
          </w:tcPr>
          <w:p w14:paraId="77CE6243"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FFFFFF" w:themeFill="background1"/>
            <w:noWrap/>
            <w:vAlign w:val="center"/>
            <w:hideMark/>
          </w:tcPr>
          <w:p w14:paraId="439CA272" w14:textId="77777777" w:rsidR="00BE1E18" w:rsidRPr="005C3EC8" w:rsidRDefault="00BE1E18" w:rsidP="0080605A">
            <w:pPr>
              <w:widowControl/>
              <w:suppressAutoHyphens w:val="0"/>
              <w:spacing w:after="0" w:line="240" w:lineRule="auto"/>
              <w:jc w:val="center"/>
              <w:rPr>
                <w:rFonts w:ascii="Calibri" w:hAnsi="Calibri" w:cs="Times New Roman"/>
                <w:color w:val="00B050"/>
                <w:lang w:eastAsia="en-GB"/>
              </w:rPr>
            </w:pPr>
            <w:r w:rsidRPr="005C3EC8">
              <w:rPr>
                <w:rFonts w:ascii="Calibri" w:hAnsi="Calibri" w:cs="Times New Roman"/>
                <w:color w:val="00B05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FFFFFF" w:themeFill="background1"/>
            <w:noWrap/>
            <w:vAlign w:val="center"/>
            <w:hideMark/>
          </w:tcPr>
          <w:p w14:paraId="6B10BDDD" w14:textId="77777777" w:rsidR="00BE1E18" w:rsidRPr="005C3EC8" w:rsidRDefault="00BE1E18" w:rsidP="0080605A">
            <w:pPr>
              <w:widowControl/>
              <w:suppressAutoHyphens w:val="0"/>
              <w:spacing w:after="0" w:line="240" w:lineRule="auto"/>
              <w:jc w:val="center"/>
              <w:rPr>
                <w:rFonts w:ascii="Calibri" w:hAnsi="Calibri" w:cs="Times New Roman"/>
                <w:color w:val="00B050"/>
                <w:lang w:eastAsia="en-GB"/>
              </w:rPr>
            </w:pPr>
            <w:r w:rsidRPr="005C3EC8">
              <w:rPr>
                <w:rFonts w:ascii="Calibri" w:hAnsi="Calibri" w:cs="Times New Roman"/>
                <w:color w:val="00B05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diagStripe" w:color="auto" w:fill="FFFFFF" w:themeFill="background1"/>
            <w:noWrap/>
            <w:vAlign w:val="center"/>
            <w:hideMark/>
          </w:tcPr>
          <w:p w14:paraId="7C50A7F0" w14:textId="77777777" w:rsidR="00BE1E18" w:rsidRPr="005C3EC8" w:rsidRDefault="00BE1E18" w:rsidP="0080605A">
            <w:pPr>
              <w:widowControl/>
              <w:suppressAutoHyphens w:val="0"/>
              <w:spacing w:after="0" w:line="240" w:lineRule="auto"/>
              <w:jc w:val="center"/>
              <w:rPr>
                <w:rFonts w:ascii="Calibri" w:hAnsi="Calibri" w:cs="Times New Roman"/>
                <w:color w:val="00B050"/>
                <w:lang w:eastAsia="en-GB"/>
              </w:rPr>
            </w:pPr>
            <w:r w:rsidRPr="005C3EC8">
              <w:rPr>
                <w:rFonts w:ascii="Calibri" w:hAnsi="Calibri" w:cs="Times New Roman"/>
                <w:color w:val="00B050"/>
                <w:lang w:eastAsia="en-GB"/>
              </w:rPr>
              <w:t> </w:t>
            </w:r>
          </w:p>
        </w:tc>
      </w:tr>
      <w:tr w:rsidR="00BE1E18" w:rsidRPr="005C3EC8" w14:paraId="53556F5D" w14:textId="77777777" w:rsidTr="004D56C6">
        <w:trPr>
          <w:trHeight w:hRule="exact" w:val="284"/>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14:paraId="020512DF" w14:textId="77777777" w:rsidR="00BE1E18" w:rsidRPr="005C3EC8" w:rsidRDefault="00BE1E18" w:rsidP="0080605A">
            <w:pPr>
              <w:widowControl/>
              <w:suppressAutoHyphens w:val="0"/>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center"/>
            <w:hideMark/>
          </w:tcPr>
          <w:p w14:paraId="17B19755"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SOE transactions (#4.5)</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FFFFFF" w:themeFill="background1"/>
          </w:tcPr>
          <w:p w14:paraId="130752B4"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FFFFFF" w:themeFill="background1"/>
            <w:noWrap/>
            <w:vAlign w:val="bottom"/>
            <w:hideMark/>
          </w:tcPr>
          <w:p w14:paraId="1AFC7E10"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FFFFFF" w:themeFill="background1"/>
            <w:noWrap/>
            <w:vAlign w:val="center"/>
            <w:hideMark/>
          </w:tcPr>
          <w:p w14:paraId="637CE7E7" w14:textId="77777777" w:rsidR="00BE1E18" w:rsidRPr="005C3EC8" w:rsidRDefault="00BE1E18" w:rsidP="0080605A">
            <w:pPr>
              <w:widowControl/>
              <w:suppressAutoHyphens w:val="0"/>
              <w:spacing w:after="0" w:line="240" w:lineRule="auto"/>
              <w:jc w:val="center"/>
              <w:rPr>
                <w:rFonts w:ascii="Calibri" w:hAnsi="Calibri" w:cs="Times New Roman"/>
                <w:color w:val="00B050"/>
                <w:lang w:eastAsia="en-GB"/>
              </w:rPr>
            </w:pPr>
            <w:r w:rsidRPr="005C3EC8">
              <w:rPr>
                <w:rFonts w:ascii="Calibri" w:hAnsi="Calibri" w:cs="Times New Roman"/>
                <w:color w:val="00B05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FFFFFF" w:themeFill="background1"/>
            <w:noWrap/>
            <w:vAlign w:val="bottom"/>
            <w:hideMark/>
          </w:tcPr>
          <w:p w14:paraId="49D97CAF"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diagStripe" w:color="auto" w:fill="FFFFFF" w:themeFill="background1"/>
            <w:noWrap/>
            <w:vAlign w:val="bottom"/>
            <w:hideMark/>
          </w:tcPr>
          <w:p w14:paraId="37911167"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BE1E18" w:rsidRPr="005C3EC8" w14:paraId="4C213E88" w14:textId="77777777" w:rsidTr="004D56C6">
        <w:trPr>
          <w:trHeight w:hRule="exact" w:val="284"/>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14:paraId="0F9E1F8D" w14:textId="77777777" w:rsidR="00BE1E18" w:rsidRPr="005C3EC8" w:rsidRDefault="00BE1E18" w:rsidP="0080605A">
            <w:pPr>
              <w:widowControl/>
              <w:suppressAutoHyphens w:val="0"/>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center"/>
            <w:hideMark/>
          </w:tcPr>
          <w:p w14:paraId="402D12C1"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Direct subnational payments (#4.6)</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auto"/>
          </w:tcPr>
          <w:p w14:paraId="1C35483D"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auto"/>
            <w:noWrap/>
            <w:vAlign w:val="bottom"/>
            <w:hideMark/>
          </w:tcPr>
          <w:p w14:paraId="432102A2"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auto"/>
            <w:noWrap/>
            <w:vAlign w:val="bottom"/>
            <w:hideMark/>
          </w:tcPr>
          <w:p w14:paraId="646EDCB6"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auto"/>
            <w:noWrap/>
            <w:vAlign w:val="bottom"/>
            <w:hideMark/>
          </w:tcPr>
          <w:p w14:paraId="0C16267C"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diagStripe" w:color="auto" w:fill="auto"/>
            <w:noWrap/>
            <w:vAlign w:val="bottom"/>
            <w:hideMark/>
          </w:tcPr>
          <w:p w14:paraId="48CF19E5"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BE1E18" w:rsidRPr="005C3EC8" w14:paraId="3080D580" w14:textId="77777777" w:rsidTr="004D56C6">
        <w:trPr>
          <w:trHeight w:hRule="exact" w:val="284"/>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14:paraId="3268C72A" w14:textId="77777777" w:rsidR="00BE1E18" w:rsidRPr="005C3EC8" w:rsidRDefault="00BE1E18" w:rsidP="0080605A">
            <w:pPr>
              <w:widowControl/>
              <w:suppressAutoHyphens w:val="0"/>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center"/>
            <w:hideMark/>
          </w:tcPr>
          <w:p w14:paraId="78AD7557" w14:textId="7E64C7F8"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Disaggregation (#4.7)</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tcPr>
          <w:p w14:paraId="317B77B4"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noWrap/>
            <w:vAlign w:val="bottom"/>
            <w:hideMark/>
          </w:tcPr>
          <w:p w14:paraId="68ABF9D9"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289CE249"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2A8B2B"/>
            <w:noWrap/>
            <w:vAlign w:val="bottom"/>
            <w:hideMark/>
          </w:tcPr>
          <w:p w14:paraId="25A1C5F1"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clear" w:color="auto" w:fill="FFFFFF" w:themeFill="background1"/>
            <w:noWrap/>
            <w:vAlign w:val="bottom"/>
            <w:hideMark/>
          </w:tcPr>
          <w:p w14:paraId="4A33639A"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BE1E18" w:rsidRPr="005C3EC8" w14:paraId="26FE2014" w14:textId="77777777" w:rsidTr="004D56C6">
        <w:trPr>
          <w:trHeight w:hRule="exact" w:val="284"/>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14:paraId="598B5F13" w14:textId="77777777" w:rsidR="00BE1E18" w:rsidRPr="005C3EC8" w:rsidRDefault="00BE1E18" w:rsidP="0080605A">
            <w:pPr>
              <w:widowControl/>
              <w:suppressAutoHyphens w:val="0"/>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center"/>
            <w:hideMark/>
          </w:tcPr>
          <w:p w14:paraId="52CB31FE"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Data timeliness (#4.8)</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tcPr>
          <w:p w14:paraId="5849D229"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noWrap/>
            <w:vAlign w:val="bottom"/>
            <w:hideMark/>
          </w:tcPr>
          <w:p w14:paraId="23105686"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noWrap/>
            <w:vAlign w:val="bottom"/>
            <w:hideMark/>
          </w:tcPr>
          <w:p w14:paraId="44D40E2C"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2A8B2B"/>
            <w:noWrap/>
            <w:vAlign w:val="bottom"/>
            <w:hideMark/>
          </w:tcPr>
          <w:p w14:paraId="1630905E"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clear" w:color="auto" w:fill="FFFFFF" w:themeFill="background1"/>
            <w:noWrap/>
            <w:vAlign w:val="bottom"/>
            <w:hideMark/>
          </w:tcPr>
          <w:p w14:paraId="601F2C94"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BE1E18" w:rsidRPr="005C3EC8" w14:paraId="3F042F10" w14:textId="77777777" w:rsidTr="004D56C6">
        <w:trPr>
          <w:trHeight w:hRule="exact" w:val="284"/>
        </w:trPr>
        <w:tc>
          <w:tcPr>
            <w:tcW w:w="2127" w:type="dxa"/>
            <w:vMerge/>
            <w:tcBorders>
              <w:top w:val="single" w:sz="2" w:space="0" w:color="A6A6A6" w:themeColor="background1" w:themeShade="A6"/>
              <w:left w:val="single" w:sz="12" w:space="0" w:color="auto"/>
              <w:bottom w:val="single" w:sz="12" w:space="0" w:color="000000" w:themeColor="text1"/>
              <w:right w:val="single" w:sz="2" w:space="0" w:color="A6A6A6" w:themeColor="background1" w:themeShade="A6"/>
            </w:tcBorders>
            <w:vAlign w:val="center"/>
            <w:hideMark/>
          </w:tcPr>
          <w:p w14:paraId="7E2171D5" w14:textId="77777777" w:rsidR="00BE1E18" w:rsidRPr="005C3EC8" w:rsidRDefault="00BE1E18" w:rsidP="0080605A">
            <w:pPr>
              <w:widowControl/>
              <w:suppressAutoHyphens w:val="0"/>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000000" w:fill="FFFFFF"/>
            <w:noWrap/>
            <w:vAlign w:val="center"/>
            <w:hideMark/>
          </w:tcPr>
          <w:p w14:paraId="6418FF06"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Data quality (#4.9)</w:t>
            </w:r>
          </w:p>
        </w:tc>
        <w:tc>
          <w:tcPr>
            <w:tcW w:w="491"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auto" w:fill="FFFFFF" w:themeFill="background1"/>
          </w:tcPr>
          <w:p w14:paraId="2DFC72C1"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auto" w:fill="FFFFFF" w:themeFill="background1"/>
            <w:noWrap/>
            <w:vAlign w:val="bottom"/>
            <w:hideMark/>
          </w:tcPr>
          <w:p w14:paraId="48CB2D54"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auto" w:fill="FFFFFF" w:themeFill="background1"/>
            <w:noWrap/>
            <w:vAlign w:val="bottom"/>
            <w:hideMark/>
          </w:tcPr>
          <w:p w14:paraId="3596D9D7"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auto" w:fill="2D8B2B"/>
            <w:noWrap/>
            <w:vAlign w:val="bottom"/>
            <w:hideMark/>
          </w:tcPr>
          <w:p w14:paraId="772FDD47"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12" w:space="0" w:color="000000" w:themeColor="text1"/>
              <w:right w:val="single" w:sz="12" w:space="0" w:color="auto"/>
            </w:tcBorders>
            <w:shd w:val="clear" w:color="auto" w:fill="FFFFFF" w:themeFill="background1"/>
            <w:noWrap/>
            <w:vAlign w:val="bottom"/>
            <w:hideMark/>
          </w:tcPr>
          <w:p w14:paraId="0248D446"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BE1E18" w:rsidRPr="005C3EC8" w14:paraId="46903585" w14:textId="77777777" w:rsidTr="004D56C6">
        <w:trPr>
          <w:trHeight w:hRule="exact" w:val="284"/>
        </w:trPr>
        <w:tc>
          <w:tcPr>
            <w:tcW w:w="2127" w:type="dxa"/>
            <w:vMerge w:val="restart"/>
            <w:tcBorders>
              <w:top w:val="single" w:sz="12" w:space="0" w:color="000000" w:themeColor="text1"/>
              <w:left w:val="single" w:sz="12" w:space="0" w:color="auto"/>
              <w:bottom w:val="single" w:sz="2" w:space="0" w:color="A6A6A6" w:themeColor="background1" w:themeShade="A6"/>
              <w:right w:val="single" w:sz="2" w:space="0" w:color="A6A6A6" w:themeColor="background1" w:themeShade="A6"/>
            </w:tcBorders>
            <w:shd w:val="clear" w:color="000000" w:fill="BFBFBF"/>
            <w:vAlign w:val="center"/>
            <w:hideMark/>
          </w:tcPr>
          <w:p w14:paraId="1E8E440C" w14:textId="77777777" w:rsidR="00BE1E18" w:rsidRPr="005C3EC8" w:rsidRDefault="00BE1E18" w:rsidP="0080605A">
            <w:pPr>
              <w:widowControl/>
              <w:suppressAutoHyphens w:val="0"/>
              <w:spacing w:after="0" w:line="240" w:lineRule="auto"/>
              <w:rPr>
                <w:rFonts w:ascii="Calibri" w:hAnsi="Calibri" w:cs="Times New Roman"/>
                <w:b/>
                <w:bCs/>
                <w:color w:val="000000"/>
                <w:lang w:eastAsia="en-GB"/>
              </w:rPr>
            </w:pPr>
            <w:r w:rsidRPr="005C3EC8">
              <w:rPr>
                <w:rFonts w:ascii="Calibri" w:hAnsi="Calibri" w:cs="Times New Roman"/>
                <w:b/>
                <w:bCs/>
                <w:color w:val="000000"/>
                <w:lang w:eastAsia="en-GB"/>
              </w:rPr>
              <w:t>Revenue allocation</w:t>
            </w:r>
          </w:p>
        </w:tc>
        <w:tc>
          <w:tcPr>
            <w:tcW w:w="4535" w:type="dxa"/>
            <w:gridSpan w:val="4"/>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vAlign w:val="center"/>
            <w:hideMark/>
          </w:tcPr>
          <w:p w14:paraId="52D5328F" w14:textId="466B0A4E" w:rsidR="00BE1E18" w:rsidRPr="005C3EC8" w:rsidRDefault="009A4609" w:rsidP="009A4609">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xml:space="preserve">Distribution of revenues </w:t>
            </w:r>
            <w:r w:rsidR="00BE1E18" w:rsidRPr="005C3EC8">
              <w:rPr>
                <w:rFonts w:ascii="Calibri" w:hAnsi="Calibri" w:cs="Times New Roman"/>
                <w:color w:val="000000"/>
                <w:lang w:eastAsia="en-GB"/>
              </w:rPr>
              <w:t>(#5.1)</w:t>
            </w:r>
          </w:p>
        </w:tc>
        <w:tc>
          <w:tcPr>
            <w:tcW w:w="491"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tcPr>
          <w:p w14:paraId="58018C9D"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p>
        </w:tc>
        <w:tc>
          <w:tcPr>
            <w:tcW w:w="532"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4E7C35C1"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0E271B56"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2D8B2B"/>
            <w:noWrap/>
            <w:vAlign w:val="bottom"/>
            <w:hideMark/>
          </w:tcPr>
          <w:p w14:paraId="0D506D24"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12" w:space="0" w:color="000000" w:themeColor="text1"/>
              <w:left w:val="single" w:sz="2" w:space="0" w:color="A6A6A6" w:themeColor="background1" w:themeShade="A6"/>
              <w:bottom w:val="single" w:sz="2" w:space="0" w:color="A6A6A6" w:themeColor="background1" w:themeShade="A6"/>
              <w:right w:val="single" w:sz="12" w:space="0" w:color="auto"/>
            </w:tcBorders>
            <w:shd w:val="clear" w:color="auto" w:fill="auto"/>
            <w:noWrap/>
            <w:vAlign w:val="bottom"/>
            <w:hideMark/>
          </w:tcPr>
          <w:p w14:paraId="6177A8B6"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BE1E18" w:rsidRPr="005C3EC8" w14:paraId="394616EA" w14:textId="77777777" w:rsidTr="004D56C6">
        <w:trPr>
          <w:trHeight w:hRule="exact" w:val="284"/>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14:paraId="2561FC45" w14:textId="77777777" w:rsidR="00BE1E18" w:rsidRPr="005C3EC8" w:rsidRDefault="00BE1E18" w:rsidP="0080605A">
            <w:pPr>
              <w:widowControl/>
              <w:suppressAutoHyphens w:val="0"/>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vAlign w:val="center"/>
            <w:hideMark/>
          </w:tcPr>
          <w:p w14:paraId="3B17AB73"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Subnational transfers (#5.2)</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6192017"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5CF0C681"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auto"/>
            <w:noWrap/>
            <w:vAlign w:val="bottom"/>
            <w:hideMark/>
          </w:tcPr>
          <w:p w14:paraId="1BFC2CE4"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2D8B2B"/>
            <w:noWrap/>
            <w:vAlign w:val="bottom"/>
            <w:hideMark/>
          </w:tcPr>
          <w:p w14:paraId="3452DB21"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clear" w:color="auto" w:fill="auto"/>
            <w:noWrap/>
            <w:vAlign w:val="bottom"/>
            <w:hideMark/>
          </w:tcPr>
          <w:p w14:paraId="69AD5295"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BE1E18" w:rsidRPr="005C3EC8" w14:paraId="75A21BC9" w14:textId="77777777" w:rsidTr="004D56C6">
        <w:trPr>
          <w:trHeight w:hRule="exact" w:val="284"/>
        </w:trPr>
        <w:tc>
          <w:tcPr>
            <w:tcW w:w="2127" w:type="dxa"/>
            <w:vMerge/>
            <w:tcBorders>
              <w:top w:val="single" w:sz="2" w:space="0" w:color="A6A6A6" w:themeColor="background1" w:themeShade="A6"/>
              <w:left w:val="single" w:sz="12" w:space="0" w:color="auto"/>
              <w:bottom w:val="single" w:sz="12" w:space="0" w:color="000000" w:themeColor="text1"/>
              <w:right w:val="single" w:sz="2" w:space="0" w:color="A6A6A6" w:themeColor="background1" w:themeShade="A6"/>
            </w:tcBorders>
            <w:vAlign w:val="center"/>
            <w:hideMark/>
          </w:tcPr>
          <w:p w14:paraId="50E9E15A" w14:textId="77777777" w:rsidR="00BE1E18" w:rsidRPr="005C3EC8" w:rsidRDefault="00BE1E18" w:rsidP="0080605A">
            <w:pPr>
              <w:widowControl/>
              <w:suppressAutoHyphens w:val="0"/>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000000" w:fill="FFFFFF"/>
            <w:vAlign w:val="center"/>
            <w:hideMark/>
          </w:tcPr>
          <w:p w14:paraId="37772B70" w14:textId="5774C6F8" w:rsidR="00BE1E18" w:rsidRPr="005C3EC8" w:rsidRDefault="009A4609"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xml:space="preserve">Revenue management and expenditures </w:t>
            </w:r>
            <w:r w:rsidR="00BE1E18" w:rsidRPr="005C3EC8">
              <w:rPr>
                <w:rFonts w:ascii="Calibri" w:hAnsi="Calibri" w:cs="Times New Roman"/>
                <w:color w:val="000000"/>
                <w:lang w:eastAsia="en-GB"/>
              </w:rPr>
              <w:t>(#5.3)</w:t>
            </w:r>
          </w:p>
        </w:tc>
        <w:tc>
          <w:tcPr>
            <w:tcW w:w="491"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000000" w:fill="D9D9D9"/>
          </w:tcPr>
          <w:p w14:paraId="71CA372F"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000000" w:fill="D9D9D9"/>
            <w:noWrap/>
            <w:vAlign w:val="bottom"/>
            <w:hideMark/>
          </w:tcPr>
          <w:p w14:paraId="75B3FB8F"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000000" w:fill="D9D9D9"/>
            <w:noWrap/>
            <w:vAlign w:val="bottom"/>
            <w:hideMark/>
          </w:tcPr>
          <w:p w14:paraId="14C695F6"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000000" w:fill="D9D9D9"/>
            <w:noWrap/>
            <w:vAlign w:val="bottom"/>
            <w:hideMark/>
          </w:tcPr>
          <w:p w14:paraId="2173BF55"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12" w:space="0" w:color="000000" w:themeColor="text1"/>
              <w:right w:val="single" w:sz="12" w:space="0" w:color="auto"/>
            </w:tcBorders>
            <w:shd w:val="clear" w:color="000000" w:fill="D9D9D9"/>
            <w:noWrap/>
            <w:vAlign w:val="bottom"/>
            <w:hideMark/>
          </w:tcPr>
          <w:p w14:paraId="707FE5DC"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4169E7" w:rsidRPr="005C3EC8" w14:paraId="19F31A66" w14:textId="77777777" w:rsidTr="004D56C6">
        <w:trPr>
          <w:trHeight w:hRule="exact" w:val="284"/>
        </w:trPr>
        <w:tc>
          <w:tcPr>
            <w:tcW w:w="2127" w:type="dxa"/>
            <w:vMerge w:val="restart"/>
            <w:tcBorders>
              <w:top w:val="single" w:sz="12" w:space="0" w:color="000000" w:themeColor="text1"/>
              <w:left w:val="single" w:sz="12" w:space="0" w:color="auto"/>
              <w:bottom w:val="single" w:sz="2" w:space="0" w:color="A6A6A6" w:themeColor="background1" w:themeShade="A6"/>
              <w:right w:val="single" w:sz="2" w:space="0" w:color="A6A6A6" w:themeColor="background1" w:themeShade="A6"/>
            </w:tcBorders>
            <w:shd w:val="clear" w:color="000000" w:fill="BFBFBF"/>
            <w:vAlign w:val="center"/>
            <w:hideMark/>
          </w:tcPr>
          <w:p w14:paraId="6710D964" w14:textId="77777777" w:rsidR="004169E7" w:rsidRPr="005C3EC8" w:rsidRDefault="004169E7" w:rsidP="0080605A">
            <w:pPr>
              <w:widowControl/>
              <w:suppressAutoHyphens w:val="0"/>
              <w:spacing w:after="0" w:line="240" w:lineRule="auto"/>
              <w:rPr>
                <w:rFonts w:ascii="Calibri" w:hAnsi="Calibri" w:cs="Times New Roman"/>
                <w:b/>
                <w:bCs/>
                <w:color w:val="000000"/>
                <w:lang w:eastAsia="en-GB"/>
              </w:rPr>
            </w:pPr>
            <w:r w:rsidRPr="005C3EC8">
              <w:rPr>
                <w:rFonts w:ascii="Calibri" w:hAnsi="Calibri" w:cs="Times New Roman"/>
                <w:b/>
                <w:bCs/>
                <w:color w:val="000000"/>
                <w:lang w:eastAsia="en-GB"/>
              </w:rPr>
              <w:t>Socio-economic contribution</w:t>
            </w:r>
          </w:p>
        </w:tc>
        <w:tc>
          <w:tcPr>
            <w:tcW w:w="4535" w:type="dxa"/>
            <w:gridSpan w:val="4"/>
            <w:tcBorders>
              <w:top w:val="single" w:sz="12" w:space="0" w:color="000000" w:themeColor="text1"/>
              <w:left w:val="single" w:sz="2" w:space="0" w:color="A6A6A6" w:themeColor="background1" w:themeShade="A6"/>
              <w:right w:val="single" w:sz="2" w:space="0" w:color="A6A6A6" w:themeColor="background1" w:themeShade="A6"/>
            </w:tcBorders>
            <w:shd w:val="clear" w:color="000000" w:fill="FFFFFF"/>
            <w:vAlign w:val="center"/>
            <w:hideMark/>
          </w:tcPr>
          <w:p w14:paraId="0C70B669" w14:textId="14F23602" w:rsidR="004169E7" w:rsidRPr="005C3EC8" w:rsidRDefault="004169E7" w:rsidP="004169E7">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Manda</w:t>
            </w:r>
            <w:r w:rsidR="006D293F" w:rsidRPr="005C3EC8">
              <w:rPr>
                <w:rFonts w:ascii="Calibri" w:hAnsi="Calibri" w:cs="Times New Roman"/>
                <w:color w:val="000000"/>
                <w:lang w:eastAsia="en-GB"/>
              </w:rPr>
              <w:t>tory social expenditures (#6.1</w:t>
            </w:r>
            <w:r w:rsidRPr="005C3EC8">
              <w:rPr>
                <w:rFonts w:ascii="Calibri" w:hAnsi="Calibri" w:cs="Times New Roman"/>
                <w:color w:val="000000"/>
                <w:lang w:eastAsia="en-GB"/>
              </w:rPr>
              <w:t>)</w:t>
            </w:r>
          </w:p>
        </w:tc>
        <w:tc>
          <w:tcPr>
            <w:tcW w:w="491"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tcPr>
          <w:p w14:paraId="5B128EE5" w14:textId="77777777" w:rsidR="004169E7" w:rsidRPr="005C3EC8" w:rsidRDefault="004169E7" w:rsidP="004169E7">
            <w:pPr>
              <w:widowControl/>
              <w:suppressAutoHyphens w:val="0"/>
              <w:spacing w:after="0" w:line="240" w:lineRule="auto"/>
              <w:rPr>
                <w:rFonts w:ascii="Calibri" w:hAnsi="Calibri" w:cs="Times New Roman"/>
                <w:color w:val="000000"/>
                <w:lang w:eastAsia="en-GB"/>
              </w:rPr>
            </w:pPr>
          </w:p>
        </w:tc>
        <w:tc>
          <w:tcPr>
            <w:tcW w:w="532"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7200BC3B" w14:textId="7FAB02B8" w:rsidR="004169E7" w:rsidRPr="005C3EC8" w:rsidRDefault="004169E7" w:rsidP="004169E7">
            <w:pPr>
              <w:spacing w:after="0"/>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84AE44"/>
            <w:noWrap/>
            <w:vAlign w:val="bottom"/>
            <w:hideMark/>
          </w:tcPr>
          <w:p w14:paraId="214229DB" w14:textId="5814D098" w:rsidR="004169E7" w:rsidRPr="005C3EC8" w:rsidRDefault="004169E7" w:rsidP="004169E7">
            <w:pPr>
              <w:spacing w:after="0"/>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024C8B4E" w14:textId="6CF2C791" w:rsidR="004169E7" w:rsidRPr="005C3EC8" w:rsidRDefault="004169E7" w:rsidP="004169E7">
            <w:pPr>
              <w:widowControl/>
              <w:suppressAutoHyphens w:val="0"/>
              <w:spacing w:after="0" w:line="240" w:lineRule="auto"/>
              <w:rPr>
                <w:rFonts w:ascii="Calibri" w:hAnsi="Calibri" w:cs="Times New Roman"/>
                <w:color w:val="000000"/>
                <w:lang w:eastAsia="en-GB"/>
              </w:rPr>
            </w:pPr>
          </w:p>
        </w:tc>
        <w:tc>
          <w:tcPr>
            <w:tcW w:w="421" w:type="dxa"/>
            <w:tcBorders>
              <w:top w:val="single" w:sz="12" w:space="0" w:color="000000" w:themeColor="text1"/>
              <w:left w:val="single" w:sz="2" w:space="0" w:color="A6A6A6" w:themeColor="background1" w:themeShade="A6"/>
              <w:bottom w:val="single" w:sz="2" w:space="0" w:color="A6A6A6" w:themeColor="background1" w:themeShade="A6"/>
              <w:right w:val="single" w:sz="12" w:space="0" w:color="auto"/>
            </w:tcBorders>
            <w:shd w:val="clear" w:color="auto" w:fill="auto"/>
            <w:noWrap/>
            <w:vAlign w:val="bottom"/>
            <w:hideMark/>
          </w:tcPr>
          <w:p w14:paraId="4D88F385" w14:textId="21E9E47B" w:rsidR="004169E7" w:rsidRPr="005C3EC8" w:rsidRDefault="004169E7" w:rsidP="004169E7">
            <w:pPr>
              <w:widowControl/>
              <w:suppressAutoHyphens w:val="0"/>
              <w:spacing w:after="0" w:line="240" w:lineRule="auto"/>
              <w:rPr>
                <w:rFonts w:ascii="Calibri" w:hAnsi="Calibri" w:cs="Times New Roman"/>
                <w:color w:val="000000"/>
                <w:lang w:eastAsia="en-GB"/>
              </w:rPr>
            </w:pPr>
          </w:p>
        </w:tc>
      </w:tr>
      <w:tr w:rsidR="00BE1E18" w:rsidRPr="005C3EC8" w14:paraId="2C9BF31B" w14:textId="77777777" w:rsidTr="004D56C6">
        <w:trPr>
          <w:trHeight w:hRule="exact" w:val="284"/>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14:paraId="51B5DE74" w14:textId="77777777" w:rsidR="00BE1E18" w:rsidRPr="005C3EC8" w:rsidRDefault="00BE1E18" w:rsidP="0080605A">
            <w:pPr>
              <w:widowControl/>
              <w:suppressAutoHyphens w:val="0"/>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vAlign w:val="center"/>
            <w:hideMark/>
          </w:tcPr>
          <w:p w14:paraId="4923D71D"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SOE quasi-fiscal expenditures (#6.2)</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auto"/>
          </w:tcPr>
          <w:p w14:paraId="7F005E9B"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auto"/>
            <w:noWrap/>
            <w:vAlign w:val="bottom"/>
            <w:hideMark/>
          </w:tcPr>
          <w:p w14:paraId="4C3A4FCD"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auto"/>
            <w:noWrap/>
            <w:vAlign w:val="bottom"/>
            <w:hideMark/>
          </w:tcPr>
          <w:p w14:paraId="74145019"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auto"/>
            <w:noWrap/>
            <w:vAlign w:val="bottom"/>
            <w:hideMark/>
          </w:tcPr>
          <w:p w14:paraId="4A51CD1C"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diagStripe" w:color="auto" w:fill="auto"/>
            <w:noWrap/>
            <w:vAlign w:val="bottom"/>
            <w:hideMark/>
          </w:tcPr>
          <w:p w14:paraId="3F369918"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BE1E18" w:rsidRPr="005C3EC8" w14:paraId="19321EA1" w14:textId="77777777" w:rsidTr="004D56C6">
        <w:trPr>
          <w:trHeight w:hRule="exact" w:val="284"/>
        </w:trPr>
        <w:tc>
          <w:tcPr>
            <w:tcW w:w="2127" w:type="dxa"/>
            <w:vMerge/>
            <w:tcBorders>
              <w:top w:val="single" w:sz="2" w:space="0" w:color="A6A6A6" w:themeColor="background1" w:themeShade="A6"/>
              <w:left w:val="single" w:sz="12" w:space="0" w:color="auto"/>
              <w:bottom w:val="single" w:sz="12" w:space="0" w:color="auto"/>
              <w:right w:val="single" w:sz="2" w:space="0" w:color="A6A6A6" w:themeColor="background1" w:themeShade="A6"/>
            </w:tcBorders>
            <w:vAlign w:val="center"/>
            <w:hideMark/>
          </w:tcPr>
          <w:p w14:paraId="75CA0DED" w14:textId="77777777" w:rsidR="00BE1E18" w:rsidRPr="005C3EC8" w:rsidRDefault="00BE1E18" w:rsidP="0080605A">
            <w:pPr>
              <w:widowControl/>
              <w:suppressAutoHyphens w:val="0"/>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12" w:space="0" w:color="auto"/>
              <w:right w:val="single" w:sz="2" w:space="0" w:color="A6A6A6" w:themeColor="background1" w:themeShade="A6"/>
            </w:tcBorders>
            <w:shd w:val="clear" w:color="000000" w:fill="FFFFFF"/>
            <w:vAlign w:val="center"/>
            <w:hideMark/>
          </w:tcPr>
          <w:p w14:paraId="63852300"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Economic contribution (#6.3)</w:t>
            </w:r>
          </w:p>
        </w:tc>
        <w:tc>
          <w:tcPr>
            <w:tcW w:w="491" w:type="dxa"/>
            <w:tcBorders>
              <w:top w:val="single" w:sz="2" w:space="0" w:color="A6A6A6" w:themeColor="background1" w:themeShade="A6"/>
              <w:left w:val="single" w:sz="2" w:space="0" w:color="A6A6A6" w:themeColor="background1" w:themeShade="A6"/>
              <w:bottom w:val="single" w:sz="12" w:space="0" w:color="auto"/>
              <w:right w:val="single" w:sz="2" w:space="0" w:color="A6A6A6" w:themeColor="background1" w:themeShade="A6"/>
            </w:tcBorders>
          </w:tcPr>
          <w:p w14:paraId="059C920B"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12" w:space="0" w:color="auto"/>
              <w:right w:val="single" w:sz="2" w:space="0" w:color="A6A6A6" w:themeColor="background1" w:themeShade="A6"/>
            </w:tcBorders>
            <w:shd w:val="clear" w:color="auto" w:fill="auto"/>
            <w:noWrap/>
            <w:vAlign w:val="bottom"/>
            <w:hideMark/>
          </w:tcPr>
          <w:p w14:paraId="629B57B5"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12" w:space="0" w:color="auto"/>
              <w:right w:val="single" w:sz="2" w:space="0" w:color="A6A6A6" w:themeColor="background1" w:themeShade="A6"/>
            </w:tcBorders>
            <w:shd w:val="clear" w:color="auto" w:fill="auto"/>
            <w:noWrap/>
            <w:vAlign w:val="bottom"/>
            <w:hideMark/>
          </w:tcPr>
          <w:p w14:paraId="7C809EEE"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12" w:space="0" w:color="auto"/>
              <w:right w:val="single" w:sz="2" w:space="0" w:color="A6A6A6" w:themeColor="background1" w:themeShade="A6"/>
            </w:tcBorders>
            <w:shd w:val="clear" w:color="auto" w:fill="2D8B2B"/>
            <w:noWrap/>
            <w:vAlign w:val="bottom"/>
            <w:hideMark/>
          </w:tcPr>
          <w:p w14:paraId="6D5E0B0B"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12" w:space="0" w:color="auto"/>
              <w:right w:val="single" w:sz="12" w:space="0" w:color="auto"/>
            </w:tcBorders>
            <w:shd w:val="clear" w:color="auto" w:fill="auto"/>
            <w:noWrap/>
            <w:vAlign w:val="bottom"/>
            <w:hideMark/>
          </w:tcPr>
          <w:p w14:paraId="4BDA8521"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BE1E18" w:rsidRPr="005C3EC8" w14:paraId="0C97A11B" w14:textId="77777777" w:rsidTr="00EC0B9E">
        <w:trPr>
          <w:trHeight w:hRule="exact" w:val="284"/>
        </w:trPr>
        <w:tc>
          <w:tcPr>
            <w:tcW w:w="2127" w:type="dxa"/>
            <w:vMerge w:val="restart"/>
            <w:tcBorders>
              <w:top w:val="single" w:sz="12" w:space="0" w:color="auto"/>
              <w:left w:val="single" w:sz="12" w:space="0" w:color="auto"/>
              <w:bottom w:val="single" w:sz="2" w:space="0" w:color="A6A6A6" w:themeColor="background1" w:themeShade="A6"/>
              <w:right w:val="single" w:sz="2" w:space="0" w:color="A6A6A6" w:themeColor="background1" w:themeShade="A6"/>
            </w:tcBorders>
            <w:shd w:val="clear" w:color="000000" w:fill="BFBFBF"/>
            <w:noWrap/>
            <w:vAlign w:val="center"/>
            <w:hideMark/>
          </w:tcPr>
          <w:p w14:paraId="32CDBF96" w14:textId="77777777" w:rsidR="00BE1E18" w:rsidRPr="005C3EC8" w:rsidRDefault="00BE1E18" w:rsidP="0080605A">
            <w:pPr>
              <w:widowControl/>
              <w:suppressAutoHyphens w:val="0"/>
              <w:spacing w:after="0" w:line="240" w:lineRule="auto"/>
              <w:rPr>
                <w:rFonts w:ascii="Calibri" w:hAnsi="Calibri" w:cs="Times New Roman"/>
                <w:b/>
                <w:bCs/>
                <w:color w:val="000000"/>
                <w:lang w:eastAsia="en-GB"/>
              </w:rPr>
            </w:pPr>
            <w:r w:rsidRPr="005C3EC8">
              <w:rPr>
                <w:rFonts w:ascii="Calibri" w:hAnsi="Calibri" w:cs="Times New Roman"/>
                <w:b/>
                <w:bCs/>
                <w:color w:val="000000"/>
                <w:lang w:eastAsia="en-GB"/>
              </w:rPr>
              <w:t>Outcomes and impact</w:t>
            </w:r>
          </w:p>
        </w:tc>
        <w:tc>
          <w:tcPr>
            <w:tcW w:w="4535" w:type="dxa"/>
            <w:gridSpan w:val="4"/>
            <w:tcBorders>
              <w:top w:val="single" w:sz="12" w:space="0" w:color="auto"/>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1A3BA0B5"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Public debate (#7.1)</w:t>
            </w:r>
          </w:p>
        </w:tc>
        <w:tc>
          <w:tcPr>
            <w:tcW w:w="491" w:type="dxa"/>
            <w:tcBorders>
              <w:top w:val="single" w:sz="12" w:space="0" w:color="auto"/>
              <w:left w:val="single" w:sz="2" w:space="0" w:color="A6A6A6" w:themeColor="background1" w:themeShade="A6"/>
              <w:bottom w:val="single" w:sz="2" w:space="0" w:color="A6A6A6" w:themeColor="background1" w:themeShade="A6"/>
              <w:right w:val="single" w:sz="2" w:space="0" w:color="A6A6A6" w:themeColor="background1" w:themeShade="A6"/>
            </w:tcBorders>
          </w:tcPr>
          <w:p w14:paraId="7C90F09B"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p>
        </w:tc>
        <w:tc>
          <w:tcPr>
            <w:tcW w:w="532" w:type="dxa"/>
            <w:tcBorders>
              <w:top w:val="single" w:sz="12" w:space="0" w:color="auto"/>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5F6B54A1"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12" w:space="0" w:color="auto"/>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339A9B1A"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12" w:space="0" w:color="auto"/>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2D8B2B"/>
            <w:noWrap/>
            <w:vAlign w:val="bottom"/>
            <w:hideMark/>
          </w:tcPr>
          <w:p w14:paraId="4D3CFC87"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12" w:space="0" w:color="auto"/>
              <w:left w:val="single" w:sz="2" w:space="0" w:color="A6A6A6" w:themeColor="background1" w:themeShade="A6"/>
              <w:bottom w:val="single" w:sz="2" w:space="0" w:color="A6A6A6" w:themeColor="background1" w:themeShade="A6"/>
              <w:right w:val="single" w:sz="12" w:space="0" w:color="auto"/>
            </w:tcBorders>
            <w:shd w:val="clear" w:color="auto" w:fill="auto"/>
            <w:noWrap/>
            <w:vAlign w:val="bottom"/>
            <w:hideMark/>
          </w:tcPr>
          <w:p w14:paraId="37B096D8"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BE1E18" w:rsidRPr="005C3EC8" w14:paraId="4D527536" w14:textId="77777777" w:rsidTr="004D56C6">
        <w:trPr>
          <w:trHeight w:hRule="exact" w:val="284"/>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14:paraId="300C4AF9" w14:textId="77777777" w:rsidR="00BE1E18" w:rsidRPr="005C3EC8" w:rsidRDefault="00BE1E18" w:rsidP="0080605A">
            <w:pPr>
              <w:widowControl/>
              <w:suppressAutoHyphens w:val="0"/>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62A4F4D7"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Data accessibility (#7.2)</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D9D9D9"/>
          </w:tcPr>
          <w:p w14:paraId="6D51D9C2"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D9D9D9"/>
            <w:noWrap/>
            <w:vAlign w:val="bottom"/>
            <w:hideMark/>
          </w:tcPr>
          <w:p w14:paraId="781BD8C4"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D9D9D9"/>
            <w:noWrap/>
            <w:vAlign w:val="bottom"/>
            <w:hideMark/>
          </w:tcPr>
          <w:p w14:paraId="5F57C99E"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D9D9D9"/>
            <w:noWrap/>
            <w:vAlign w:val="bottom"/>
            <w:hideMark/>
          </w:tcPr>
          <w:p w14:paraId="45DE9A53"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clear" w:color="000000" w:fill="D9D9D9"/>
            <w:noWrap/>
            <w:vAlign w:val="bottom"/>
            <w:hideMark/>
          </w:tcPr>
          <w:p w14:paraId="07D33986"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BE1E18" w:rsidRPr="005C3EC8" w14:paraId="3F497E7D" w14:textId="77777777" w:rsidTr="00EC0B9E">
        <w:trPr>
          <w:trHeight w:hRule="exact" w:val="284"/>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14:paraId="6F6786E9" w14:textId="77777777" w:rsidR="00BE1E18" w:rsidRPr="005C3EC8" w:rsidRDefault="00BE1E18" w:rsidP="0080605A">
            <w:pPr>
              <w:widowControl/>
              <w:suppressAutoHyphens w:val="0"/>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14:paraId="71AF80DE"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Follow up on recommendations (#7.3)</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tcPr>
          <w:p w14:paraId="74EFB7F6"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noWrap/>
            <w:vAlign w:val="bottom"/>
            <w:hideMark/>
          </w:tcPr>
          <w:p w14:paraId="2B714730"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noWrap/>
            <w:vAlign w:val="bottom"/>
            <w:hideMark/>
          </w:tcPr>
          <w:p w14:paraId="33C4C8CA"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2D8B2B"/>
            <w:noWrap/>
            <w:vAlign w:val="bottom"/>
            <w:hideMark/>
          </w:tcPr>
          <w:p w14:paraId="1F57CABF"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clear" w:color="auto" w:fill="FFFFFF" w:themeFill="background1"/>
            <w:noWrap/>
            <w:vAlign w:val="bottom"/>
            <w:hideMark/>
          </w:tcPr>
          <w:p w14:paraId="0609C14E"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r w:rsidR="00BE1E18" w:rsidRPr="005C3EC8" w14:paraId="3E7596C2" w14:textId="77777777" w:rsidTr="004E61BA">
        <w:trPr>
          <w:trHeight w:hRule="exact" w:val="284"/>
        </w:trPr>
        <w:tc>
          <w:tcPr>
            <w:tcW w:w="2127" w:type="dxa"/>
            <w:vMerge/>
            <w:tcBorders>
              <w:top w:val="single" w:sz="2" w:space="0" w:color="A6A6A6" w:themeColor="background1" w:themeShade="A6"/>
              <w:left w:val="single" w:sz="12" w:space="0" w:color="auto"/>
              <w:bottom w:val="single" w:sz="12" w:space="0" w:color="auto"/>
              <w:right w:val="single" w:sz="2" w:space="0" w:color="A6A6A6" w:themeColor="background1" w:themeShade="A6"/>
            </w:tcBorders>
            <w:vAlign w:val="center"/>
            <w:hideMark/>
          </w:tcPr>
          <w:p w14:paraId="0186613F" w14:textId="77777777" w:rsidR="00BE1E18" w:rsidRPr="005C3EC8" w:rsidRDefault="00BE1E18" w:rsidP="0080605A">
            <w:pPr>
              <w:widowControl/>
              <w:suppressAutoHyphens w:val="0"/>
              <w:spacing w:after="0" w:line="240" w:lineRule="auto"/>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12" w:space="0" w:color="auto"/>
              <w:right w:val="single" w:sz="2" w:space="0" w:color="A6A6A6" w:themeColor="background1" w:themeShade="A6"/>
            </w:tcBorders>
            <w:shd w:val="clear" w:color="auto" w:fill="auto"/>
            <w:noWrap/>
            <w:vAlign w:val="bottom"/>
            <w:hideMark/>
          </w:tcPr>
          <w:p w14:paraId="1B4D6D94"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Outcomes and impact of implementation (#7.4)</w:t>
            </w:r>
          </w:p>
        </w:tc>
        <w:tc>
          <w:tcPr>
            <w:tcW w:w="491" w:type="dxa"/>
            <w:tcBorders>
              <w:top w:val="single" w:sz="2" w:space="0" w:color="A6A6A6" w:themeColor="background1" w:themeShade="A6"/>
              <w:left w:val="single" w:sz="2" w:space="0" w:color="A6A6A6" w:themeColor="background1" w:themeShade="A6"/>
              <w:bottom w:val="single" w:sz="12" w:space="0" w:color="auto"/>
              <w:right w:val="single" w:sz="2" w:space="0" w:color="A6A6A6" w:themeColor="background1" w:themeShade="A6"/>
            </w:tcBorders>
          </w:tcPr>
          <w:p w14:paraId="04718962"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12" w:space="0" w:color="auto"/>
              <w:right w:val="single" w:sz="2" w:space="0" w:color="A6A6A6" w:themeColor="background1" w:themeShade="A6"/>
            </w:tcBorders>
            <w:shd w:val="clear" w:color="auto" w:fill="auto"/>
            <w:noWrap/>
            <w:vAlign w:val="bottom"/>
            <w:hideMark/>
          </w:tcPr>
          <w:p w14:paraId="12B01F93"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12" w:space="0" w:color="auto"/>
              <w:right w:val="single" w:sz="2" w:space="0" w:color="A6A6A6" w:themeColor="background1" w:themeShade="A6"/>
            </w:tcBorders>
            <w:shd w:val="clear" w:color="auto" w:fill="84AE44"/>
            <w:noWrap/>
            <w:vAlign w:val="bottom"/>
            <w:hideMark/>
          </w:tcPr>
          <w:p w14:paraId="09B8179F"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12" w:space="0" w:color="auto"/>
              <w:right w:val="single" w:sz="2" w:space="0" w:color="A6A6A6" w:themeColor="background1" w:themeShade="A6"/>
            </w:tcBorders>
            <w:shd w:val="clear" w:color="auto" w:fill="FFFFFF" w:themeFill="background1"/>
            <w:noWrap/>
            <w:vAlign w:val="bottom"/>
            <w:hideMark/>
          </w:tcPr>
          <w:p w14:paraId="766ED5FC"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12" w:space="0" w:color="auto"/>
              <w:right w:val="single" w:sz="12" w:space="0" w:color="auto"/>
            </w:tcBorders>
            <w:shd w:val="clear" w:color="auto" w:fill="auto"/>
            <w:noWrap/>
            <w:vAlign w:val="bottom"/>
            <w:hideMark/>
          </w:tcPr>
          <w:p w14:paraId="151414FB" w14:textId="77777777" w:rsidR="00BE1E18" w:rsidRPr="005C3EC8" w:rsidRDefault="00BE1E18" w:rsidP="0080605A">
            <w:pPr>
              <w:widowControl/>
              <w:suppressAutoHyphens w:val="0"/>
              <w:spacing w:after="0" w:line="240" w:lineRule="auto"/>
              <w:rPr>
                <w:rFonts w:ascii="Calibri" w:hAnsi="Calibri" w:cs="Times New Roman"/>
                <w:color w:val="000000"/>
                <w:lang w:eastAsia="en-GB"/>
              </w:rPr>
            </w:pPr>
            <w:r w:rsidRPr="005C3EC8">
              <w:rPr>
                <w:rFonts w:ascii="Calibri" w:hAnsi="Calibri" w:cs="Times New Roman"/>
                <w:color w:val="000000"/>
                <w:lang w:eastAsia="en-GB"/>
              </w:rPr>
              <w:t> </w:t>
            </w:r>
          </w:p>
        </w:tc>
      </w:tr>
    </w:tbl>
    <w:p w14:paraId="3110E0CE" w14:textId="77777777" w:rsidR="00903C5C" w:rsidRPr="005C3EC8" w:rsidRDefault="00903C5C">
      <w:pPr>
        <w:widowControl/>
        <w:suppressAutoHyphens w:val="0"/>
        <w:spacing w:after="0" w:line="240" w:lineRule="auto"/>
        <w:rPr>
          <w:rFonts w:ascii="Calibri" w:hAnsi="Calibri"/>
        </w:rPr>
      </w:pPr>
      <w:r w:rsidRPr="005C3EC8">
        <w:rPr>
          <w:rFonts w:ascii="Calibri" w:hAnsi="Calibri"/>
        </w:rPr>
        <w:br w:type="page"/>
      </w:r>
    </w:p>
    <w:tbl>
      <w:tblPr>
        <w:tblW w:w="9493" w:type="dxa"/>
        <w:tblLayout w:type="fixed"/>
        <w:tblLook w:val="04A0" w:firstRow="1" w:lastRow="0" w:firstColumn="1" w:lastColumn="0" w:noHBand="0" w:noVBand="1"/>
      </w:tblPr>
      <w:tblGrid>
        <w:gridCol w:w="1050"/>
        <w:gridCol w:w="8443"/>
      </w:tblGrid>
      <w:tr w:rsidR="00727A05" w:rsidRPr="005C3EC8" w14:paraId="7B0C6C4D" w14:textId="77777777" w:rsidTr="00E03D03">
        <w:trPr>
          <w:trHeight w:val="380"/>
        </w:trPr>
        <w:tc>
          <w:tcPr>
            <w:tcW w:w="9493" w:type="dxa"/>
            <w:gridSpan w:val="2"/>
            <w:tcBorders>
              <w:top w:val="nil"/>
              <w:left w:val="nil"/>
              <w:bottom w:val="nil"/>
              <w:right w:val="nil"/>
            </w:tcBorders>
            <w:shd w:val="clear" w:color="auto" w:fill="auto"/>
            <w:noWrap/>
            <w:vAlign w:val="bottom"/>
            <w:hideMark/>
          </w:tcPr>
          <w:p w14:paraId="509EE6E3" w14:textId="77777777" w:rsidR="00727A05" w:rsidRPr="005C3EC8" w:rsidRDefault="00727A05" w:rsidP="00183360">
            <w:pPr>
              <w:widowControl/>
              <w:suppressAutoHyphens w:val="0"/>
              <w:spacing w:after="0" w:line="240" w:lineRule="auto"/>
              <w:rPr>
                <w:rFonts w:ascii="Calibri" w:hAnsi="Calibri" w:cs="Times New Roman"/>
                <w:bCs/>
                <w:i/>
                <w:color w:val="000000"/>
                <w:sz w:val="28"/>
                <w:szCs w:val="28"/>
              </w:rPr>
            </w:pPr>
            <w:r w:rsidRPr="005C3EC8">
              <w:rPr>
                <w:rFonts w:ascii="Calibri" w:hAnsi="Calibri" w:cs="Times New Roman"/>
                <w:bCs/>
                <w:i/>
                <w:color w:val="000000"/>
              </w:rPr>
              <w:lastRenderedPageBreak/>
              <w:t>Legend to the assessment card</w:t>
            </w:r>
          </w:p>
        </w:tc>
      </w:tr>
      <w:tr w:rsidR="00727A05" w:rsidRPr="005C3EC8" w14:paraId="5E5808DD" w14:textId="77777777" w:rsidTr="00E03D03">
        <w:trPr>
          <w:trHeight w:val="160"/>
        </w:trPr>
        <w:tc>
          <w:tcPr>
            <w:tcW w:w="1050" w:type="dxa"/>
            <w:tcBorders>
              <w:top w:val="nil"/>
              <w:left w:val="nil"/>
              <w:bottom w:val="nil"/>
              <w:right w:val="nil"/>
            </w:tcBorders>
            <w:shd w:val="clear" w:color="auto" w:fill="auto"/>
            <w:noWrap/>
            <w:vAlign w:val="bottom"/>
            <w:hideMark/>
          </w:tcPr>
          <w:p w14:paraId="26A3BE02" w14:textId="77777777" w:rsidR="00727A05" w:rsidRPr="005C3EC8" w:rsidRDefault="00727A05" w:rsidP="00183360">
            <w:pPr>
              <w:widowControl/>
              <w:suppressAutoHyphens w:val="0"/>
              <w:spacing w:after="0" w:line="240" w:lineRule="auto"/>
              <w:rPr>
                <w:rFonts w:ascii="Calibri" w:hAnsi="Calibri" w:cs="Times New Roman"/>
                <w:sz w:val="20"/>
                <w:szCs w:val="20"/>
              </w:rPr>
            </w:pPr>
          </w:p>
        </w:tc>
        <w:tc>
          <w:tcPr>
            <w:tcW w:w="8443" w:type="dxa"/>
            <w:tcBorders>
              <w:top w:val="nil"/>
              <w:left w:val="nil"/>
              <w:bottom w:val="nil"/>
              <w:right w:val="nil"/>
            </w:tcBorders>
            <w:shd w:val="clear" w:color="auto" w:fill="auto"/>
            <w:noWrap/>
            <w:vAlign w:val="bottom"/>
            <w:hideMark/>
          </w:tcPr>
          <w:p w14:paraId="72BD2C43" w14:textId="77777777" w:rsidR="00727A05" w:rsidRPr="005C3EC8" w:rsidRDefault="00727A05" w:rsidP="00183360">
            <w:pPr>
              <w:widowControl/>
              <w:suppressAutoHyphens w:val="0"/>
              <w:spacing w:after="0" w:line="240" w:lineRule="auto"/>
              <w:rPr>
                <w:rFonts w:ascii="Calibri" w:hAnsi="Calibri" w:cs="Times New Roman"/>
                <w:sz w:val="20"/>
                <w:szCs w:val="20"/>
              </w:rPr>
            </w:pPr>
          </w:p>
        </w:tc>
      </w:tr>
      <w:tr w:rsidR="00727A05" w:rsidRPr="005C3EC8" w14:paraId="1E5D7E89" w14:textId="77777777" w:rsidTr="004D56C6">
        <w:trPr>
          <w:trHeight w:val="600"/>
        </w:trPr>
        <w:tc>
          <w:tcPr>
            <w:tcW w:w="1050" w:type="dxa"/>
            <w:tcBorders>
              <w:top w:val="nil"/>
              <w:left w:val="nil"/>
              <w:bottom w:val="nil"/>
              <w:right w:val="nil"/>
            </w:tcBorders>
            <w:shd w:val="clear" w:color="000000" w:fill="C00000"/>
            <w:noWrap/>
            <w:vAlign w:val="bottom"/>
            <w:hideMark/>
          </w:tcPr>
          <w:p w14:paraId="7258F04E" w14:textId="77777777" w:rsidR="00727A05" w:rsidRPr="005C3EC8" w:rsidRDefault="00727A05" w:rsidP="00183360">
            <w:pPr>
              <w:widowControl/>
              <w:suppressAutoHyphens w:val="0"/>
              <w:spacing w:after="0" w:line="240" w:lineRule="auto"/>
              <w:rPr>
                <w:rFonts w:ascii="Calibri" w:hAnsi="Calibri" w:cs="Times New Roman"/>
                <w:color w:val="000000"/>
              </w:rPr>
            </w:pPr>
            <w:r w:rsidRPr="005C3EC8">
              <w:rPr>
                <w:rFonts w:ascii="Calibri" w:hAnsi="Calibri" w:cs="Times New Roman"/>
                <w:color w:val="000000"/>
              </w:rPr>
              <w:t> </w:t>
            </w:r>
          </w:p>
        </w:tc>
        <w:tc>
          <w:tcPr>
            <w:tcW w:w="8443" w:type="dxa"/>
            <w:tcBorders>
              <w:top w:val="nil"/>
              <w:left w:val="nil"/>
              <w:bottom w:val="single" w:sz="4" w:space="0" w:color="A6A6A6"/>
              <w:right w:val="nil"/>
            </w:tcBorders>
            <w:shd w:val="clear" w:color="auto" w:fill="auto"/>
            <w:vAlign w:val="center"/>
            <w:hideMark/>
          </w:tcPr>
          <w:p w14:paraId="5907E15C" w14:textId="060F0EA3" w:rsidR="00727A05" w:rsidRPr="005C3EC8" w:rsidRDefault="00CF1CB5" w:rsidP="00183360">
            <w:pPr>
              <w:widowControl/>
              <w:suppressAutoHyphens w:val="0"/>
              <w:spacing w:after="0" w:line="240" w:lineRule="auto"/>
              <w:rPr>
                <w:rFonts w:ascii="Calibri" w:hAnsi="Calibri" w:cs="Times New Roman"/>
                <w:color w:val="000000"/>
                <w:sz w:val="21"/>
              </w:rPr>
            </w:pPr>
            <w:r w:rsidRPr="005C3EC8">
              <w:rPr>
                <w:rFonts w:ascii="Calibri" w:hAnsi="Calibri" w:cs="Times New Roman"/>
                <w:b/>
                <w:color w:val="000000"/>
                <w:sz w:val="21"/>
              </w:rPr>
              <w:t xml:space="preserve">No progress. </w:t>
            </w:r>
            <w:r w:rsidR="00727A05" w:rsidRPr="005C3EC8">
              <w:rPr>
                <w:rFonts w:ascii="Calibri" w:hAnsi="Calibri" w:cs="Times New Roman"/>
                <w:color w:val="000000"/>
                <w:sz w:val="21"/>
              </w:rPr>
              <w:t>The country has made no progress in addressing the requirement.  The broader objective of the requirement is in no way fulfilled.</w:t>
            </w:r>
          </w:p>
        </w:tc>
      </w:tr>
      <w:tr w:rsidR="00727A05" w:rsidRPr="005C3EC8" w14:paraId="10DC06D4" w14:textId="77777777" w:rsidTr="004D56C6">
        <w:trPr>
          <w:trHeight w:val="600"/>
        </w:trPr>
        <w:tc>
          <w:tcPr>
            <w:tcW w:w="1050" w:type="dxa"/>
            <w:tcBorders>
              <w:top w:val="nil"/>
              <w:left w:val="nil"/>
              <w:bottom w:val="nil"/>
              <w:right w:val="nil"/>
            </w:tcBorders>
            <w:shd w:val="clear" w:color="000000" w:fill="FAC433"/>
            <w:noWrap/>
            <w:vAlign w:val="bottom"/>
            <w:hideMark/>
          </w:tcPr>
          <w:p w14:paraId="03CC07C5" w14:textId="77777777" w:rsidR="00727A05" w:rsidRPr="005C3EC8" w:rsidRDefault="00727A05" w:rsidP="00183360">
            <w:pPr>
              <w:widowControl/>
              <w:suppressAutoHyphens w:val="0"/>
              <w:spacing w:after="0" w:line="240" w:lineRule="auto"/>
              <w:rPr>
                <w:rFonts w:ascii="Calibri" w:hAnsi="Calibri" w:cs="Times New Roman"/>
                <w:color w:val="000000"/>
              </w:rPr>
            </w:pPr>
            <w:r w:rsidRPr="005C3EC8">
              <w:rPr>
                <w:rFonts w:ascii="Calibri" w:hAnsi="Calibri" w:cs="Times New Roman"/>
                <w:color w:val="000000"/>
              </w:rPr>
              <w:t> </w:t>
            </w:r>
          </w:p>
        </w:tc>
        <w:tc>
          <w:tcPr>
            <w:tcW w:w="8443" w:type="dxa"/>
            <w:tcBorders>
              <w:top w:val="nil"/>
              <w:left w:val="nil"/>
              <w:bottom w:val="single" w:sz="4" w:space="0" w:color="A6A6A6"/>
              <w:right w:val="nil"/>
            </w:tcBorders>
            <w:shd w:val="clear" w:color="auto" w:fill="auto"/>
            <w:vAlign w:val="center"/>
            <w:hideMark/>
          </w:tcPr>
          <w:p w14:paraId="4552B44F" w14:textId="6644DDF1" w:rsidR="00727A05" w:rsidRPr="005C3EC8" w:rsidRDefault="00CF1CB5" w:rsidP="00183360">
            <w:pPr>
              <w:widowControl/>
              <w:suppressAutoHyphens w:val="0"/>
              <w:spacing w:after="0" w:line="240" w:lineRule="auto"/>
              <w:rPr>
                <w:rFonts w:ascii="Calibri" w:hAnsi="Calibri" w:cs="Times New Roman"/>
                <w:color w:val="000000"/>
                <w:sz w:val="21"/>
              </w:rPr>
            </w:pPr>
            <w:r w:rsidRPr="005C3EC8">
              <w:rPr>
                <w:rFonts w:ascii="Calibri" w:hAnsi="Calibri" w:cs="Times New Roman"/>
                <w:b/>
                <w:color w:val="000000"/>
                <w:sz w:val="21"/>
              </w:rPr>
              <w:t xml:space="preserve">Inadequate progress. </w:t>
            </w:r>
            <w:r w:rsidR="00727A05" w:rsidRPr="005C3EC8">
              <w:rPr>
                <w:rFonts w:ascii="Calibri" w:hAnsi="Calibri" w:cs="Times New Roman"/>
                <w:color w:val="000000"/>
                <w:sz w:val="21"/>
              </w:rPr>
              <w:t>The country has made inadequate progress in meeting the requirement. Significant elements of the requirement are outstanding and the broader objective of the requirement is far from being fulfilled.</w:t>
            </w:r>
          </w:p>
        </w:tc>
      </w:tr>
      <w:tr w:rsidR="00727A05" w:rsidRPr="005C3EC8" w14:paraId="24B61D31" w14:textId="77777777" w:rsidTr="004D56C6">
        <w:trPr>
          <w:trHeight w:val="612"/>
        </w:trPr>
        <w:tc>
          <w:tcPr>
            <w:tcW w:w="1050" w:type="dxa"/>
            <w:tcBorders>
              <w:top w:val="nil"/>
              <w:left w:val="nil"/>
              <w:bottom w:val="nil"/>
              <w:right w:val="nil"/>
            </w:tcBorders>
            <w:shd w:val="clear" w:color="000000" w:fill="84AE42"/>
            <w:noWrap/>
            <w:vAlign w:val="bottom"/>
            <w:hideMark/>
          </w:tcPr>
          <w:p w14:paraId="63FEBB78" w14:textId="77777777" w:rsidR="00727A05" w:rsidRPr="005C3EC8" w:rsidRDefault="00727A05" w:rsidP="00183360">
            <w:pPr>
              <w:widowControl/>
              <w:suppressAutoHyphens w:val="0"/>
              <w:spacing w:after="0" w:line="240" w:lineRule="auto"/>
              <w:rPr>
                <w:rFonts w:ascii="Calibri" w:hAnsi="Calibri" w:cs="Times New Roman"/>
                <w:color w:val="000000"/>
              </w:rPr>
            </w:pPr>
            <w:r w:rsidRPr="005C3EC8">
              <w:rPr>
                <w:rFonts w:ascii="Calibri" w:hAnsi="Calibri" w:cs="Times New Roman"/>
                <w:color w:val="000000"/>
              </w:rPr>
              <w:t> </w:t>
            </w:r>
          </w:p>
        </w:tc>
        <w:tc>
          <w:tcPr>
            <w:tcW w:w="8443" w:type="dxa"/>
            <w:tcBorders>
              <w:top w:val="nil"/>
              <w:left w:val="nil"/>
              <w:bottom w:val="single" w:sz="4" w:space="0" w:color="A6A6A6"/>
              <w:right w:val="nil"/>
            </w:tcBorders>
            <w:shd w:val="clear" w:color="auto" w:fill="auto"/>
            <w:vAlign w:val="center"/>
            <w:hideMark/>
          </w:tcPr>
          <w:p w14:paraId="3E6ADD3C" w14:textId="2EDF47B1" w:rsidR="00727A05" w:rsidRPr="005C3EC8" w:rsidRDefault="00CF1CB5" w:rsidP="00183360">
            <w:pPr>
              <w:widowControl/>
              <w:suppressAutoHyphens w:val="0"/>
              <w:spacing w:after="0" w:line="240" w:lineRule="auto"/>
              <w:rPr>
                <w:rFonts w:ascii="Calibri" w:hAnsi="Calibri" w:cs="Times New Roman"/>
                <w:color w:val="000000"/>
                <w:sz w:val="21"/>
              </w:rPr>
            </w:pPr>
            <w:r w:rsidRPr="005C3EC8">
              <w:rPr>
                <w:rFonts w:ascii="Calibri" w:hAnsi="Calibri" w:cs="Times New Roman"/>
                <w:b/>
                <w:color w:val="000000"/>
                <w:sz w:val="21"/>
              </w:rPr>
              <w:t xml:space="preserve">Meaningful progress. </w:t>
            </w:r>
            <w:r w:rsidR="00727A05" w:rsidRPr="005C3EC8">
              <w:rPr>
                <w:rFonts w:ascii="Calibri" w:hAnsi="Calibri" w:cs="Times New Roman"/>
                <w:color w:val="000000"/>
                <w:sz w:val="21"/>
              </w:rPr>
              <w:t xml:space="preserve">The country has made progress in meeting the requirement. Significant elements of the requirement are being implemented and the broader objective of the requirement is being fulfilled. </w:t>
            </w:r>
          </w:p>
        </w:tc>
      </w:tr>
      <w:tr w:rsidR="00727A05" w:rsidRPr="005C3EC8" w14:paraId="49DDCD88" w14:textId="77777777" w:rsidTr="004D56C6">
        <w:trPr>
          <w:trHeight w:val="580"/>
        </w:trPr>
        <w:tc>
          <w:tcPr>
            <w:tcW w:w="1050" w:type="dxa"/>
            <w:tcBorders>
              <w:top w:val="nil"/>
              <w:left w:val="nil"/>
              <w:bottom w:val="nil"/>
              <w:right w:val="nil"/>
            </w:tcBorders>
            <w:shd w:val="clear" w:color="000000" w:fill="2D8B2A"/>
            <w:noWrap/>
            <w:vAlign w:val="bottom"/>
            <w:hideMark/>
          </w:tcPr>
          <w:p w14:paraId="798AA4D5" w14:textId="77777777" w:rsidR="00727A05" w:rsidRPr="005C3EC8" w:rsidRDefault="00727A05" w:rsidP="00183360">
            <w:pPr>
              <w:widowControl/>
              <w:suppressAutoHyphens w:val="0"/>
              <w:spacing w:after="0" w:line="240" w:lineRule="auto"/>
              <w:rPr>
                <w:rFonts w:ascii="Calibri" w:hAnsi="Calibri" w:cs="Times New Roman"/>
                <w:color w:val="000000"/>
              </w:rPr>
            </w:pPr>
            <w:r w:rsidRPr="005C3EC8">
              <w:rPr>
                <w:rFonts w:ascii="Calibri" w:hAnsi="Calibri" w:cs="Times New Roman"/>
                <w:color w:val="000000"/>
              </w:rPr>
              <w:t> </w:t>
            </w:r>
          </w:p>
        </w:tc>
        <w:tc>
          <w:tcPr>
            <w:tcW w:w="8443" w:type="dxa"/>
            <w:tcBorders>
              <w:top w:val="nil"/>
              <w:left w:val="nil"/>
              <w:bottom w:val="single" w:sz="4" w:space="0" w:color="A6A6A6"/>
              <w:right w:val="nil"/>
            </w:tcBorders>
            <w:shd w:val="clear" w:color="auto" w:fill="auto"/>
            <w:vAlign w:val="center"/>
            <w:hideMark/>
          </w:tcPr>
          <w:p w14:paraId="56E27CE2" w14:textId="512317D7" w:rsidR="00727A05" w:rsidRPr="005C3EC8" w:rsidRDefault="00CF1CB5" w:rsidP="00183360">
            <w:pPr>
              <w:widowControl/>
              <w:suppressAutoHyphens w:val="0"/>
              <w:spacing w:after="0" w:line="240" w:lineRule="auto"/>
              <w:rPr>
                <w:rFonts w:ascii="Calibri" w:hAnsi="Calibri" w:cs="Times New Roman"/>
                <w:color w:val="000000"/>
                <w:sz w:val="21"/>
              </w:rPr>
            </w:pPr>
            <w:r w:rsidRPr="005C3EC8">
              <w:rPr>
                <w:rFonts w:ascii="Calibri" w:hAnsi="Calibri" w:cs="Times New Roman"/>
                <w:b/>
                <w:color w:val="000000"/>
                <w:sz w:val="21"/>
              </w:rPr>
              <w:t xml:space="preserve">Satisfactory progress. </w:t>
            </w:r>
            <w:r w:rsidR="00727A05" w:rsidRPr="005C3EC8">
              <w:rPr>
                <w:rFonts w:ascii="Calibri" w:hAnsi="Calibri" w:cs="Times New Roman"/>
                <w:color w:val="000000"/>
                <w:sz w:val="21"/>
              </w:rPr>
              <w:t xml:space="preserve">The country is compliant with the EITI requirement. </w:t>
            </w:r>
          </w:p>
        </w:tc>
      </w:tr>
      <w:tr w:rsidR="00727A05" w:rsidRPr="005C3EC8" w14:paraId="7A617142" w14:textId="77777777" w:rsidTr="004D56C6">
        <w:trPr>
          <w:trHeight w:val="600"/>
        </w:trPr>
        <w:tc>
          <w:tcPr>
            <w:tcW w:w="1050" w:type="dxa"/>
            <w:tcBorders>
              <w:top w:val="nil"/>
              <w:left w:val="nil"/>
              <w:bottom w:val="nil"/>
              <w:right w:val="nil"/>
            </w:tcBorders>
            <w:shd w:val="clear" w:color="000000" w:fill="0076AF"/>
            <w:noWrap/>
            <w:vAlign w:val="bottom"/>
            <w:hideMark/>
          </w:tcPr>
          <w:p w14:paraId="5D22B5AB" w14:textId="77777777" w:rsidR="00727A05" w:rsidRPr="005C3EC8" w:rsidRDefault="00727A05" w:rsidP="00183360">
            <w:pPr>
              <w:widowControl/>
              <w:suppressAutoHyphens w:val="0"/>
              <w:spacing w:after="0" w:line="240" w:lineRule="auto"/>
              <w:rPr>
                <w:rFonts w:ascii="Calibri" w:hAnsi="Calibri" w:cs="Times New Roman"/>
                <w:color w:val="000000"/>
              </w:rPr>
            </w:pPr>
            <w:r w:rsidRPr="005C3EC8">
              <w:rPr>
                <w:rFonts w:ascii="Calibri" w:hAnsi="Calibri" w:cs="Times New Roman"/>
                <w:color w:val="000000"/>
              </w:rPr>
              <w:t> </w:t>
            </w:r>
          </w:p>
        </w:tc>
        <w:tc>
          <w:tcPr>
            <w:tcW w:w="8443" w:type="dxa"/>
            <w:tcBorders>
              <w:top w:val="nil"/>
              <w:left w:val="nil"/>
              <w:bottom w:val="single" w:sz="4" w:space="0" w:color="A6A6A6"/>
              <w:right w:val="nil"/>
            </w:tcBorders>
            <w:shd w:val="clear" w:color="auto" w:fill="auto"/>
            <w:vAlign w:val="center"/>
            <w:hideMark/>
          </w:tcPr>
          <w:p w14:paraId="17A0441B" w14:textId="296213CA" w:rsidR="00727A05" w:rsidRPr="005C3EC8" w:rsidRDefault="00692867" w:rsidP="00183360">
            <w:pPr>
              <w:widowControl/>
              <w:suppressAutoHyphens w:val="0"/>
              <w:spacing w:after="0" w:line="240" w:lineRule="auto"/>
              <w:rPr>
                <w:rFonts w:ascii="Calibri" w:hAnsi="Calibri" w:cs="Times New Roman"/>
                <w:color w:val="000000"/>
                <w:sz w:val="21"/>
              </w:rPr>
            </w:pPr>
            <w:r w:rsidRPr="005C3EC8">
              <w:rPr>
                <w:rFonts w:ascii="Calibri" w:hAnsi="Calibri" w:cs="Times New Roman"/>
                <w:b/>
                <w:color w:val="000000"/>
                <w:sz w:val="21"/>
              </w:rPr>
              <w:t xml:space="preserve">Beyond. </w:t>
            </w:r>
            <w:r w:rsidR="00727A05" w:rsidRPr="005C3EC8">
              <w:rPr>
                <w:rFonts w:ascii="Calibri" w:hAnsi="Calibri" w:cs="Times New Roman"/>
                <w:color w:val="000000"/>
                <w:sz w:val="21"/>
              </w:rPr>
              <w:t xml:space="preserve">The country has gone beyond the requirement. </w:t>
            </w:r>
          </w:p>
        </w:tc>
      </w:tr>
      <w:tr w:rsidR="00727A05" w:rsidRPr="005C3EC8" w14:paraId="7446EE6B" w14:textId="77777777" w:rsidTr="004D56C6">
        <w:trPr>
          <w:trHeight w:val="600"/>
        </w:trPr>
        <w:tc>
          <w:tcPr>
            <w:tcW w:w="1050" w:type="dxa"/>
            <w:tcBorders>
              <w:top w:val="nil"/>
              <w:left w:val="nil"/>
              <w:right w:val="nil"/>
            </w:tcBorders>
            <w:shd w:val="clear" w:color="000000" w:fill="D9D9D9"/>
            <w:noWrap/>
            <w:vAlign w:val="bottom"/>
            <w:hideMark/>
          </w:tcPr>
          <w:p w14:paraId="0742ECB0" w14:textId="77777777" w:rsidR="00727A05" w:rsidRPr="005C3EC8" w:rsidRDefault="00727A05" w:rsidP="00183360">
            <w:pPr>
              <w:widowControl/>
              <w:suppressAutoHyphens w:val="0"/>
              <w:spacing w:after="0" w:line="240" w:lineRule="auto"/>
              <w:jc w:val="center"/>
              <w:rPr>
                <w:rFonts w:ascii="Calibri" w:hAnsi="Calibri" w:cs="Times New Roman"/>
                <w:color w:val="000000"/>
              </w:rPr>
            </w:pPr>
            <w:r w:rsidRPr="005C3EC8">
              <w:rPr>
                <w:rFonts w:ascii="Calibri" w:hAnsi="Calibri" w:cs="Times New Roman"/>
                <w:color w:val="000000"/>
              </w:rPr>
              <w:t> </w:t>
            </w:r>
          </w:p>
        </w:tc>
        <w:tc>
          <w:tcPr>
            <w:tcW w:w="8443" w:type="dxa"/>
            <w:tcBorders>
              <w:top w:val="nil"/>
              <w:left w:val="nil"/>
              <w:bottom w:val="single" w:sz="4" w:space="0" w:color="A6A6A6"/>
              <w:right w:val="nil"/>
            </w:tcBorders>
            <w:shd w:val="clear" w:color="auto" w:fill="auto"/>
            <w:vAlign w:val="center"/>
            <w:hideMark/>
          </w:tcPr>
          <w:p w14:paraId="2D7ECB38" w14:textId="77777777" w:rsidR="00727A05" w:rsidRPr="005C3EC8" w:rsidRDefault="00727A05" w:rsidP="00183360">
            <w:pPr>
              <w:widowControl/>
              <w:suppressAutoHyphens w:val="0"/>
              <w:spacing w:after="0" w:line="240" w:lineRule="auto"/>
              <w:rPr>
                <w:rFonts w:ascii="Calibri" w:hAnsi="Calibri" w:cs="Times New Roman"/>
                <w:color w:val="000000"/>
                <w:sz w:val="21"/>
              </w:rPr>
            </w:pPr>
            <w:r w:rsidRPr="005C3EC8">
              <w:rPr>
                <w:rFonts w:ascii="Calibri" w:hAnsi="Calibri" w:cs="Times New Roman"/>
                <w:color w:val="000000"/>
                <w:sz w:val="21"/>
              </w:rPr>
              <w:t>This requirement is only encouraged or recommended and should not be taken into account in assessing compliance.</w:t>
            </w:r>
          </w:p>
        </w:tc>
      </w:tr>
      <w:tr w:rsidR="00727A05" w:rsidRPr="005C3EC8" w14:paraId="69630D71" w14:textId="77777777" w:rsidTr="004D56C6">
        <w:trPr>
          <w:trHeight w:val="560"/>
        </w:trPr>
        <w:tc>
          <w:tcPr>
            <w:tcW w:w="1050" w:type="dxa"/>
            <w:tcBorders>
              <w:top w:val="nil"/>
              <w:left w:val="nil"/>
              <w:bottom w:val="single" w:sz="4" w:space="0" w:color="A6A6A6" w:themeColor="background1" w:themeShade="A6"/>
              <w:right w:val="nil"/>
            </w:tcBorders>
            <w:shd w:val="diagStripe" w:color="7F7F7F" w:themeColor="text1" w:themeTint="80" w:fill="auto"/>
            <w:noWrap/>
            <w:vAlign w:val="bottom"/>
            <w:hideMark/>
          </w:tcPr>
          <w:p w14:paraId="60357F39" w14:textId="77777777" w:rsidR="00727A05" w:rsidRPr="005C3EC8" w:rsidRDefault="00727A05" w:rsidP="00183360">
            <w:pPr>
              <w:widowControl/>
              <w:suppressAutoHyphens w:val="0"/>
              <w:spacing w:after="0" w:line="240" w:lineRule="auto"/>
              <w:rPr>
                <w:rFonts w:ascii="Calibri" w:hAnsi="Calibri" w:cs="Times New Roman"/>
                <w:color w:val="000000"/>
              </w:rPr>
            </w:pPr>
          </w:p>
        </w:tc>
        <w:tc>
          <w:tcPr>
            <w:tcW w:w="8443" w:type="dxa"/>
            <w:tcBorders>
              <w:top w:val="nil"/>
              <w:left w:val="nil"/>
              <w:bottom w:val="single" w:sz="4" w:space="0" w:color="A6A6A6" w:themeColor="background1" w:themeShade="A6"/>
              <w:right w:val="nil"/>
            </w:tcBorders>
            <w:shd w:val="clear" w:color="auto" w:fill="auto"/>
            <w:vAlign w:val="center"/>
            <w:hideMark/>
          </w:tcPr>
          <w:p w14:paraId="7F5E8D63" w14:textId="77777777" w:rsidR="00727A05" w:rsidRPr="005C3EC8" w:rsidRDefault="00727A05" w:rsidP="00183360">
            <w:pPr>
              <w:widowControl/>
              <w:suppressAutoHyphens w:val="0"/>
              <w:spacing w:after="0" w:line="240" w:lineRule="auto"/>
              <w:rPr>
                <w:rFonts w:ascii="Calibri" w:hAnsi="Calibri" w:cs="Times New Roman"/>
                <w:color w:val="000000"/>
                <w:sz w:val="21"/>
              </w:rPr>
            </w:pPr>
            <w:r w:rsidRPr="005C3EC8">
              <w:rPr>
                <w:rFonts w:ascii="Calibri" w:hAnsi="Calibri" w:cs="Times New Roman"/>
                <w:color w:val="000000"/>
                <w:sz w:val="21"/>
              </w:rPr>
              <w:t xml:space="preserve">The MSG has demonstrated that this requirement is not applicable in the country. </w:t>
            </w:r>
          </w:p>
        </w:tc>
      </w:tr>
      <w:bookmarkEnd w:id="32"/>
    </w:tbl>
    <w:p w14:paraId="41D247BD" w14:textId="3D09081C" w:rsidR="00FB489B" w:rsidRPr="005C3EC8" w:rsidRDefault="00FB489B" w:rsidP="00764C60">
      <w:pPr>
        <w:pStyle w:val="Heading1"/>
        <w:rPr>
          <w:rFonts w:eastAsia="Calibri"/>
        </w:rPr>
        <w:sectPr w:rsidR="00FB489B" w:rsidRPr="005C3EC8" w:rsidSect="007364B0">
          <w:headerReference w:type="first" r:id="rId19"/>
          <w:pgSz w:w="11905" w:h="16837"/>
          <w:pgMar w:top="1175" w:right="1273" w:bottom="1418" w:left="1134" w:header="567" w:footer="0" w:gutter="0"/>
          <w:cols w:space="708"/>
          <w:titlePg/>
          <w:docGrid w:linePitch="326"/>
        </w:sectPr>
      </w:pPr>
    </w:p>
    <w:p w14:paraId="681A483F" w14:textId="4284E501" w:rsidR="00D47A3F" w:rsidRPr="005C3EC8" w:rsidRDefault="00D47A3F">
      <w:pPr>
        <w:pStyle w:val="Heading1"/>
      </w:pPr>
      <w:r w:rsidRPr="005C3EC8">
        <w:lastRenderedPageBreak/>
        <w:t>Introduction</w:t>
      </w:r>
      <w:bookmarkEnd w:id="33"/>
      <w:bookmarkEnd w:id="34"/>
      <w:bookmarkEnd w:id="35"/>
      <w:bookmarkEnd w:id="36"/>
      <w:bookmarkEnd w:id="37"/>
      <w:bookmarkEnd w:id="38"/>
    </w:p>
    <w:p w14:paraId="654FC890" w14:textId="6C311903" w:rsidR="00C67036" w:rsidRPr="005C3EC8" w:rsidRDefault="00C67036" w:rsidP="00A37045">
      <w:pPr>
        <w:rPr>
          <w:rFonts w:ascii="Calibri" w:hAnsi="Calibri"/>
        </w:rPr>
      </w:pPr>
      <w:r w:rsidRPr="005C3EC8">
        <w:rPr>
          <w:rFonts w:ascii="Calibri" w:hAnsi="Calibri"/>
        </w:rPr>
        <w:t xml:space="preserve">Having supported the EITI since its inception, the Government of the United Kingdom </w:t>
      </w:r>
      <w:r w:rsidR="004D56C6" w:rsidRPr="005C3EC8">
        <w:rPr>
          <w:rFonts w:ascii="Calibri" w:hAnsi="Calibri"/>
        </w:rPr>
        <w:t xml:space="preserve">(UK) </w:t>
      </w:r>
      <w:r w:rsidRPr="005C3EC8">
        <w:rPr>
          <w:rFonts w:ascii="Calibri" w:hAnsi="Calibri"/>
        </w:rPr>
        <w:t>committed to implement the EITI in May 2013</w:t>
      </w:r>
      <w:r w:rsidR="00A37045" w:rsidRPr="005C3EC8">
        <w:rPr>
          <w:rFonts w:ascii="Calibri" w:hAnsi="Calibri"/>
        </w:rPr>
        <w:t xml:space="preserve"> at the 6th EITI Global Conference in Sydney in May 2013 and in the </w:t>
      </w:r>
      <w:r w:rsidR="004D56C6" w:rsidRPr="005C3EC8">
        <w:rPr>
          <w:rFonts w:ascii="Calibri" w:hAnsi="Calibri"/>
        </w:rPr>
        <w:t xml:space="preserve">UK’s </w:t>
      </w:r>
      <w:r w:rsidR="00A37045" w:rsidRPr="005C3EC8">
        <w:rPr>
          <w:rFonts w:ascii="Calibri" w:hAnsi="Calibri"/>
        </w:rPr>
        <w:t xml:space="preserve">second </w:t>
      </w:r>
      <w:r w:rsidR="004D56C6" w:rsidRPr="005C3EC8">
        <w:t>Open Government Partnership (</w:t>
      </w:r>
      <w:r w:rsidR="00A37045" w:rsidRPr="005C3EC8">
        <w:rPr>
          <w:rFonts w:ascii="Calibri" w:hAnsi="Calibri"/>
        </w:rPr>
        <w:t>OGP</w:t>
      </w:r>
      <w:r w:rsidR="004D56C6" w:rsidRPr="005C3EC8">
        <w:rPr>
          <w:rFonts w:ascii="Calibri" w:hAnsi="Calibri"/>
        </w:rPr>
        <w:t>)</w:t>
      </w:r>
      <w:r w:rsidR="00A37045" w:rsidRPr="005C3EC8">
        <w:rPr>
          <w:rFonts w:ascii="Calibri" w:hAnsi="Calibri"/>
        </w:rPr>
        <w:t xml:space="preserve"> National Action Plan published at the 2013 OGP London Summit. The first EITI launch event took place on 9 July 2013 and the nominations to the multi-stakeholder group (MSG), composed of four members from each stakeholder group, were finalised in September 2013. The </w:t>
      </w:r>
      <w:r w:rsidR="00737125" w:rsidRPr="005C3EC8">
        <w:rPr>
          <w:rFonts w:ascii="Calibri" w:hAnsi="Calibri"/>
        </w:rPr>
        <w:t>UK</w:t>
      </w:r>
      <w:r w:rsidR="00A37045" w:rsidRPr="005C3EC8">
        <w:rPr>
          <w:rFonts w:ascii="Calibri" w:hAnsi="Calibri"/>
        </w:rPr>
        <w:t xml:space="preserve"> submitted </w:t>
      </w:r>
      <w:r w:rsidR="00737125" w:rsidRPr="005C3EC8">
        <w:rPr>
          <w:rFonts w:ascii="Calibri" w:hAnsi="Calibri"/>
        </w:rPr>
        <w:t>a</w:t>
      </w:r>
      <w:r w:rsidR="00A37045" w:rsidRPr="005C3EC8">
        <w:rPr>
          <w:rFonts w:ascii="Calibri" w:hAnsi="Calibri"/>
        </w:rPr>
        <w:t xml:space="preserve"> candidature application on 5 August 2014</w:t>
      </w:r>
      <w:r w:rsidR="00C05A6B" w:rsidRPr="005C3EC8">
        <w:rPr>
          <w:rFonts w:ascii="Calibri" w:hAnsi="Calibri"/>
        </w:rPr>
        <w:t xml:space="preserve">. It was </w:t>
      </w:r>
      <w:r w:rsidR="00A37045" w:rsidRPr="005C3EC8">
        <w:rPr>
          <w:rFonts w:ascii="Calibri" w:hAnsi="Calibri"/>
        </w:rPr>
        <w:t xml:space="preserve">approved by the EITI Board on 15 October 2014 </w:t>
      </w:r>
      <w:r w:rsidRPr="005C3EC8">
        <w:rPr>
          <w:rFonts w:ascii="Calibri" w:hAnsi="Calibri"/>
        </w:rPr>
        <w:t xml:space="preserve">at the EITI Board’s meeting in </w:t>
      </w:r>
      <w:proofErr w:type="spellStart"/>
      <w:r w:rsidR="00A37045" w:rsidRPr="005C3EC8">
        <w:rPr>
          <w:rFonts w:ascii="Calibri" w:hAnsi="Calibri"/>
        </w:rPr>
        <w:t>Naypyitaw</w:t>
      </w:r>
      <w:proofErr w:type="spellEnd"/>
      <w:r w:rsidR="00A37045" w:rsidRPr="005C3EC8">
        <w:rPr>
          <w:rFonts w:ascii="Calibri" w:hAnsi="Calibri"/>
        </w:rPr>
        <w:t>, Myanmar</w:t>
      </w:r>
      <w:r w:rsidR="00A37045" w:rsidRPr="005C3EC8">
        <w:rPr>
          <w:rStyle w:val="FootnoteReference"/>
          <w:rFonts w:ascii="Calibri" w:hAnsi="Calibri"/>
        </w:rPr>
        <w:footnoteReference w:id="8"/>
      </w:r>
      <w:r w:rsidRPr="005C3EC8">
        <w:rPr>
          <w:rFonts w:ascii="Calibri" w:hAnsi="Calibri"/>
        </w:rPr>
        <w:t xml:space="preserve">. </w:t>
      </w:r>
    </w:p>
    <w:p w14:paraId="3F0947B3" w14:textId="2FCED4E6" w:rsidR="00A37045" w:rsidRPr="005C3EC8" w:rsidRDefault="00A37045" w:rsidP="00A37045">
      <w:pPr>
        <w:rPr>
          <w:rFonts w:ascii="Calibri" w:hAnsi="Calibri"/>
        </w:rPr>
      </w:pPr>
      <w:r w:rsidRPr="005C3EC8">
        <w:rPr>
          <w:rFonts w:ascii="Calibri" w:hAnsi="Calibri"/>
        </w:rPr>
        <w:t>T</w:t>
      </w:r>
      <w:r w:rsidR="00C67036" w:rsidRPr="005C3EC8">
        <w:rPr>
          <w:rFonts w:ascii="Calibri" w:hAnsi="Calibri"/>
        </w:rPr>
        <w:t xml:space="preserve">he government </w:t>
      </w:r>
      <w:r w:rsidRPr="005C3EC8">
        <w:rPr>
          <w:rFonts w:ascii="Calibri" w:hAnsi="Calibri"/>
        </w:rPr>
        <w:t>designated the Department for Business, Innovation and Skills (BIS)</w:t>
      </w:r>
      <w:r w:rsidR="00B60D94" w:rsidRPr="005C3EC8">
        <w:rPr>
          <w:rFonts w:ascii="Calibri" w:hAnsi="Calibri"/>
        </w:rPr>
        <w:t xml:space="preserve"> - now</w:t>
      </w:r>
      <w:r w:rsidRPr="005C3EC8">
        <w:rPr>
          <w:rFonts w:ascii="Calibri" w:hAnsi="Calibri"/>
        </w:rPr>
        <w:t xml:space="preserve"> the Department for Business, Energy and Industrial Strategy (BEIS) </w:t>
      </w:r>
      <w:r w:rsidR="00B60D94" w:rsidRPr="005C3EC8">
        <w:rPr>
          <w:rFonts w:ascii="Calibri" w:hAnsi="Calibri"/>
        </w:rPr>
        <w:t xml:space="preserve">- </w:t>
      </w:r>
      <w:r w:rsidRPr="005C3EC8">
        <w:rPr>
          <w:rFonts w:ascii="Calibri" w:hAnsi="Calibri"/>
        </w:rPr>
        <w:t xml:space="preserve">to lead the </w:t>
      </w:r>
      <w:r w:rsidR="004D56C6" w:rsidRPr="005C3EC8">
        <w:rPr>
          <w:rFonts w:ascii="Calibri" w:hAnsi="Calibri"/>
        </w:rPr>
        <w:t xml:space="preserve">UK </w:t>
      </w:r>
      <w:r w:rsidRPr="005C3EC8">
        <w:rPr>
          <w:rFonts w:ascii="Calibri" w:hAnsi="Calibri"/>
        </w:rPr>
        <w:t xml:space="preserve">government’s implementation of the EITI Standard and convene the UK’s multi-stakeholder group (MSG). </w:t>
      </w:r>
      <w:r w:rsidR="00C67036" w:rsidRPr="005C3EC8">
        <w:rPr>
          <w:rFonts w:ascii="Calibri" w:hAnsi="Calibri"/>
        </w:rPr>
        <w:t>The</w:t>
      </w:r>
      <w:r w:rsidRPr="005C3EC8">
        <w:rPr>
          <w:rFonts w:ascii="Calibri" w:hAnsi="Calibri"/>
        </w:rPr>
        <w:t xml:space="preserve"> </w:t>
      </w:r>
      <w:r w:rsidR="00C67036" w:rsidRPr="005C3EC8">
        <w:rPr>
          <w:rFonts w:ascii="Calibri" w:hAnsi="Calibri"/>
        </w:rPr>
        <w:t xml:space="preserve">MSG is chaired by </w:t>
      </w:r>
      <w:r w:rsidRPr="005C3EC8">
        <w:rPr>
          <w:rFonts w:ascii="Calibri" w:hAnsi="Calibri"/>
        </w:rPr>
        <w:t xml:space="preserve">Matthew Ray, Deputy Director at BEIS and </w:t>
      </w:r>
      <w:r w:rsidR="00C67036" w:rsidRPr="005C3EC8">
        <w:rPr>
          <w:rFonts w:ascii="Calibri" w:hAnsi="Calibri"/>
        </w:rPr>
        <w:t xml:space="preserve">consists of </w:t>
      </w:r>
      <w:r w:rsidR="004D56C6" w:rsidRPr="005C3EC8">
        <w:rPr>
          <w:rFonts w:ascii="Calibri" w:hAnsi="Calibri"/>
        </w:rPr>
        <w:t xml:space="preserve">four </w:t>
      </w:r>
      <w:r w:rsidR="00C67036" w:rsidRPr="005C3EC8">
        <w:rPr>
          <w:rFonts w:ascii="Calibri" w:hAnsi="Calibri"/>
        </w:rPr>
        <w:t>representatives from government, industry</w:t>
      </w:r>
      <w:r w:rsidRPr="005C3EC8">
        <w:rPr>
          <w:rFonts w:ascii="Calibri" w:hAnsi="Calibri"/>
        </w:rPr>
        <w:t xml:space="preserve"> </w:t>
      </w:r>
      <w:r w:rsidR="00C67036" w:rsidRPr="005C3EC8">
        <w:rPr>
          <w:rFonts w:ascii="Calibri" w:hAnsi="Calibri"/>
        </w:rPr>
        <w:t>and civil society</w:t>
      </w:r>
      <w:r w:rsidR="004D56C6" w:rsidRPr="005C3EC8">
        <w:rPr>
          <w:rFonts w:ascii="Calibri" w:hAnsi="Calibri"/>
        </w:rPr>
        <w:t xml:space="preserve"> and four alternates from each constituency</w:t>
      </w:r>
      <w:r w:rsidR="00C67036" w:rsidRPr="005C3EC8">
        <w:rPr>
          <w:rFonts w:ascii="Calibri" w:hAnsi="Calibri"/>
        </w:rPr>
        <w:t>.</w:t>
      </w:r>
      <w:r w:rsidRPr="005C3EC8">
        <w:rPr>
          <w:rFonts w:ascii="Calibri" w:hAnsi="Calibri"/>
        </w:rPr>
        <w:t xml:space="preserve"> </w:t>
      </w:r>
    </w:p>
    <w:p w14:paraId="46E03E02" w14:textId="09DDECD5" w:rsidR="00B60D94" w:rsidRPr="005C3EC8" w:rsidRDefault="00C67036" w:rsidP="00B60D94">
      <w:pPr>
        <w:rPr>
          <w:rFonts w:ascii="Calibri" w:hAnsi="Calibri"/>
        </w:rPr>
      </w:pPr>
      <w:r w:rsidRPr="005C3EC8">
        <w:rPr>
          <w:rFonts w:ascii="Calibri" w:hAnsi="Calibri"/>
        </w:rPr>
        <w:t>On 25</w:t>
      </w:r>
      <w:r w:rsidR="00A37045" w:rsidRPr="005C3EC8">
        <w:rPr>
          <w:rFonts w:ascii="Calibri" w:hAnsi="Calibri"/>
        </w:rPr>
        <w:t xml:space="preserve"> </w:t>
      </w:r>
      <w:r w:rsidRPr="005C3EC8">
        <w:rPr>
          <w:rFonts w:ascii="Calibri" w:hAnsi="Calibri"/>
        </w:rPr>
        <w:t xml:space="preserve">October 2016, the Board agreed that </w:t>
      </w:r>
      <w:r w:rsidR="00A37045" w:rsidRPr="005C3EC8">
        <w:rPr>
          <w:rFonts w:ascii="Calibri" w:hAnsi="Calibri"/>
        </w:rPr>
        <w:t>the UK</w:t>
      </w:r>
      <w:r w:rsidRPr="005C3EC8">
        <w:rPr>
          <w:rFonts w:ascii="Calibri" w:hAnsi="Calibri"/>
        </w:rPr>
        <w:t xml:space="preserve">’s Validation under the 2016 EITI Standard would commence on 1 </w:t>
      </w:r>
      <w:r w:rsidR="00A37045" w:rsidRPr="005C3EC8">
        <w:rPr>
          <w:rFonts w:ascii="Calibri" w:hAnsi="Calibri"/>
        </w:rPr>
        <w:t>July 2018</w:t>
      </w:r>
      <w:r w:rsidR="00A37045" w:rsidRPr="005C3EC8">
        <w:rPr>
          <w:rStyle w:val="FootnoteReference"/>
          <w:rFonts w:ascii="Calibri" w:hAnsi="Calibri"/>
        </w:rPr>
        <w:footnoteReference w:id="9"/>
      </w:r>
      <w:r w:rsidRPr="005C3EC8">
        <w:rPr>
          <w:rFonts w:ascii="Calibri" w:hAnsi="Calibri"/>
        </w:rPr>
        <w:t>. This report presents the findings and initial assessment of the International Secretariat’s data gathering and stakeholder consultations. The International Secretariat has followed the Validation Procedures</w:t>
      </w:r>
      <w:r w:rsidR="00753EFA" w:rsidRPr="005C3EC8">
        <w:rPr>
          <w:rStyle w:val="FootnoteReference"/>
          <w:rFonts w:ascii="Calibri" w:hAnsi="Calibri"/>
        </w:rPr>
        <w:footnoteReference w:id="10"/>
      </w:r>
      <w:r w:rsidR="00A37045" w:rsidRPr="005C3EC8">
        <w:rPr>
          <w:rFonts w:ascii="Calibri" w:hAnsi="Calibri"/>
        </w:rPr>
        <w:t xml:space="preserve"> </w:t>
      </w:r>
      <w:r w:rsidRPr="005C3EC8">
        <w:rPr>
          <w:rFonts w:ascii="Calibri" w:hAnsi="Calibri"/>
        </w:rPr>
        <w:t>and applied the Validation Guide</w:t>
      </w:r>
      <w:r w:rsidR="00753EFA" w:rsidRPr="005C3EC8">
        <w:rPr>
          <w:rStyle w:val="FootnoteReference"/>
          <w:rFonts w:ascii="Calibri" w:hAnsi="Calibri"/>
        </w:rPr>
        <w:footnoteReference w:id="11"/>
      </w:r>
      <w:r w:rsidR="00A37045" w:rsidRPr="005C3EC8">
        <w:rPr>
          <w:rFonts w:ascii="Calibri" w:hAnsi="Calibri"/>
        </w:rPr>
        <w:t xml:space="preserve"> </w:t>
      </w:r>
      <w:r w:rsidRPr="005C3EC8">
        <w:rPr>
          <w:rFonts w:ascii="Calibri" w:hAnsi="Calibri"/>
        </w:rPr>
        <w:t xml:space="preserve">in assessing </w:t>
      </w:r>
      <w:r w:rsidR="00753EFA" w:rsidRPr="005C3EC8">
        <w:rPr>
          <w:rFonts w:ascii="Calibri" w:hAnsi="Calibri"/>
        </w:rPr>
        <w:t>the UK’s</w:t>
      </w:r>
      <w:r w:rsidRPr="005C3EC8">
        <w:rPr>
          <w:rFonts w:ascii="Calibri" w:hAnsi="Calibri"/>
        </w:rPr>
        <w:t xml:space="preserve"> progress with the EITI Standard. While the assessment has not yet been reviewed by the MSG or the independent Validator, the International Secretariat’s preliminary assessment is that a number of the requirements of the EITI Standard have not been fully addressed. </w:t>
      </w:r>
      <w:r w:rsidR="004E2EAE">
        <w:rPr>
          <w:rFonts w:ascii="Calibri" w:hAnsi="Calibri"/>
        </w:rPr>
        <w:t>Eight</w:t>
      </w:r>
      <w:r w:rsidR="00B60D94" w:rsidRPr="005C3EC8">
        <w:rPr>
          <w:rFonts w:ascii="Calibri" w:hAnsi="Calibri"/>
        </w:rPr>
        <w:t xml:space="preserve"> </w:t>
      </w:r>
      <w:r w:rsidRPr="005C3EC8">
        <w:rPr>
          <w:rFonts w:ascii="Calibri" w:hAnsi="Calibri"/>
        </w:rPr>
        <w:t xml:space="preserve">requirements are assessed as unmet with </w:t>
      </w:r>
      <w:r w:rsidR="00753EFA" w:rsidRPr="005C3EC8">
        <w:rPr>
          <w:rFonts w:ascii="Calibri" w:hAnsi="Calibri"/>
        </w:rPr>
        <w:t xml:space="preserve">meaningful </w:t>
      </w:r>
      <w:r w:rsidRPr="005C3EC8">
        <w:rPr>
          <w:rFonts w:ascii="Calibri" w:hAnsi="Calibri"/>
        </w:rPr>
        <w:t xml:space="preserve">progress. The </w:t>
      </w:r>
      <w:r w:rsidR="004D56C6" w:rsidRPr="005C3EC8">
        <w:rPr>
          <w:rFonts w:ascii="Calibri" w:hAnsi="Calibri"/>
        </w:rPr>
        <w:t xml:space="preserve">corrective actions </w:t>
      </w:r>
      <w:r w:rsidRPr="005C3EC8">
        <w:rPr>
          <w:rFonts w:ascii="Calibri" w:hAnsi="Calibri"/>
        </w:rPr>
        <w:t xml:space="preserve">identified through this </w:t>
      </w:r>
      <w:r w:rsidR="004D56C6" w:rsidRPr="005C3EC8">
        <w:rPr>
          <w:rFonts w:ascii="Calibri" w:hAnsi="Calibri"/>
        </w:rPr>
        <w:t>assessment</w:t>
      </w:r>
      <w:r w:rsidRPr="005C3EC8">
        <w:rPr>
          <w:rFonts w:ascii="Calibri" w:hAnsi="Calibri"/>
        </w:rPr>
        <w:t xml:space="preserve"> relate to</w:t>
      </w:r>
      <w:r w:rsidR="00753EFA" w:rsidRPr="005C3EC8">
        <w:rPr>
          <w:rFonts w:ascii="Calibri" w:hAnsi="Calibri"/>
        </w:rPr>
        <w:t xml:space="preserve"> </w:t>
      </w:r>
      <w:r w:rsidRPr="005C3EC8">
        <w:rPr>
          <w:rFonts w:ascii="Calibri" w:hAnsi="Calibri"/>
        </w:rPr>
        <w:t xml:space="preserve">civil society engagement and MSG oversight, </w:t>
      </w:r>
      <w:r w:rsidR="00B60D94" w:rsidRPr="005C3EC8">
        <w:rPr>
          <w:rFonts w:ascii="Calibri" w:hAnsi="Calibri"/>
        </w:rPr>
        <w:t xml:space="preserve">license allocation and registers, production and export data, reporting of </w:t>
      </w:r>
      <w:r w:rsidR="004D56C6" w:rsidRPr="005C3EC8">
        <w:rPr>
          <w:rFonts w:ascii="Calibri" w:hAnsi="Calibri"/>
        </w:rPr>
        <w:t>industry</w:t>
      </w:r>
      <w:r w:rsidR="00B60D94" w:rsidRPr="005C3EC8">
        <w:rPr>
          <w:rFonts w:ascii="Calibri" w:hAnsi="Calibri"/>
        </w:rPr>
        <w:t xml:space="preserve"> social expenditures</w:t>
      </w:r>
      <w:r w:rsidR="004E2EAE">
        <w:rPr>
          <w:rFonts w:ascii="Calibri" w:hAnsi="Calibri"/>
        </w:rPr>
        <w:t xml:space="preserve">, and the review of </w:t>
      </w:r>
      <w:r w:rsidR="004E2EAE" w:rsidRPr="004E2EAE">
        <w:rPr>
          <w:rFonts w:ascii="Calibri" w:hAnsi="Calibri"/>
        </w:rPr>
        <w:t>outcomes and impact of implementation</w:t>
      </w:r>
      <w:r w:rsidR="00B60D94" w:rsidRPr="005C3EC8">
        <w:rPr>
          <w:rFonts w:ascii="Calibri" w:hAnsi="Calibri"/>
        </w:rPr>
        <w:t>.</w:t>
      </w:r>
    </w:p>
    <w:p w14:paraId="4957D45B" w14:textId="6B444222" w:rsidR="000B70D0" w:rsidRPr="005C3EC8" w:rsidRDefault="000B70D0">
      <w:pPr>
        <w:pStyle w:val="Heading2notindexed"/>
      </w:pPr>
      <w:bookmarkStart w:id="39" w:name="_Toc307943897"/>
      <w:bookmarkStart w:id="40" w:name="_Toc459133077"/>
      <w:bookmarkStart w:id="41" w:name="_Toc461803026"/>
      <w:bookmarkStart w:id="42" w:name="_Toc461787307"/>
      <w:r w:rsidRPr="005C3EC8">
        <w:t>Brief recap of the sign-up phase</w:t>
      </w:r>
      <w:bookmarkEnd w:id="39"/>
      <w:bookmarkEnd w:id="40"/>
      <w:bookmarkEnd w:id="41"/>
      <w:bookmarkEnd w:id="42"/>
    </w:p>
    <w:p w14:paraId="309AC424" w14:textId="03785627" w:rsidR="00DC19AD" w:rsidRPr="005C3EC8" w:rsidRDefault="00DC19AD" w:rsidP="00DC19AD">
      <w:pPr>
        <w:rPr>
          <w:rFonts w:ascii="Calibri" w:hAnsi="Calibri"/>
          <w:bCs/>
        </w:rPr>
      </w:pPr>
      <w:r w:rsidRPr="005C3EC8">
        <w:rPr>
          <w:rFonts w:ascii="Calibri" w:hAnsi="Calibri"/>
          <w:bCs/>
        </w:rPr>
        <w:t xml:space="preserve">The UK government has taken a strong leadership role on the global tax transparency debate.  The EITI was </w:t>
      </w:r>
      <w:r w:rsidR="00FF7EB0" w:rsidRPr="005C3EC8">
        <w:rPr>
          <w:rFonts w:ascii="Calibri" w:hAnsi="Calibri"/>
          <w:bCs/>
        </w:rPr>
        <w:t>established</w:t>
      </w:r>
      <w:r w:rsidRPr="005C3EC8">
        <w:rPr>
          <w:rFonts w:ascii="Calibri" w:hAnsi="Calibri"/>
          <w:bCs/>
        </w:rPr>
        <w:t xml:space="preserve"> up under its leadership in 2002.  The UK then supported EU country-by-country reporting, committed to implement the EITI in 2013, placed tax and transparency at the centre of the G8 summit in 2013, and set up a beneficial ownership register in June 2016. In April 2018, the UK Parliamentary voted to require its overseas territories, including the British Virgin Islands and the Cayman Islands, to establish public beneficial ownership registers.</w:t>
      </w:r>
    </w:p>
    <w:p w14:paraId="3C636A9A" w14:textId="59838A6E" w:rsidR="00DC19AD" w:rsidRPr="005C3EC8" w:rsidRDefault="00DC19AD" w:rsidP="00DC19AD">
      <w:pPr>
        <w:rPr>
          <w:rFonts w:ascii="Calibri" w:hAnsi="Calibri"/>
          <w:bCs/>
        </w:rPr>
      </w:pPr>
      <w:r w:rsidRPr="005C3EC8">
        <w:rPr>
          <w:rFonts w:ascii="Calibri" w:hAnsi="Calibri"/>
          <w:bCs/>
        </w:rPr>
        <w:t xml:space="preserve">At a joint press conference with President of France François Hollande on 22 May 2013, Prime Minister David Cameron announced that the United Kingdom would implement the EITI. The commitment was reaffirmed at the 6th EITI Global Conference in Sydney in May 2013 and in the United Kingdom’s second OGP National Action Plan published at the 2013 OGP London Summit. The first EITI launch event took </w:t>
      </w:r>
      <w:r w:rsidRPr="005C3EC8">
        <w:rPr>
          <w:rFonts w:ascii="Calibri" w:hAnsi="Calibri"/>
          <w:bCs/>
        </w:rPr>
        <w:lastRenderedPageBreak/>
        <w:t xml:space="preserve">place on 9 July 2013 and the nominations to the multi-stakeholder group (MSG), composed of four members from each stakeholder group, were finalised in September 2013. The United Kingdom submitted </w:t>
      </w:r>
      <w:r w:rsidR="00FF7EB0" w:rsidRPr="005C3EC8">
        <w:rPr>
          <w:rFonts w:ascii="Calibri" w:hAnsi="Calibri"/>
          <w:bCs/>
        </w:rPr>
        <w:t>a</w:t>
      </w:r>
      <w:r w:rsidRPr="005C3EC8">
        <w:rPr>
          <w:rFonts w:ascii="Calibri" w:hAnsi="Calibri"/>
          <w:bCs/>
        </w:rPr>
        <w:t xml:space="preserve"> </w:t>
      </w:r>
      <w:r w:rsidR="00FF7EB0" w:rsidRPr="005C3EC8">
        <w:rPr>
          <w:rFonts w:ascii="Calibri" w:hAnsi="Calibri"/>
          <w:bCs/>
        </w:rPr>
        <w:t>c</w:t>
      </w:r>
      <w:r w:rsidRPr="005C3EC8">
        <w:rPr>
          <w:rFonts w:ascii="Calibri" w:hAnsi="Calibri"/>
          <w:bCs/>
        </w:rPr>
        <w:t>andidature application on 5 August 2014</w:t>
      </w:r>
      <w:r w:rsidR="00FF7EB0" w:rsidRPr="005C3EC8">
        <w:rPr>
          <w:rFonts w:ascii="Calibri" w:hAnsi="Calibri"/>
          <w:bCs/>
        </w:rPr>
        <w:t xml:space="preserve"> that was </w:t>
      </w:r>
      <w:r w:rsidRPr="005C3EC8">
        <w:rPr>
          <w:rFonts w:ascii="Calibri" w:hAnsi="Calibri"/>
          <w:bCs/>
        </w:rPr>
        <w:t>approved by the EITI Board on 15 October 2014.</w:t>
      </w:r>
    </w:p>
    <w:p w14:paraId="1A4AAF1C" w14:textId="058DF631" w:rsidR="004A1656" w:rsidRPr="005C3EC8" w:rsidRDefault="000B70D0">
      <w:pPr>
        <w:pStyle w:val="Heading2notindexed"/>
      </w:pPr>
      <w:bookmarkStart w:id="43" w:name="_Toc307943898"/>
      <w:bookmarkStart w:id="44" w:name="_Toc459133078"/>
      <w:bookmarkStart w:id="45" w:name="_Toc461803027"/>
      <w:bookmarkStart w:id="46" w:name="_Toc461787308"/>
      <w:r w:rsidRPr="005C3EC8">
        <w:t xml:space="preserve">Objectives for implementation and overall progress in implementing the </w:t>
      </w:r>
      <w:bookmarkEnd w:id="43"/>
      <w:r w:rsidR="0060718C" w:rsidRPr="005C3EC8">
        <w:t>work</w:t>
      </w:r>
      <w:r w:rsidR="00D72C69" w:rsidRPr="005C3EC8">
        <w:t xml:space="preserve"> </w:t>
      </w:r>
      <w:r w:rsidR="0060718C" w:rsidRPr="005C3EC8">
        <w:t>plan</w:t>
      </w:r>
      <w:bookmarkEnd w:id="44"/>
      <w:bookmarkEnd w:id="45"/>
      <w:bookmarkEnd w:id="46"/>
    </w:p>
    <w:p w14:paraId="01659106" w14:textId="44C30D0A" w:rsidR="00CD340D" w:rsidRPr="005C3EC8" w:rsidRDefault="00CD340D" w:rsidP="00CD340D">
      <w:r w:rsidRPr="005C3EC8">
        <w:t>The objectives of EITI implementation are outlined in the 2018 work plan. They are:</w:t>
      </w:r>
    </w:p>
    <w:p w14:paraId="779A18D6" w14:textId="51630BEA" w:rsidR="00CD340D" w:rsidRPr="005C3EC8" w:rsidRDefault="00CD340D" w:rsidP="008200F5">
      <w:pPr>
        <w:pStyle w:val="ListParagraph"/>
      </w:pPr>
      <w:r w:rsidRPr="005C3EC8">
        <w:t>Increase public understanding of the social and economic impacts of the UK's extractive industries and enrich public debate on the governance and stewardship of the UK's oil, gas and mineral resources.</w:t>
      </w:r>
    </w:p>
    <w:p w14:paraId="5561293F" w14:textId="7FAD1273" w:rsidR="00CD340D" w:rsidRPr="005C3EC8" w:rsidRDefault="00CD340D" w:rsidP="008200F5">
      <w:pPr>
        <w:pStyle w:val="ListParagraph"/>
      </w:pPr>
      <w:r w:rsidRPr="005C3EC8">
        <w:t>Ensure information is readily accessible and presented to the public in a clear manner</w:t>
      </w:r>
      <w:r w:rsidR="006B04D0" w:rsidRPr="005C3EC8">
        <w:t>.</w:t>
      </w:r>
    </w:p>
    <w:p w14:paraId="58A5EB7C" w14:textId="7021EB4A" w:rsidR="00CD340D" w:rsidRPr="005C3EC8" w:rsidRDefault="00CD340D" w:rsidP="008200F5">
      <w:pPr>
        <w:pStyle w:val="ListParagraph"/>
      </w:pPr>
      <w:r w:rsidRPr="005C3EC8">
        <w:t>Support the UK government’s championing of extractives transparency and open government</w:t>
      </w:r>
      <w:r w:rsidR="006B04D0" w:rsidRPr="005C3EC8">
        <w:t xml:space="preserve">. </w:t>
      </w:r>
    </w:p>
    <w:p w14:paraId="5231D74A" w14:textId="167B18E0" w:rsidR="00CD340D" w:rsidRPr="005C3EC8" w:rsidRDefault="006B04D0" w:rsidP="000A6EAE">
      <w:pPr>
        <w:rPr>
          <w:rFonts w:ascii="Calibri" w:hAnsi="Calibri"/>
          <w:bCs/>
        </w:rPr>
      </w:pPr>
      <w:r w:rsidRPr="005C3EC8">
        <w:rPr>
          <w:rFonts w:ascii="Calibri" w:hAnsi="Calibri"/>
          <w:bCs/>
        </w:rPr>
        <w:t xml:space="preserve">As highlighted in the third objective, a key factor </w:t>
      </w:r>
      <w:r w:rsidR="00CD340D" w:rsidRPr="005C3EC8">
        <w:rPr>
          <w:rFonts w:ascii="Calibri" w:hAnsi="Calibri"/>
          <w:bCs/>
        </w:rPr>
        <w:t xml:space="preserve">is to </w:t>
      </w:r>
      <w:r w:rsidRPr="005C3EC8">
        <w:rPr>
          <w:rFonts w:ascii="Calibri" w:hAnsi="Calibri"/>
          <w:bCs/>
        </w:rPr>
        <w:t xml:space="preserve">support the EITI globally by setting an example to other </w:t>
      </w:r>
      <w:r w:rsidR="00CD340D" w:rsidRPr="005C3EC8">
        <w:rPr>
          <w:rFonts w:ascii="Calibri" w:hAnsi="Calibri"/>
          <w:bCs/>
        </w:rPr>
        <w:t xml:space="preserve">resource rich countries. </w:t>
      </w:r>
      <w:r w:rsidRPr="005C3EC8">
        <w:rPr>
          <w:rFonts w:ascii="Calibri" w:hAnsi="Calibri"/>
          <w:bCs/>
        </w:rPr>
        <w:t>A number of multinational companies active in the extractive industries are domiciled and/or listed in the UK, as are a host of finance, engineering, construction and other related industries. As such, the commitment to transparency and accountability supports the UK’s wider political and economic interest</w:t>
      </w:r>
      <w:r w:rsidR="000A6EAE" w:rsidRPr="005C3EC8">
        <w:rPr>
          <w:rFonts w:ascii="Calibri" w:hAnsi="Calibri"/>
          <w:bCs/>
        </w:rPr>
        <w:t>s</w:t>
      </w:r>
      <w:r w:rsidRPr="005C3EC8">
        <w:rPr>
          <w:rFonts w:ascii="Calibri" w:hAnsi="Calibri"/>
          <w:bCs/>
        </w:rPr>
        <w:t xml:space="preserve">. </w:t>
      </w:r>
      <w:r w:rsidR="00CD340D" w:rsidRPr="005C3EC8">
        <w:rPr>
          <w:rFonts w:ascii="Calibri" w:hAnsi="Calibri"/>
          <w:bCs/>
        </w:rPr>
        <w:t xml:space="preserve">The work plan includes time-bound activities and is used to track the MSG’s decisions, deliverables and overall performance. The MSG is largely on track </w:t>
      </w:r>
      <w:r w:rsidR="000A6EAE" w:rsidRPr="005C3EC8">
        <w:rPr>
          <w:rFonts w:ascii="Calibri" w:hAnsi="Calibri"/>
          <w:bCs/>
        </w:rPr>
        <w:t>in</w:t>
      </w:r>
      <w:r w:rsidR="00CD340D" w:rsidRPr="005C3EC8">
        <w:rPr>
          <w:rFonts w:ascii="Calibri" w:hAnsi="Calibri"/>
          <w:bCs/>
        </w:rPr>
        <w:t xml:space="preserve"> implementing its</w:t>
      </w:r>
      <w:r w:rsidR="000A6EAE" w:rsidRPr="005C3EC8">
        <w:rPr>
          <w:rFonts w:ascii="Calibri" w:hAnsi="Calibri"/>
          <w:bCs/>
        </w:rPr>
        <w:t xml:space="preserve"> agreed work plan</w:t>
      </w:r>
      <w:r w:rsidR="00CD340D" w:rsidRPr="005C3EC8">
        <w:rPr>
          <w:rFonts w:ascii="Calibri" w:hAnsi="Calibri"/>
          <w:bCs/>
        </w:rPr>
        <w:t>.</w:t>
      </w:r>
    </w:p>
    <w:p w14:paraId="2C458A78" w14:textId="6C1EECA1" w:rsidR="000B70D0" w:rsidRPr="005C3EC8" w:rsidRDefault="000B70D0">
      <w:pPr>
        <w:pStyle w:val="Heading2notindexed"/>
      </w:pPr>
      <w:bookmarkStart w:id="47" w:name="_Toc307943899"/>
      <w:bookmarkStart w:id="48" w:name="_Toc459133079"/>
      <w:bookmarkStart w:id="49" w:name="_Toc461803028"/>
      <w:bookmarkStart w:id="50" w:name="_Toc461787309"/>
      <w:r w:rsidRPr="005C3EC8">
        <w:t>History of EITI Reporting</w:t>
      </w:r>
      <w:bookmarkEnd w:id="47"/>
      <w:bookmarkEnd w:id="48"/>
      <w:bookmarkEnd w:id="49"/>
      <w:bookmarkEnd w:id="50"/>
    </w:p>
    <w:p w14:paraId="489A47F0" w14:textId="1E6E05A1" w:rsidR="003531BC" w:rsidRPr="005C3EC8" w:rsidRDefault="00FF7EB0" w:rsidP="00FF7EB0">
      <w:pPr>
        <w:rPr>
          <w:rFonts w:ascii="Calibri" w:hAnsi="Calibri"/>
        </w:rPr>
      </w:pPr>
      <w:r w:rsidRPr="005C3EC8">
        <w:rPr>
          <w:rFonts w:ascii="Calibri" w:hAnsi="Calibri"/>
        </w:rPr>
        <w:t xml:space="preserve">The MSG published its first EITI Report in </w:t>
      </w:r>
      <w:r w:rsidR="003531BC" w:rsidRPr="005C3EC8">
        <w:rPr>
          <w:rFonts w:ascii="Calibri" w:hAnsi="Calibri"/>
        </w:rPr>
        <w:t xml:space="preserve">April 2016 </w:t>
      </w:r>
      <w:r w:rsidRPr="005C3EC8">
        <w:rPr>
          <w:rFonts w:ascii="Calibri" w:hAnsi="Calibri"/>
        </w:rPr>
        <w:t xml:space="preserve">covering payments from the </w:t>
      </w:r>
      <w:r w:rsidR="003531BC" w:rsidRPr="005C3EC8">
        <w:rPr>
          <w:rFonts w:ascii="Calibri" w:hAnsi="Calibri"/>
        </w:rPr>
        <w:t>oil, gas, mining and quarrying sectors</w:t>
      </w:r>
      <w:r w:rsidRPr="005C3EC8">
        <w:rPr>
          <w:rFonts w:ascii="Calibri" w:hAnsi="Calibri"/>
        </w:rPr>
        <w:t xml:space="preserve"> in calendar year 2014. </w:t>
      </w:r>
      <w:r w:rsidR="003531BC" w:rsidRPr="005C3EC8">
        <w:rPr>
          <w:rFonts w:ascii="Calibri" w:hAnsi="Calibri"/>
        </w:rPr>
        <w:t xml:space="preserve">The 2015 Report was published in March 2017 and the 2016 Report in April 2018. Validation commenced on 1 July 2018. A </w:t>
      </w:r>
      <w:r w:rsidR="001C6E94" w:rsidRPr="005C3EC8">
        <w:rPr>
          <w:rFonts w:ascii="Calibri" w:hAnsi="Calibri"/>
        </w:rPr>
        <w:t>fourth r</w:t>
      </w:r>
      <w:r w:rsidR="003531BC" w:rsidRPr="005C3EC8">
        <w:rPr>
          <w:rFonts w:ascii="Calibri" w:hAnsi="Calibri"/>
        </w:rPr>
        <w:t>eport covering 2017 was published on 25 February 2019.</w:t>
      </w:r>
    </w:p>
    <w:p w14:paraId="70CB0C2C" w14:textId="5A9F7537" w:rsidR="00280FB9" w:rsidRPr="005C3EC8" w:rsidRDefault="00280FB9" w:rsidP="001C6E94">
      <w:pPr>
        <w:rPr>
          <w:rFonts w:ascii="Calibri" w:hAnsi="Calibri"/>
        </w:rPr>
      </w:pPr>
      <w:r w:rsidRPr="005C3EC8">
        <w:rPr>
          <w:rFonts w:ascii="Calibri" w:hAnsi="Calibri"/>
        </w:rPr>
        <w:t>The Validation procedures specific that “without prejudice to the ability of the Board to exercise their discretion to consider all available evidence, the Secretariat should not take into account actions undertaken after the commencement of Validation”</w:t>
      </w:r>
      <w:r w:rsidRPr="005C3EC8">
        <w:rPr>
          <w:rStyle w:val="FootnoteReference"/>
          <w:rFonts w:ascii="Calibri" w:hAnsi="Calibri"/>
        </w:rPr>
        <w:footnoteReference w:id="12"/>
      </w:r>
      <w:r w:rsidRPr="005C3EC8">
        <w:rPr>
          <w:rFonts w:ascii="Calibri" w:hAnsi="Calibri"/>
        </w:rPr>
        <w:t xml:space="preserve">. Therefore, the basis for this assessment is </w:t>
      </w:r>
      <w:r w:rsidR="001C6E94" w:rsidRPr="005C3EC8">
        <w:rPr>
          <w:rFonts w:ascii="Calibri" w:hAnsi="Calibri"/>
        </w:rPr>
        <w:t xml:space="preserve">progress achieved by 1 July 2018. The fourth report published on 25 February 2019 has not been considered. </w:t>
      </w:r>
      <w:r w:rsidRPr="005C3EC8">
        <w:rPr>
          <w:rFonts w:ascii="Calibri" w:hAnsi="Calibri"/>
        </w:rPr>
        <w:t>In February 2019, the EITI Board adopted criteria to consider developments and information disclosed after the commencement of Validation</w:t>
      </w:r>
      <w:r w:rsidR="001C6E94" w:rsidRPr="005C3EC8">
        <w:rPr>
          <w:rStyle w:val="FootnoteReference"/>
          <w:rFonts w:ascii="Calibri" w:hAnsi="Calibri"/>
        </w:rPr>
        <w:footnoteReference w:id="13"/>
      </w:r>
      <w:r w:rsidRPr="005C3EC8">
        <w:rPr>
          <w:rFonts w:ascii="Calibri" w:hAnsi="Calibri"/>
        </w:rPr>
        <w:t>.</w:t>
      </w:r>
    </w:p>
    <w:p w14:paraId="66E23BC4" w14:textId="066A7D45" w:rsidR="000B70D0" w:rsidRPr="005C3EC8" w:rsidRDefault="000B70D0">
      <w:pPr>
        <w:pStyle w:val="Heading2notindexed"/>
      </w:pPr>
      <w:bookmarkStart w:id="51" w:name="_Toc307943900"/>
      <w:bookmarkStart w:id="52" w:name="_Toc459133080"/>
      <w:bookmarkStart w:id="53" w:name="_Toc461803029"/>
      <w:bookmarkStart w:id="54" w:name="_Toc461787310"/>
      <w:r w:rsidRPr="005C3EC8">
        <w:t>Summary of engagement by government, civil society and industry</w:t>
      </w:r>
      <w:bookmarkEnd w:id="51"/>
      <w:bookmarkEnd w:id="52"/>
      <w:bookmarkEnd w:id="53"/>
      <w:bookmarkEnd w:id="54"/>
    </w:p>
    <w:p w14:paraId="007414A5" w14:textId="1080D774" w:rsidR="000A6EAE" w:rsidRPr="005C3EC8" w:rsidRDefault="000A6EAE" w:rsidP="007906D4">
      <w:pPr>
        <w:rPr>
          <w:rFonts w:ascii="Calibri" w:hAnsi="Calibri"/>
        </w:rPr>
      </w:pPr>
      <w:r w:rsidRPr="005C3EC8">
        <w:rPr>
          <w:rFonts w:ascii="Calibri" w:hAnsi="Calibri"/>
        </w:rPr>
        <w:t xml:space="preserve">Government, industry and civil society have all strongly supported EITI implementation. The initial efforts to prepare for EITI candidacy were carried out </w:t>
      </w:r>
      <w:r w:rsidR="007906D4" w:rsidRPr="005C3EC8">
        <w:rPr>
          <w:rFonts w:ascii="Calibri" w:hAnsi="Calibri"/>
        </w:rPr>
        <w:t xml:space="preserve">quickly and efficiently, with excellent collaboration between the three constituencies. However, </w:t>
      </w:r>
      <w:r w:rsidRPr="005C3EC8">
        <w:rPr>
          <w:rFonts w:ascii="Calibri" w:hAnsi="Calibri"/>
        </w:rPr>
        <w:t xml:space="preserve">EITI implementation has been hampered by internal </w:t>
      </w:r>
      <w:r w:rsidRPr="005C3EC8">
        <w:rPr>
          <w:rFonts w:ascii="Calibri" w:hAnsi="Calibri"/>
        </w:rPr>
        <w:lastRenderedPageBreak/>
        <w:t xml:space="preserve">challenges related to the representation of civil society organisations on the multi-stakeholder group. </w:t>
      </w:r>
      <w:r w:rsidR="007906D4" w:rsidRPr="005C3EC8">
        <w:rPr>
          <w:rFonts w:ascii="Calibri" w:hAnsi="Calibri"/>
        </w:rPr>
        <w:t xml:space="preserve">These challenges are outlined in more detail in sections 1.3 and 1.4, below. </w:t>
      </w:r>
    </w:p>
    <w:p w14:paraId="1354B9C7" w14:textId="406527AD" w:rsidR="000B70D0" w:rsidRPr="005C3EC8" w:rsidRDefault="000B70D0">
      <w:pPr>
        <w:pStyle w:val="Heading2notindexed"/>
      </w:pPr>
      <w:bookmarkStart w:id="55" w:name="_Toc307943901"/>
      <w:bookmarkStart w:id="56" w:name="_Toc459133081"/>
      <w:bookmarkStart w:id="57" w:name="_Toc461803030"/>
      <w:bookmarkStart w:id="58" w:name="_Toc461787311"/>
      <w:bookmarkStart w:id="59" w:name="_Toc461795826"/>
      <w:r w:rsidRPr="005C3EC8">
        <w:t>Key features of the extractive industry</w:t>
      </w:r>
      <w:bookmarkEnd w:id="55"/>
      <w:bookmarkEnd w:id="56"/>
      <w:bookmarkEnd w:id="57"/>
      <w:bookmarkEnd w:id="58"/>
      <w:bookmarkEnd w:id="59"/>
    </w:p>
    <w:p w14:paraId="7C6533B9" w14:textId="45EEC25D" w:rsidR="00D332A8" w:rsidRPr="005C3EC8" w:rsidRDefault="00D332A8" w:rsidP="00D332A8">
      <w:pPr>
        <w:rPr>
          <w:rFonts w:ascii="Calibri" w:hAnsi="Calibri"/>
          <w:b/>
          <w:bCs/>
          <w:iCs/>
        </w:rPr>
      </w:pPr>
      <w:bookmarkStart w:id="60" w:name="_Toc307943902"/>
      <w:r w:rsidRPr="005C3EC8">
        <w:rPr>
          <w:rFonts w:ascii="Calibri" w:hAnsi="Calibri"/>
          <w:b/>
          <w:bCs/>
          <w:iCs/>
        </w:rPr>
        <w:t>Oil and Gas</w:t>
      </w:r>
    </w:p>
    <w:p w14:paraId="3ED97F4C" w14:textId="29AE1E2C" w:rsidR="00EE5E87" w:rsidRPr="005C3EC8" w:rsidRDefault="00EE5E87" w:rsidP="00EE5E87">
      <w:pPr>
        <w:rPr>
          <w:rFonts w:ascii="Calibri" w:hAnsi="Calibri"/>
          <w:iCs/>
        </w:rPr>
      </w:pPr>
      <w:r w:rsidRPr="005C3EC8">
        <w:rPr>
          <w:rFonts w:ascii="Calibri" w:hAnsi="Calibri"/>
          <w:iCs/>
        </w:rPr>
        <w:t xml:space="preserve">While oil and gas production from the UK sector of the North Sea peaked in 1999, the UK remains a substantial producer. Over the last four decades, 39 billion </w:t>
      </w:r>
      <w:r w:rsidR="00FF7EB0" w:rsidRPr="005C3EC8">
        <w:t>barrel of oil equivalent (</w:t>
      </w:r>
      <w:proofErr w:type="spellStart"/>
      <w:r w:rsidRPr="005C3EC8">
        <w:rPr>
          <w:rFonts w:ascii="Calibri" w:hAnsi="Calibri"/>
          <w:iCs/>
        </w:rPr>
        <w:t>boe</w:t>
      </w:r>
      <w:proofErr w:type="spellEnd"/>
      <w:r w:rsidR="00FF7EB0" w:rsidRPr="005C3EC8">
        <w:rPr>
          <w:rFonts w:ascii="Calibri" w:hAnsi="Calibri"/>
          <w:iCs/>
        </w:rPr>
        <w:t>)</w:t>
      </w:r>
      <w:r w:rsidRPr="005C3EC8">
        <w:rPr>
          <w:rFonts w:ascii="Calibri" w:hAnsi="Calibri"/>
          <w:iCs/>
        </w:rPr>
        <w:t xml:space="preserve"> have been extracted on the UK Continental Shelf (UKCS)</w:t>
      </w:r>
      <w:r w:rsidRPr="005C3EC8">
        <w:rPr>
          <w:rStyle w:val="FootnoteReference"/>
          <w:rFonts w:ascii="Calibri" w:hAnsi="Calibri"/>
          <w:iCs/>
        </w:rPr>
        <w:footnoteReference w:id="14"/>
      </w:r>
      <w:r w:rsidRPr="005C3EC8">
        <w:rPr>
          <w:rFonts w:ascii="Calibri" w:hAnsi="Calibri"/>
          <w:iCs/>
        </w:rPr>
        <w:t xml:space="preserve">. </w:t>
      </w:r>
      <w:r w:rsidR="00FF7EB0" w:rsidRPr="005C3EC8">
        <w:rPr>
          <w:rFonts w:ascii="Calibri" w:hAnsi="Calibri"/>
          <w:iCs/>
        </w:rPr>
        <w:t>The industry employs 283 000 people</w:t>
      </w:r>
      <w:r w:rsidR="00FF7EB0" w:rsidRPr="005C3EC8">
        <w:rPr>
          <w:rStyle w:val="FootnoteReference"/>
          <w:rFonts w:ascii="Calibri" w:hAnsi="Calibri"/>
          <w:iCs/>
        </w:rPr>
        <w:footnoteReference w:id="15"/>
      </w:r>
      <w:r w:rsidR="00FF7EB0" w:rsidRPr="005C3EC8">
        <w:rPr>
          <w:rFonts w:ascii="Calibri" w:hAnsi="Calibri"/>
          <w:iCs/>
        </w:rPr>
        <w:t>, and t</w:t>
      </w:r>
      <w:r w:rsidRPr="005C3EC8">
        <w:rPr>
          <w:rFonts w:ascii="Calibri" w:hAnsi="Calibri"/>
          <w:iCs/>
        </w:rPr>
        <w:t xml:space="preserve">he services industry (centred in Aberdeen) </w:t>
      </w:r>
      <w:r w:rsidR="00FF7EB0" w:rsidRPr="005C3EC8">
        <w:rPr>
          <w:rFonts w:ascii="Calibri" w:hAnsi="Calibri"/>
          <w:iCs/>
        </w:rPr>
        <w:t xml:space="preserve">is </w:t>
      </w:r>
      <w:r w:rsidRPr="005C3EC8">
        <w:rPr>
          <w:rFonts w:ascii="Calibri" w:hAnsi="Calibri"/>
          <w:iCs/>
        </w:rPr>
        <w:t>a leader in developing technology for hydrocarbon extraction offshore. Historically most gas came from Morecambe Bay and the Southern North Sea off East Anglia</w:t>
      </w:r>
      <w:r w:rsidR="00553489" w:rsidRPr="005C3EC8">
        <w:rPr>
          <w:rFonts w:ascii="Calibri" w:hAnsi="Calibri"/>
          <w:iCs/>
        </w:rPr>
        <w:t xml:space="preserve">. </w:t>
      </w:r>
      <w:r w:rsidRPr="005C3EC8">
        <w:rPr>
          <w:rFonts w:ascii="Calibri" w:hAnsi="Calibri"/>
          <w:iCs/>
        </w:rPr>
        <w:t xml:space="preserve">Oil </w:t>
      </w:r>
      <w:r w:rsidR="00553489" w:rsidRPr="005C3EC8">
        <w:rPr>
          <w:rFonts w:ascii="Calibri" w:hAnsi="Calibri"/>
          <w:iCs/>
        </w:rPr>
        <w:t>product</w:t>
      </w:r>
      <w:r w:rsidR="008C03F8" w:rsidRPr="005C3EC8">
        <w:rPr>
          <w:rFonts w:ascii="Calibri" w:hAnsi="Calibri"/>
          <w:iCs/>
        </w:rPr>
        <w:t>ion</w:t>
      </w:r>
      <w:r w:rsidR="00553489" w:rsidRPr="005C3EC8">
        <w:rPr>
          <w:rFonts w:ascii="Calibri" w:hAnsi="Calibri"/>
          <w:iCs/>
        </w:rPr>
        <w:t xml:space="preserve"> </w:t>
      </w:r>
      <w:r w:rsidRPr="005C3EC8">
        <w:rPr>
          <w:rFonts w:ascii="Calibri" w:hAnsi="Calibri"/>
          <w:iCs/>
        </w:rPr>
        <w:t>comes mainly from the North Sea close to the median line with Norway in two main clusters – around the Forties oilfield east of Aberdeen and the Brent oilfield east of Shetland. There have been recent discoveries west of Shetland</w:t>
      </w:r>
      <w:r w:rsidRPr="005C3EC8">
        <w:rPr>
          <w:rStyle w:val="FootnoteReference"/>
          <w:rFonts w:ascii="Calibri" w:hAnsi="Calibri"/>
          <w:iCs/>
        </w:rPr>
        <w:footnoteReference w:id="16"/>
      </w:r>
      <w:r w:rsidRPr="005C3EC8">
        <w:rPr>
          <w:rFonts w:ascii="Calibri" w:hAnsi="Calibri"/>
          <w:iCs/>
        </w:rPr>
        <w:t>.</w:t>
      </w:r>
    </w:p>
    <w:p w14:paraId="4366BA4C" w14:textId="7E189F06" w:rsidR="000A3821" w:rsidRPr="005C3EC8" w:rsidRDefault="001C6E94" w:rsidP="00DF0FAB">
      <w:pPr>
        <w:rPr>
          <w:rFonts w:ascii="Calibri" w:hAnsi="Calibri"/>
          <w:iCs/>
        </w:rPr>
      </w:pPr>
      <w:r w:rsidRPr="005C3EC8">
        <w:rPr>
          <w:rFonts w:ascii="Calibri" w:hAnsi="Calibri"/>
          <w:iCs/>
        </w:rPr>
        <w:t>In 2017, capital investment in the UK offshore oil and gas industry was £5.6 billion</w:t>
      </w:r>
      <w:r w:rsidRPr="005C3EC8">
        <w:rPr>
          <w:rStyle w:val="FootnoteReference"/>
          <w:rFonts w:ascii="Calibri" w:hAnsi="Calibri"/>
          <w:iCs/>
        </w:rPr>
        <w:footnoteReference w:id="17"/>
      </w:r>
      <w:r w:rsidRPr="005C3EC8">
        <w:rPr>
          <w:rFonts w:ascii="Calibri" w:hAnsi="Calibri"/>
          <w:iCs/>
        </w:rPr>
        <w:t xml:space="preserve">. </w:t>
      </w:r>
      <w:r w:rsidR="000A3821" w:rsidRPr="005C3EC8">
        <w:rPr>
          <w:rFonts w:ascii="Calibri" w:hAnsi="Calibri"/>
          <w:iCs/>
        </w:rPr>
        <w:t xml:space="preserve">Oil and gas production in the UK increased by more than 4% in 2018, averaging 1.7 million </w:t>
      </w:r>
      <w:proofErr w:type="spellStart"/>
      <w:r w:rsidR="000A3821" w:rsidRPr="005C3EC8">
        <w:rPr>
          <w:rFonts w:ascii="Calibri" w:hAnsi="Calibri"/>
          <w:iCs/>
        </w:rPr>
        <w:t>boe</w:t>
      </w:r>
      <w:proofErr w:type="spellEnd"/>
      <w:r w:rsidR="000A3821" w:rsidRPr="005C3EC8">
        <w:rPr>
          <w:rFonts w:ascii="Calibri" w:hAnsi="Calibri"/>
          <w:iCs/>
        </w:rPr>
        <w:t xml:space="preserve"> per day</w:t>
      </w:r>
      <w:r w:rsidR="00DF0FAB" w:rsidRPr="005C3EC8">
        <w:rPr>
          <w:rFonts w:ascii="Calibri" w:hAnsi="Calibri"/>
          <w:iCs/>
        </w:rPr>
        <w:t xml:space="preserve"> (see </w:t>
      </w:r>
      <w:r w:rsidR="00EE5E87" w:rsidRPr="005C3EC8">
        <w:rPr>
          <w:rFonts w:ascii="Calibri" w:hAnsi="Calibri"/>
          <w:iCs/>
        </w:rPr>
        <w:t>F</w:t>
      </w:r>
      <w:r w:rsidR="00DF0FAB" w:rsidRPr="005C3EC8">
        <w:rPr>
          <w:rFonts w:ascii="Calibri" w:hAnsi="Calibri"/>
          <w:iCs/>
        </w:rPr>
        <w:t xml:space="preserve">igure 1). The UK </w:t>
      </w:r>
      <w:r w:rsidR="000A3821" w:rsidRPr="005C3EC8">
        <w:rPr>
          <w:rFonts w:ascii="Calibri" w:hAnsi="Calibri"/>
          <w:iCs/>
        </w:rPr>
        <w:t>Oil and Gas Authority</w:t>
      </w:r>
      <w:r w:rsidR="00DF0FAB" w:rsidRPr="005C3EC8">
        <w:rPr>
          <w:rFonts w:ascii="Calibri" w:hAnsi="Calibri"/>
          <w:iCs/>
        </w:rPr>
        <w:t xml:space="preserve"> predicts that </w:t>
      </w:r>
      <w:r w:rsidR="000A3821" w:rsidRPr="005C3EC8">
        <w:rPr>
          <w:rFonts w:ascii="Calibri" w:hAnsi="Calibri"/>
          <w:iCs/>
        </w:rPr>
        <w:t xml:space="preserve">oil and gas production over the period 2016–2050 </w:t>
      </w:r>
      <w:r w:rsidR="008C03F8" w:rsidRPr="005C3EC8">
        <w:rPr>
          <w:rFonts w:ascii="Calibri" w:hAnsi="Calibri"/>
          <w:iCs/>
        </w:rPr>
        <w:t>of</w:t>
      </w:r>
      <w:r w:rsidR="000A3821" w:rsidRPr="005C3EC8">
        <w:rPr>
          <w:rFonts w:ascii="Calibri" w:hAnsi="Calibri"/>
          <w:iCs/>
        </w:rPr>
        <w:t xml:space="preserve"> 3.9 billion </w:t>
      </w:r>
      <w:proofErr w:type="spellStart"/>
      <w:r w:rsidR="000A3821" w:rsidRPr="005C3EC8">
        <w:rPr>
          <w:rFonts w:ascii="Calibri" w:hAnsi="Calibri"/>
          <w:iCs/>
        </w:rPr>
        <w:t>boe</w:t>
      </w:r>
      <w:proofErr w:type="spellEnd"/>
      <w:r w:rsidR="000A3821" w:rsidRPr="005C3EC8">
        <w:rPr>
          <w:rFonts w:ascii="Calibri" w:hAnsi="Calibri"/>
          <w:iCs/>
        </w:rPr>
        <w:t>.</w:t>
      </w:r>
      <w:r w:rsidR="00DF0FAB" w:rsidRPr="005C3EC8">
        <w:rPr>
          <w:rFonts w:ascii="Calibri" w:hAnsi="Calibri"/>
          <w:iCs/>
        </w:rPr>
        <w:t xml:space="preserve"> </w:t>
      </w:r>
      <w:r w:rsidR="008C03F8" w:rsidRPr="005C3EC8">
        <w:rPr>
          <w:rFonts w:ascii="Calibri" w:hAnsi="Calibri"/>
          <w:iCs/>
        </w:rPr>
        <w:t>In 2017, UK</w:t>
      </w:r>
      <w:r w:rsidR="00DF0FAB" w:rsidRPr="005C3EC8">
        <w:rPr>
          <w:rFonts w:ascii="Calibri" w:hAnsi="Calibri"/>
          <w:iCs/>
        </w:rPr>
        <w:t xml:space="preserve"> production accounted for 60% of total UK oil and gas demand</w:t>
      </w:r>
      <w:r w:rsidR="00DF0FAB" w:rsidRPr="005C3EC8">
        <w:rPr>
          <w:rStyle w:val="FootnoteReference"/>
          <w:rFonts w:ascii="Calibri" w:hAnsi="Calibri"/>
          <w:iCs/>
        </w:rPr>
        <w:footnoteReference w:id="18"/>
      </w:r>
      <w:r w:rsidR="00DF0FAB" w:rsidRPr="005C3EC8">
        <w:rPr>
          <w:rFonts w:ascii="Calibri" w:hAnsi="Calibri"/>
          <w:iCs/>
        </w:rPr>
        <w:t>.</w:t>
      </w:r>
    </w:p>
    <w:p w14:paraId="6400B8D9" w14:textId="3A38E67A" w:rsidR="001F7E28" w:rsidRPr="005C3EC8" w:rsidRDefault="001F7E28" w:rsidP="007906D4">
      <w:pPr>
        <w:pStyle w:val="Caption"/>
        <w:rPr>
          <w:rFonts w:eastAsia="Calibri"/>
        </w:rPr>
      </w:pPr>
      <w:r w:rsidRPr="005C3EC8">
        <w:lastRenderedPageBreak/>
        <w:t>Figure 2</w:t>
      </w:r>
      <w:r w:rsidRPr="005C3EC8">
        <w:rPr>
          <w:rFonts w:eastAsia="Calibri"/>
        </w:rPr>
        <w:t xml:space="preserve">– Actual &amp; projected UK continental shelf oil and gas production </w:t>
      </w:r>
      <w:r w:rsidRPr="005C3EC8">
        <w:rPr>
          <w:rStyle w:val="FootnoteReference"/>
          <w:rFonts w:ascii="Calibri" w:hAnsi="Calibri"/>
          <w:iCs/>
        </w:rPr>
        <w:footnoteReference w:id="19"/>
      </w:r>
    </w:p>
    <w:p w14:paraId="164D30EF" w14:textId="6714B5E7" w:rsidR="000A3821" w:rsidRPr="005C3EC8" w:rsidRDefault="000A3821" w:rsidP="007906D4">
      <w:pPr>
        <w:keepLines/>
        <w:rPr>
          <w:rFonts w:ascii="Calibri" w:hAnsi="Calibri"/>
          <w:iCs/>
        </w:rPr>
      </w:pPr>
      <w:r w:rsidRPr="005C3EC8">
        <w:rPr>
          <w:rFonts w:ascii="Calibri" w:hAnsi="Calibri"/>
          <w:iCs/>
          <w:noProof/>
        </w:rPr>
        <w:drawing>
          <wp:inline distT="0" distB="0" distL="0" distR="0" wp14:anchorId="31FF746E" wp14:editId="19912ABA">
            <wp:extent cx="5133975" cy="277380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39039" cy="2776542"/>
                    </a:xfrm>
                    <a:prstGeom prst="rect">
                      <a:avLst/>
                    </a:prstGeom>
                    <a:noFill/>
                    <a:ln>
                      <a:noFill/>
                    </a:ln>
                  </pic:spPr>
                </pic:pic>
              </a:graphicData>
            </a:graphic>
          </wp:inline>
        </w:drawing>
      </w:r>
    </w:p>
    <w:p w14:paraId="5F115591" w14:textId="77777777" w:rsidR="00CD19FC" w:rsidRPr="005C3EC8" w:rsidRDefault="00CD19FC" w:rsidP="00CD19FC">
      <w:pPr>
        <w:rPr>
          <w:rFonts w:ascii="Calibri" w:hAnsi="Calibri"/>
          <w:iCs/>
        </w:rPr>
      </w:pPr>
      <w:r w:rsidRPr="005C3EC8">
        <w:rPr>
          <w:rFonts w:ascii="Calibri" w:hAnsi="Calibri"/>
          <w:iCs/>
        </w:rPr>
        <w:t xml:space="preserve">The tax regime which applies to exploration for, and production of, oil and gas in the UK and on the United Kingdom Continental Shelf (UKCS) currently comprises three elements: </w:t>
      </w:r>
    </w:p>
    <w:p w14:paraId="773855C4" w14:textId="08F5CCA0" w:rsidR="00CD19FC" w:rsidRPr="005C3EC8" w:rsidRDefault="00D332A8" w:rsidP="007906D4">
      <w:pPr>
        <w:ind w:left="720"/>
        <w:rPr>
          <w:rFonts w:ascii="Calibri" w:hAnsi="Calibri"/>
          <w:iCs/>
        </w:rPr>
      </w:pPr>
      <w:r w:rsidRPr="005C3EC8">
        <w:rPr>
          <w:rFonts w:ascii="Calibri" w:hAnsi="Calibri"/>
          <w:iCs/>
        </w:rPr>
        <w:t xml:space="preserve">1. </w:t>
      </w:r>
      <w:r w:rsidR="00CD19FC" w:rsidRPr="005C3EC8">
        <w:rPr>
          <w:rFonts w:ascii="Calibri" w:hAnsi="Calibri"/>
          <w:iCs/>
        </w:rPr>
        <w:t>‘Ring Fence’ Corporation Tax (RFCT)</w:t>
      </w:r>
      <w:r w:rsidRPr="005C3EC8">
        <w:rPr>
          <w:rFonts w:ascii="Calibri" w:hAnsi="Calibri"/>
          <w:iCs/>
        </w:rPr>
        <w:t xml:space="preserve">. </w:t>
      </w:r>
      <w:r w:rsidR="00CD19FC" w:rsidRPr="005C3EC8">
        <w:rPr>
          <w:rFonts w:ascii="Calibri" w:hAnsi="Calibri"/>
          <w:iCs/>
        </w:rPr>
        <w:t xml:space="preserve">This is calculated in the same way as the standard corporation tax applicable to all companies but with the addition of a ‘ring fence’ and the availability of 100% first year allowance for virtually all capital expenditure. The ring fence prevents taxable profits from oil and gas extraction in the UK and UKCS being reduced by losses from other activities or by excessive interest payments. The current rate of tax on ring fence profits, which is set separately from the rate of mainstream corporation tax, is 30%. </w:t>
      </w:r>
    </w:p>
    <w:p w14:paraId="75EE2245" w14:textId="77777777" w:rsidR="00D332A8" w:rsidRPr="005C3EC8" w:rsidRDefault="00D332A8" w:rsidP="007906D4">
      <w:pPr>
        <w:ind w:left="720"/>
        <w:rPr>
          <w:rFonts w:ascii="Calibri" w:hAnsi="Calibri"/>
          <w:iCs/>
        </w:rPr>
      </w:pPr>
      <w:r w:rsidRPr="005C3EC8">
        <w:rPr>
          <w:rFonts w:ascii="Calibri" w:hAnsi="Calibri"/>
          <w:iCs/>
        </w:rPr>
        <w:t xml:space="preserve">2. </w:t>
      </w:r>
      <w:r w:rsidR="00CD19FC" w:rsidRPr="005C3EC8">
        <w:rPr>
          <w:rFonts w:ascii="Calibri" w:hAnsi="Calibri"/>
          <w:iCs/>
        </w:rPr>
        <w:t>Supplementary Charge</w:t>
      </w:r>
      <w:r w:rsidRPr="005C3EC8">
        <w:rPr>
          <w:rFonts w:ascii="Calibri" w:hAnsi="Calibri"/>
          <w:iCs/>
        </w:rPr>
        <w:t xml:space="preserve">. </w:t>
      </w:r>
      <w:r w:rsidR="00CD19FC" w:rsidRPr="005C3EC8">
        <w:rPr>
          <w:rFonts w:ascii="Calibri" w:hAnsi="Calibri"/>
          <w:iCs/>
        </w:rPr>
        <w:t>This is an additional charge, currently at a rate of 32% (increased from 20% from 24</w:t>
      </w:r>
      <w:r w:rsidR="00CD19FC" w:rsidRPr="005C3EC8">
        <w:rPr>
          <w:rFonts w:ascii="Calibri" w:hAnsi="Calibri"/>
          <w:iCs/>
          <w:vertAlign w:val="superscript"/>
        </w:rPr>
        <w:t xml:space="preserve">th </w:t>
      </w:r>
      <w:r w:rsidR="00CD19FC" w:rsidRPr="005C3EC8">
        <w:rPr>
          <w:rFonts w:ascii="Calibri" w:hAnsi="Calibri"/>
          <w:iCs/>
        </w:rPr>
        <w:t xml:space="preserve">March 2011), on a company’s ring fence profits (but with no deduction for finance costs). </w:t>
      </w:r>
    </w:p>
    <w:p w14:paraId="544F0053" w14:textId="6A7E545D" w:rsidR="00CD19FC" w:rsidRPr="005C3EC8" w:rsidRDefault="00D332A8" w:rsidP="007906D4">
      <w:pPr>
        <w:ind w:left="720"/>
        <w:rPr>
          <w:rFonts w:ascii="Calibri" w:hAnsi="Calibri"/>
          <w:iCs/>
        </w:rPr>
      </w:pPr>
      <w:r w:rsidRPr="005C3EC8">
        <w:rPr>
          <w:rFonts w:ascii="Calibri" w:hAnsi="Calibri"/>
          <w:iCs/>
        </w:rPr>
        <w:t xml:space="preserve">3. </w:t>
      </w:r>
      <w:r w:rsidR="00CD19FC" w:rsidRPr="005C3EC8">
        <w:rPr>
          <w:rFonts w:ascii="Calibri" w:hAnsi="Calibri"/>
          <w:iCs/>
        </w:rPr>
        <w:t>Petroleum Revenue Tax (PRT)</w:t>
      </w:r>
      <w:r w:rsidRPr="005C3EC8">
        <w:rPr>
          <w:rFonts w:ascii="Calibri" w:hAnsi="Calibri"/>
          <w:iCs/>
        </w:rPr>
        <w:t xml:space="preserve">. </w:t>
      </w:r>
      <w:r w:rsidR="00CD19FC" w:rsidRPr="005C3EC8">
        <w:rPr>
          <w:rFonts w:ascii="Calibri" w:hAnsi="Calibri"/>
          <w:iCs/>
        </w:rPr>
        <w:t>This is a field</w:t>
      </w:r>
      <w:r w:rsidRPr="005C3EC8">
        <w:rPr>
          <w:rFonts w:ascii="Calibri" w:hAnsi="Calibri"/>
          <w:iCs/>
        </w:rPr>
        <w:t>-</w:t>
      </w:r>
      <w:r w:rsidR="00CD19FC" w:rsidRPr="005C3EC8">
        <w:rPr>
          <w:rFonts w:ascii="Calibri" w:hAnsi="Calibri"/>
          <w:iCs/>
        </w:rPr>
        <w:t xml:space="preserve">based tax charged on profits arising from oil and gas production from individual oil and gas fields which were given development consent before 16 March 1993. The current rate of PRT is 50%. PRT is deductible as an expense in computing profits chargeable to ring fence corporation tax and supplementary charge. </w:t>
      </w:r>
    </w:p>
    <w:p w14:paraId="75CC4E8F" w14:textId="77777777" w:rsidR="00CD19FC" w:rsidRPr="005C3EC8" w:rsidRDefault="00CD19FC" w:rsidP="00CD19FC">
      <w:pPr>
        <w:rPr>
          <w:rFonts w:ascii="Calibri" w:hAnsi="Calibri"/>
          <w:b/>
          <w:bCs/>
          <w:iCs/>
        </w:rPr>
      </w:pPr>
      <w:bookmarkStart w:id="61" w:name="_Toc397889465"/>
      <w:r w:rsidRPr="005C3EC8">
        <w:rPr>
          <w:rFonts w:ascii="Calibri" w:hAnsi="Calibri"/>
          <w:b/>
          <w:bCs/>
          <w:iCs/>
        </w:rPr>
        <w:t>Mining</w:t>
      </w:r>
      <w:bookmarkEnd w:id="61"/>
    </w:p>
    <w:p w14:paraId="39EEBF0F" w14:textId="19F5C2CC" w:rsidR="00CD19FC" w:rsidRPr="005C3EC8" w:rsidRDefault="00CD19FC" w:rsidP="00CD19FC">
      <w:pPr>
        <w:rPr>
          <w:rFonts w:ascii="Calibri" w:hAnsi="Calibri"/>
          <w:iCs/>
        </w:rPr>
      </w:pPr>
      <w:r w:rsidRPr="005C3EC8">
        <w:rPr>
          <w:rFonts w:ascii="Calibri" w:hAnsi="Calibri"/>
          <w:iCs/>
        </w:rPr>
        <w:t xml:space="preserve">The United Kingdom has a long history of mining dating back to Bronze Age. Later, lead and copper attracted the Romans to Britain.  The widespread availability of coal and iron was a significant factor in Europe’s Industrial Revolution of the late 18th and early 19th centuries. Although coal and iron ore are no </w:t>
      </w:r>
      <w:r w:rsidRPr="005C3EC8">
        <w:rPr>
          <w:rFonts w:ascii="Calibri" w:hAnsi="Calibri"/>
          <w:iCs/>
        </w:rPr>
        <w:lastRenderedPageBreak/>
        <w:t xml:space="preserve">longer mined in significant quantities in the United Kingdom, they were once mined in large quantities throughout the United Kingdom and used for steel and energy production. </w:t>
      </w:r>
    </w:p>
    <w:p w14:paraId="172466B6" w14:textId="043EC49C" w:rsidR="00CD19FC" w:rsidRPr="005C3EC8" w:rsidRDefault="00CD19FC" w:rsidP="00CD19FC">
      <w:pPr>
        <w:rPr>
          <w:rFonts w:ascii="Calibri" w:hAnsi="Calibri"/>
          <w:iCs/>
        </w:rPr>
      </w:pPr>
      <w:r w:rsidRPr="005C3EC8">
        <w:rPr>
          <w:rFonts w:ascii="Calibri" w:hAnsi="Calibri"/>
          <w:iCs/>
        </w:rPr>
        <w:t>Nowadays, mining in the United Kingdom produces a wide variety of fossil fuels, metals, and industrial minerals. In 2006, there were over 2,200 active mines, quarries, and offshore drilling sites on the continental land mass of the United Kingdom</w:t>
      </w:r>
      <w:r w:rsidRPr="005C3EC8">
        <w:rPr>
          <w:rFonts w:ascii="Calibri" w:hAnsi="Calibri"/>
          <w:iCs/>
          <w:vertAlign w:val="superscript"/>
        </w:rPr>
        <w:footnoteReference w:id="20"/>
      </w:r>
      <w:r w:rsidRPr="005C3EC8">
        <w:rPr>
          <w:rFonts w:ascii="Calibri" w:hAnsi="Calibri"/>
          <w:iCs/>
        </w:rPr>
        <w:t>.  Total proved coal reserves in the United Kingdom are estimated at 220mn tonnes</w:t>
      </w:r>
      <w:r w:rsidRPr="005C3EC8">
        <w:rPr>
          <w:rFonts w:ascii="Calibri" w:hAnsi="Calibri"/>
          <w:iCs/>
          <w:vertAlign w:val="superscript"/>
        </w:rPr>
        <w:footnoteReference w:id="21"/>
      </w:r>
      <w:r w:rsidRPr="005C3EC8">
        <w:rPr>
          <w:rFonts w:ascii="Calibri" w:hAnsi="Calibri"/>
          <w:iCs/>
        </w:rPr>
        <w:t>. About 17mn tonnes was produced in 2012. though about 63mn tonnes was consumed (including imports)</w:t>
      </w:r>
      <w:r w:rsidRPr="005C3EC8">
        <w:rPr>
          <w:rFonts w:ascii="Calibri" w:hAnsi="Calibri"/>
          <w:iCs/>
          <w:vertAlign w:val="superscript"/>
        </w:rPr>
        <w:footnoteReference w:id="22"/>
      </w:r>
      <w:r w:rsidRPr="005C3EC8">
        <w:rPr>
          <w:rFonts w:ascii="Calibri" w:hAnsi="Calibri"/>
          <w:iCs/>
        </w:rPr>
        <w:t xml:space="preserve">.  There is also significant production of potash, gypsum, salt, tin, gold, china clay, and tungsten.  In addition, almost 200mn tonnes of aggregates are used for construction – crushed rock, sand and gravel, and recycled. </w:t>
      </w:r>
    </w:p>
    <w:p w14:paraId="0C7B6BCC" w14:textId="110E67CC" w:rsidR="000B70D0" w:rsidRPr="005C3EC8" w:rsidRDefault="000B70D0">
      <w:pPr>
        <w:pStyle w:val="Heading2notindexed"/>
      </w:pPr>
      <w:bookmarkStart w:id="62" w:name="_Toc459133082"/>
      <w:bookmarkStart w:id="63" w:name="_Toc461803031"/>
      <w:bookmarkStart w:id="64" w:name="_Toc461787312"/>
      <w:r w:rsidRPr="005C3EC8">
        <w:t xml:space="preserve">Explanation of the </w:t>
      </w:r>
      <w:r w:rsidR="009F6032" w:rsidRPr="005C3EC8">
        <w:t>V</w:t>
      </w:r>
      <w:r w:rsidRPr="005C3EC8">
        <w:t>alidation process</w:t>
      </w:r>
      <w:bookmarkEnd w:id="60"/>
      <w:bookmarkEnd w:id="62"/>
      <w:bookmarkEnd w:id="63"/>
      <w:bookmarkEnd w:id="64"/>
    </w:p>
    <w:p w14:paraId="4462308F" w14:textId="45E18BB2" w:rsidR="00DB4EDA" w:rsidRPr="005C3EC8" w:rsidRDefault="00DB4EDA" w:rsidP="0097728B">
      <w:pPr>
        <w:widowControl/>
        <w:suppressAutoHyphens w:val="0"/>
        <w:spacing w:after="0"/>
        <w:rPr>
          <w:rFonts w:ascii="Calibri" w:hAnsi="Calibri"/>
        </w:rPr>
      </w:pPr>
      <w:r w:rsidRPr="005C3EC8">
        <w:rPr>
          <w:rFonts w:ascii="Calibri" w:hAnsi="Calibri"/>
        </w:rPr>
        <w:t xml:space="preserve">Validation is an essential feature of the EITI implementation process. It </w:t>
      </w:r>
      <w:r w:rsidR="0078530B" w:rsidRPr="005C3EC8">
        <w:rPr>
          <w:rFonts w:ascii="Calibri" w:hAnsi="Calibri"/>
        </w:rPr>
        <w:t xml:space="preserve">is intended to provide all stakeholders with an impartial assessment of whether EITI implementation in a country is consistent with the provisions of the EITI Standard. </w:t>
      </w:r>
      <w:r w:rsidR="00764C60" w:rsidRPr="005C3EC8">
        <w:rPr>
          <w:rFonts w:ascii="Calibri" w:hAnsi="Calibri"/>
        </w:rPr>
        <w:t xml:space="preserve">It also </w:t>
      </w:r>
      <w:r w:rsidR="0078530B" w:rsidRPr="005C3EC8">
        <w:rPr>
          <w:rFonts w:ascii="Calibri" w:hAnsi="Calibri"/>
        </w:rPr>
        <w:t>address</w:t>
      </w:r>
      <w:r w:rsidR="00764C60" w:rsidRPr="005C3EC8">
        <w:rPr>
          <w:rFonts w:ascii="Calibri" w:hAnsi="Calibri"/>
        </w:rPr>
        <w:t>es</w:t>
      </w:r>
      <w:r w:rsidR="0078530B" w:rsidRPr="005C3EC8">
        <w:rPr>
          <w:rFonts w:ascii="Calibri" w:hAnsi="Calibri"/>
        </w:rPr>
        <w:t xml:space="preserve"> the impact of the EITI, the implementation of activities encouraged by the EITI Standard, lessons learnt in EITI implementation, as well as any concerns stakeholders have expressed and recommendations for future implementation of the EITI. </w:t>
      </w:r>
    </w:p>
    <w:p w14:paraId="48AB225A" w14:textId="77777777" w:rsidR="00764C60" w:rsidRPr="005C3EC8" w:rsidRDefault="00764C60" w:rsidP="0097728B">
      <w:pPr>
        <w:widowControl/>
        <w:suppressAutoHyphens w:val="0"/>
        <w:spacing w:after="0"/>
        <w:rPr>
          <w:rFonts w:ascii="Calibri" w:hAnsi="Calibri"/>
        </w:rPr>
      </w:pPr>
    </w:p>
    <w:p w14:paraId="3820A099" w14:textId="3448B5DC" w:rsidR="0078530B" w:rsidRPr="005C3EC8" w:rsidRDefault="007D1196" w:rsidP="0097728B">
      <w:pPr>
        <w:widowControl/>
        <w:suppressAutoHyphens w:val="0"/>
        <w:spacing w:after="0"/>
        <w:rPr>
          <w:rFonts w:ascii="Calibri" w:hAnsi="Calibri"/>
          <w:b/>
          <w:bCs/>
        </w:rPr>
      </w:pPr>
      <w:r w:rsidRPr="005C3EC8">
        <w:rPr>
          <w:rFonts w:ascii="Calibri" w:hAnsi="Calibri"/>
        </w:rPr>
        <w:t xml:space="preserve">The </w:t>
      </w:r>
      <w:r w:rsidR="007E74D2" w:rsidRPr="005C3EC8">
        <w:rPr>
          <w:rFonts w:ascii="Calibri" w:hAnsi="Calibri"/>
        </w:rPr>
        <w:t>V</w:t>
      </w:r>
      <w:r w:rsidRPr="005C3EC8">
        <w:rPr>
          <w:rFonts w:ascii="Calibri" w:hAnsi="Calibri"/>
        </w:rPr>
        <w:t>alidation process is outlined in chapter 4 of the EITI Standard</w:t>
      </w:r>
      <w:r w:rsidRPr="005C3EC8">
        <w:rPr>
          <w:rStyle w:val="FootnoteReference"/>
          <w:rFonts w:ascii="Calibri" w:hAnsi="Calibri"/>
        </w:rPr>
        <w:footnoteReference w:id="23"/>
      </w:r>
      <w:r w:rsidR="00764C60" w:rsidRPr="005C3EC8">
        <w:rPr>
          <w:rFonts w:ascii="Calibri" w:hAnsi="Calibri"/>
        </w:rPr>
        <w:t>.</w:t>
      </w:r>
      <w:r w:rsidR="00DB4EDA" w:rsidRPr="005C3EC8">
        <w:rPr>
          <w:rFonts w:ascii="Calibri" w:hAnsi="Calibri"/>
        </w:rPr>
        <w:t xml:space="preserve"> It has </w:t>
      </w:r>
      <w:r w:rsidR="00A02933" w:rsidRPr="005C3EC8">
        <w:rPr>
          <w:rFonts w:ascii="Calibri" w:hAnsi="Calibri"/>
        </w:rPr>
        <w:t>four</w:t>
      </w:r>
      <w:r w:rsidR="0078530B" w:rsidRPr="005C3EC8">
        <w:rPr>
          <w:rFonts w:ascii="Calibri" w:hAnsi="Calibri"/>
        </w:rPr>
        <w:t xml:space="preserve"> phases:</w:t>
      </w:r>
    </w:p>
    <w:p w14:paraId="007A4FD5" w14:textId="6AB2B141" w:rsidR="006861C4" w:rsidRPr="005C3EC8" w:rsidRDefault="006861C4" w:rsidP="008200F5">
      <w:pPr>
        <w:pStyle w:val="ListParagraph"/>
        <w:numPr>
          <w:ilvl w:val="0"/>
          <w:numId w:val="5"/>
        </w:numPr>
      </w:pPr>
      <w:r w:rsidRPr="005C3EC8">
        <w:t>Preparation for Validation by the multi-stakeholder group (MSG)</w:t>
      </w:r>
    </w:p>
    <w:p w14:paraId="66F85483" w14:textId="6F554F01" w:rsidR="006861C4" w:rsidRPr="005C3EC8" w:rsidRDefault="006861C4" w:rsidP="008200F5">
      <w:pPr>
        <w:pStyle w:val="ListParagraph"/>
        <w:numPr>
          <w:ilvl w:val="0"/>
          <w:numId w:val="5"/>
        </w:numPr>
      </w:pPr>
      <w:r w:rsidRPr="005C3EC8">
        <w:t>Initial data collection and stakeholder consultation undertaken by the EITI International Secretariat. </w:t>
      </w:r>
    </w:p>
    <w:p w14:paraId="0436AA2A" w14:textId="0B3ECF07" w:rsidR="00CB6CA5" w:rsidRPr="005C3EC8" w:rsidRDefault="0078530B" w:rsidP="008200F5">
      <w:pPr>
        <w:pStyle w:val="ListParagraph"/>
        <w:numPr>
          <w:ilvl w:val="0"/>
          <w:numId w:val="5"/>
        </w:numPr>
      </w:pPr>
      <w:r w:rsidRPr="005C3EC8">
        <w:t>Independent quality assurance by an independent Validator who reports directly the EITI Board</w:t>
      </w:r>
    </w:p>
    <w:p w14:paraId="21ED3B13" w14:textId="594F6647" w:rsidR="0078530B" w:rsidRPr="005C3EC8" w:rsidRDefault="0078530B" w:rsidP="008200F5">
      <w:pPr>
        <w:pStyle w:val="ListParagraph"/>
        <w:numPr>
          <w:ilvl w:val="0"/>
          <w:numId w:val="5"/>
        </w:numPr>
      </w:pPr>
      <w:r w:rsidRPr="005C3EC8">
        <w:t xml:space="preserve">Board review. </w:t>
      </w:r>
    </w:p>
    <w:p w14:paraId="34FD3FF5" w14:textId="60D1EB2A" w:rsidR="0078530B" w:rsidRPr="005C3EC8" w:rsidRDefault="00DB4EDA" w:rsidP="0078530B">
      <w:pPr>
        <w:rPr>
          <w:rFonts w:ascii="Calibri" w:hAnsi="Calibri"/>
        </w:rPr>
      </w:pPr>
      <w:r w:rsidRPr="005C3EC8">
        <w:rPr>
          <w:rFonts w:ascii="Calibri" w:hAnsi="Calibri"/>
        </w:rPr>
        <w:t>T</w:t>
      </w:r>
      <w:r w:rsidR="0078530B" w:rsidRPr="005C3EC8">
        <w:rPr>
          <w:rFonts w:ascii="Calibri" w:hAnsi="Calibri"/>
        </w:rPr>
        <w:t xml:space="preserve">he </w:t>
      </w:r>
      <w:hyperlink r:id="rId21" w:history="1">
        <w:r w:rsidR="0078530B" w:rsidRPr="005C3EC8">
          <w:rPr>
            <w:rStyle w:val="Hyperlink"/>
            <w:rFonts w:ascii="Calibri" w:hAnsi="Calibri"/>
          </w:rPr>
          <w:t>Validation Guide</w:t>
        </w:r>
      </w:hyperlink>
      <w:r w:rsidR="0078530B" w:rsidRPr="005C3EC8">
        <w:rPr>
          <w:rFonts w:ascii="Calibri" w:hAnsi="Calibri"/>
        </w:rPr>
        <w:t xml:space="preserve"> provides detailed guidance on assessing EITI Requirements, and more detailed </w:t>
      </w:r>
      <w:hyperlink r:id="rId22" w:history="1">
        <w:r w:rsidR="0078530B" w:rsidRPr="005C3EC8">
          <w:rPr>
            <w:rStyle w:val="Hyperlink"/>
            <w:rFonts w:ascii="Calibri" w:hAnsi="Calibri"/>
          </w:rPr>
          <w:t>Validation procedures</w:t>
        </w:r>
      </w:hyperlink>
      <w:r w:rsidR="0078530B" w:rsidRPr="005C3EC8">
        <w:rPr>
          <w:rFonts w:ascii="Calibri" w:hAnsi="Calibri"/>
        </w:rPr>
        <w:t xml:space="preserve">, including a standardised procedure for data collection and stakeholder consultation by the EITI International Secretariat and standardised terms of reference for the Validator. </w:t>
      </w:r>
    </w:p>
    <w:p w14:paraId="728B5E43" w14:textId="33692E95" w:rsidR="0078530B" w:rsidRPr="005C3EC8" w:rsidRDefault="0078530B" w:rsidP="0078530B">
      <w:pPr>
        <w:rPr>
          <w:rFonts w:ascii="Calibri" w:hAnsi="Calibri"/>
        </w:rPr>
      </w:pPr>
      <w:r w:rsidRPr="005C3EC8">
        <w:rPr>
          <w:rFonts w:ascii="Calibri" w:hAnsi="Calibri"/>
        </w:rPr>
        <w:t>The Validation Guide includes a provision that: “Where the MSG wishes that validation pays particular attention to assessing certain objectives or activities in accordance with the MSG work</w:t>
      </w:r>
      <w:r w:rsidR="004E0437" w:rsidRPr="005C3EC8">
        <w:rPr>
          <w:rFonts w:ascii="Calibri" w:hAnsi="Calibri"/>
        </w:rPr>
        <w:t xml:space="preserve"> </w:t>
      </w:r>
      <w:r w:rsidRPr="005C3EC8">
        <w:rPr>
          <w:rFonts w:ascii="Calibri" w:hAnsi="Calibri"/>
        </w:rPr>
        <w:t>plan, these should be outlined upon the request of the MSG”.</w:t>
      </w:r>
      <w:r w:rsidR="00DB4EDA" w:rsidRPr="005C3EC8">
        <w:rPr>
          <w:rFonts w:ascii="Calibri" w:hAnsi="Calibri"/>
        </w:rPr>
        <w:t xml:space="preserve"> </w:t>
      </w:r>
      <w:r w:rsidR="009D3D1B" w:rsidRPr="005C3EC8">
        <w:rPr>
          <w:rFonts w:ascii="Calibri" w:hAnsi="Calibri"/>
          <w:u w:val="single"/>
        </w:rPr>
        <w:t>The UKEITI MSG did not request any issues for particular consideration</w:t>
      </w:r>
      <w:r w:rsidR="009D3D1B" w:rsidRPr="005C3EC8">
        <w:rPr>
          <w:rFonts w:ascii="Calibri" w:hAnsi="Calibri"/>
        </w:rPr>
        <w:t>.</w:t>
      </w:r>
    </w:p>
    <w:p w14:paraId="50C9D91B" w14:textId="65D502DD" w:rsidR="0078530B" w:rsidRPr="005C3EC8" w:rsidRDefault="00DB4EDA" w:rsidP="0078530B">
      <w:pPr>
        <w:rPr>
          <w:rFonts w:ascii="Calibri" w:hAnsi="Calibri"/>
        </w:rPr>
      </w:pPr>
      <w:r w:rsidRPr="005C3EC8">
        <w:rPr>
          <w:rFonts w:ascii="Calibri" w:hAnsi="Calibri"/>
        </w:rPr>
        <w:t xml:space="preserve">In accordance with the Validation procedures, the </w:t>
      </w:r>
      <w:r w:rsidR="0078530B" w:rsidRPr="005C3EC8">
        <w:rPr>
          <w:rFonts w:ascii="Calibri" w:hAnsi="Calibri"/>
        </w:rPr>
        <w:t xml:space="preserve">International Secretariat’s work </w:t>
      </w:r>
      <w:r w:rsidR="00764C60" w:rsidRPr="005C3EC8">
        <w:rPr>
          <w:rFonts w:ascii="Calibri" w:hAnsi="Calibri"/>
        </w:rPr>
        <w:t xml:space="preserve">on the </w:t>
      </w:r>
      <w:r w:rsidR="00764C60" w:rsidRPr="005C3EC8">
        <w:t xml:space="preserve">initial data collection and stakeholder consultation </w:t>
      </w:r>
      <w:r w:rsidRPr="005C3EC8">
        <w:rPr>
          <w:rFonts w:ascii="Calibri" w:hAnsi="Calibri"/>
        </w:rPr>
        <w:t xml:space="preserve">was </w:t>
      </w:r>
      <w:r w:rsidR="0078530B" w:rsidRPr="005C3EC8">
        <w:rPr>
          <w:rFonts w:ascii="Calibri" w:hAnsi="Calibri"/>
        </w:rPr>
        <w:t>conducted in three phases:</w:t>
      </w:r>
      <w:r w:rsidR="00E75D57" w:rsidRPr="005C3EC8">
        <w:rPr>
          <w:rFonts w:ascii="Calibri" w:hAnsi="Calibri"/>
        </w:rPr>
        <w:t xml:space="preserve"> </w:t>
      </w:r>
    </w:p>
    <w:p w14:paraId="12D33793" w14:textId="04A3D2DA" w:rsidR="00764C60" w:rsidRPr="005C3EC8" w:rsidRDefault="0078530B" w:rsidP="0097728B">
      <w:pPr>
        <w:spacing w:after="240"/>
        <w:rPr>
          <w:rFonts w:ascii="Calibri" w:hAnsi="Calibri"/>
        </w:rPr>
      </w:pPr>
      <w:r w:rsidRPr="005C3EC8">
        <w:rPr>
          <w:rFonts w:ascii="Calibri" w:hAnsi="Calibri"/>
          <w:u w:val="single"/>
        </w:rPr>
        <w:t>1. Desk Review</w:t>
      </w:r>
    </w:p>
    <w:p w14:paraId="6A9AC429" w14:textId="1BDC9D49" w:rsidR="0078530B" w:rsidRPr="005C3EC8" w:rsidRDefault="0078530B" w:rsidP="0097728B">
      <w:pPr>
        <w:spacing w:after="240"/>
        <w:rPr>
          <w:rFonts w:ascii="Calibri" w:hAnsi="Calibri"/>
        </w:rPr>
      </w:pPr>
      <w:r w:rsidRPr="005C3EC8">
        <w:rPr>
          <w:rFonts w:ascii="Calibri" w:hAnsi="Calibri"/>
        </w:rPr>
        <w:t>Prior to visiting the country, the Secretariat conduct</w:t>
      </w:r>
      <w:r w:rsidR="00DB4EDA" w:rsidRPr="005C3EC8">
        <w:rPr>
          <w:rFonts w:ascii="Calibri" w:hAnsi="Calibri"/>
        </w:rPr>
        <w:t>ed</w:t>
      </w:r>
      <w:r w:rsidRPr="005C3EC8">
        <w:rPr>
          <w:rFonts w:ascii="Calibri" w:hAnsi="Calibri"/>
        </w:rPr>
        <w:t xml:space="preserve"> a detailed desk review of the available </w:t>
      </w:r>
      <w:r w:rsidRPr="005C3EC8">
        <w:rPr>
          <w:rFonts w:ascii="Calibri" w:hAnsi="Calibri"/>
        </w:rPr>
        <w:lastRenderedPageBreak/>
        <w:t>documentation relating to the country’s compliance with the EITI Standard, including but not limited to:</w:t>
      </w:r>
    </w:p>
    <w:p w14:paraId="4E64538D" w14:textId="77777777" w:rsidR="0078530B" w:rsidRPr="005C3EC8" w:rsidRDefault="0078530B" w:rsidP="008200F5">
      <w:pPr>
        <w:pStyle w:val="ListParagraph"/>
      </w:pPr>
      <w:r w:rsidRPr="005C3EC8">
        <w:t>The EITI work plan and other planning documents such as budgets and communication plans;</w:t>
      </w:r>
    </w:p>
    <w:p w14:paraId="79E62F52" w14:textId="77777777" w:rsidR="0078530B" w:rsidRPr="005C3EC8" w:rsidRDefault="0078530B" w:rsidP="008200F5">
      <w:pPr>
        <w:pStyle w:val="ListParagraph"/>
      </w:pPr>
      <w:r w:rsidRPr="005C3EC8">
        <w:t>The multi-stakeholder group’s Terms of Reference, and minutes from multi-stakeholder group meetings;</w:t>
      </w:r>
    </w:p>
    <w:p w14:paraId="0EB25A99" w14:textId="77777777" w:rsidR="0078530B" w:rsidRPr="005C3EC8" w:rsidRDefault="0078530B" w:rsidP="008200F5">
      <w:pPr>
        <w:pStyle w:val="ListParagraph"/>
      </w:pPr>
      <w:r w:rsidRPr="005C3EC8">
        <w:t>EITI Reports, and supplementary information such as summary reports and scoping studies;</w:t>
      </w:r>
    </w:p>
    <w:p w14:paraId="6B4A5228" w14:textId="022A8AA2" w:rsidR="000C5685" w:rsidRPr="005C3EC8" w:rsidRDefault="0078530B" w:rsidP="008200F5">
      <w:pPr>
        <w:pStyle w:val="ListParagraph"/>
      </w:pPr>
      <w:r w:rsidRPr="005C3EC8">
        <w:t>Communication materials;</w:t>
      </w:r>
    </w:p>
    <w:p w14:paraId="1D3EB9AD" w14:textId="77777777" w:rsidR="0078530B" w:rsidRPr="005C3EC8" w:rsidRDefault="0078530B" w:rsidP="008200F5">
      <w:pPr>
        <w:pStyle w:val="ListParagraph"/>
      </w:pPr>
      <w:r w:rsidRPr="005C3EC8">
        <w:t>Annual progress reports; and</w:t>
      </w:r>
    </w:p>
    <w:p w14:paraId="19E72192" w14:textId="1E581380" w:rsidR="00555E5A" w:rsidRPr="005C3EC8" w:rsidRDefault="0078530B" w:rsidP="008200F5">
      <w:pPr>
        <w:pStyle w:val="ListParagraph"/>
      </w:pPr>
      <w:r w:rsidRPr="005C3EC8">
        <w:t>Any other information of relevance to Validation.</w:t>
      </w:r>
    </w:p>
    <w:p w14:paraId="2B295B6C" w14:textId="398C3542" w:rsidR="0078530B" w:rsidRPr="005C3EC8" w:rsidRDefault="00764C60" w:rsidP="00E03D03">
      <w:pPr>
        <w:rPr>
          <w:rFonts w:ascii="Calibri" w:hAnsi="Calibri"/>
        </w:rPr>
      </w:pPr>
      <w:r w:rsidRPr="005C3EC8">
        <w:rPr>
          <w:rFonts w:ascii="Calibri" w:hAnsi="Calibri"/>
        </w:rPr>
        <w:t>In accordance with the Validation procedures, t</w:t>
      </w:r>
      <w:r w:rsidR="0078530B" w:rsidRPr="005C3EC8">
        <w:rPr>
          <w:rFonts w:ascii="Calibri" w:hAnsi="Calibri"/>
        </w:rPr>
        <w:t xml:space="preserve">he Secretariat </w:t>
      </w:r>
      <w:r w:rsidR="00DB4EDA" w:rsidRPr="005C3EC8">
        <w:rPr>
          <w:rFonts w:ascii="Calibri" w:hAnsi="Calibri"/>
        </w:rPr>
        <w:t xml:space="preserve">has not taken into </w:t>
      </w:r>
      <w:r w:rsidR="0078530B" w:rsidRPr="005C3EC8">
        <w:rPr>
          <w:rFonts w:ascii="Calibri" w:hAnsi="Calibri"/>
        </w:rPr>
        <w:t xml:space="preserve">account actions undertaken after the commencement of Validation. </w:t>
      </w:r>
    </w:p>
    <w:p w14:paraId="4083CCFD" w14:textId="52E3F23A" w:rsidR="00764C60" w:rsidRPr="005C3EC8" w:rsidRDefault="0078530B" w:rsidP="00E03D03">
      <w:pPr>
        <w:tabs>
          <w:tab w:val="left" w:pos="284"/>
        </w:tabs>
        <w:rPr>
          <w:rFonts w:ascii="Calibri" w:hAnsi="Calibri"/>
        </w:rPr>
      </w:pPr>
      <w:r w:rsidRPr="005C3EC8">
        <w:rPr>
          <w:rFonts w:ascii="Calibri" w:hAnsi="Calibri"/>
          <w:u w:val="single"/>
        </w:rPr>
        <w:t>2. Country visit</w:t>
      </w:r>
    </w:p>
    <w:p w14:paraId="4A58CE5E" w14:textId="4B9E7DD2" w:rsidR="0078530B" w:rsidRPr="005C3EC8" w:rsidRDefault="00DB4EDA" w:rsidP="00E03D03">
      <w:pPr>
        <w:tabs>
          <w:tab w:val="left" w:pos="284"/>
        </w:tabs>
        <w:rPr>
          <w:rFonts w:ascii="Calibri" w:hAnsi="Calibri"/>
        </w:rPr>
      </w:pPr>
      <w:r w:rsidRPr="005C3EC8">
        <w:rPr>
          <w:rFonts w:ascii="Calibri" w:hAnsi="Calibri"/>
        </w:rPr>
        <w:t xml:space="preserve">A </w:t>
      </w:r>
      <w:r w:rsidR="0078530B" w:rsidRPr="005C3EC8">
        <w:rPr>
          <w:rFonts w:ascii="Calibri" w:hAnsi="Calibri"/>
        </w:rPr>
        <w:t xml:space="preserve">country visit took place </w:t>
      </w:r>
      <w:r w:rsidR="005B0392" w:rsidRPr="005C3EC8">
        <w:rPr>
          <w:rFonts w:ascii="Calibri" w:hAnsi="Calibri"/>
        </w:rPr>
        <w:t xml:space="preserve">on </w:t>
      </w:r>
      <w:r w:rsidR="009D3D1B" w:rsidRPr="005C3EC8">
        <w:rPr>
          <w:rFonts w:ascii="Calibri" w:hAnsi="Calibri"/>
          <w:bCs/>
        </w:rPr>
        <w:t>19-26 September 2018</w:t>
      </w:r>
      <w:r w:rsidR="0078530B" w:rsidRPr="005C3EC8">
        <w:rPr>
          <w:rFonts w:ascii="Calibri" w:hAnsi="Calibri"/>
        </w:rPr>
        <w:t xml:space="preserve">. All meetings took place in </w:t>
      </w:r>
      <w:r w:rsidR="009D3D1B" w:rsidRPr="005C3EC8">
        <w:rPr>
          <w:rFonts w:ascii="Calibri" w:hAnsi="Calibri"/>
          <w:bCs/>
        </w:rPr>
        <w:t>London and Leicester, United Kingdom</w:t>
      </w:r>
      <w:r w:rsidR="0078530B" w:rsidRPr="005C3EC8">
        <w:rPr>
          <w:rFonts w:ascii="Calibri" w:hAnsi="Calibri"/>
        </w:rPr>
        <w:t>. The secretariat met with the multi-stakeholder group and its members, the Independent Administrator and other key stakeholders, including stakeholder groups that are represented on, but not directly participating in, the multi-stakeholder group. In addition to meeting with the MSG as a group, the Secretariat met with its constituent parts (government, companies and civil society) either individually or in constituency groups, with appropriate protocols to ensure that stakeholders are able to freely express their views and that requests for confidentially are respected.</w:t>
      </w:r>
      <w:r w:rsidR="005275CE" w:rsidRPr="005C3EC8">
        <w:rPr>
          <w:rFonts w:ascii="Calibri" w:hAnsi="Calibri"/>
        </w:rPr>
        <w:t xml:space="preserve"> </w:t>
      </w:r>
      <w:r w:rsidR="0078530B" w:rsidRPr="005C3EC8">
        <w:rPr>
          <w:rFonts w:ascii="Calibri" w:hAnsi="Calibri"/>
        </w:rPr>
        <w:t>The list of stakeholde</w:t>
      </w:r>
      <w:r w:rsidR="005B0392" w:rsidRPr="005C3EC8">
        <w:rPr>
          <w:rFonts w:ascii="Calibri" w:hAnsi="Calibri"/>
        </w:rPr>
        <w:t xml:space="preserve">rs </w:t>
      </w:r>
      <w:r w:rsidR="00764C60" w:rsidRPr="005C3EC8">
        <w:rPr>
          <w:rFonts w:ascii="Calibri" w:hAnsi="Calibri"/>
        </w:rPr>
        <w:t xml:space="preserve">consulted in outlined in Annex </w:t>
      </w:r>
      <w:r w:rsidR="00422354" w:rsidRPr="005C3EC8">
        <w:rPr>
          <w:rFonts w:ascii="Calibri" w:hAnsi="Calibri"/>
        </w:rPr>
        <w:t>D</w:t>
      </w:r>
      <w:r w:rsidR="00764C60" w:rsidRPr="005C3EC8">
        <w:rPr>
          <w:rFonts w:ascii="Calibri" w:hAnsi="Calibri"/>
        </w:rPr>
        <w:t xml:space="preserve">. </w:t>
      </w:r>
    </w:p>
    <w:p w14:paraId="62864F94" w14:textId="7C4A5B20" w:rsidR="00764C60" w:rsidRPr="005C3EC8" w:rsidRDefault="0078530B" w:rsidP="00E03D03">
      <w:pPr>
        <w:tabs>
          <w:tab w:val="left" w:pos="284"/>
        </w:tabs>
        <w:rPr>
          <w:rFonts w:ascii="Calibri" w:hAnsi="Calibri"/>
        </w:rPr>
      </w:pPr>
      <w:r w:rsidRPr="005C3EC8">
        <w:rPr>
          <w:rFonts w:ascii="Calibri" w:hAnsi="Calibri"/>
          <w:u w:val="single"/>
        </w:rPr>
        <w:t>3. Reporting on progress against requirements</w:t>
      </w:r>
    </w:p>
    <w:p w14:paraId="4565EF20" w14:textId="3599ECB2" w:rsidR="00764C60" w:rsidRPr="005C3EC8" w:rsidRDefault="00764C60" w:rsidP="00E03D03">
      <w:pPr>
        <w:tabs>
          <w:tab w:val="left" w:pos="284"/>
        </w:tabs>
        <w:rPr>
          <w:rFonts w:ascii="Calibri" w:hAnsi="Calibri"/>
        </w:rPr>
      </w:pPr>
      <w:r w:rsidRPr="005C3EC8">
        <w:rPr>
          <w:rFonts w:ascii="Calibri" w:hAnsi="Calibri"/>
        </w:rPr>
        <w:t xml:space="preserve">This report provides the </w:t>
      </w:r>
      <w:r w:rsidR="0078530B" w:rsidRPr="005C3EC8">
        <w:rPr>
          <w:rFonts w:ascii="Calibri" w:hAnsi="Calibri"/>
        </w:rPr>
        <w:t xml:space="preserve">International Secretariat initial </w:t>
      </w:r>
      <w:r w:rsidRPr="005C3EC8">
        <w:rPr>
          <w:rFonts w:ascii="Calibri" w:hAnsi="Calibri"/>
        </w:rPr>
        <w:t xml:space="preserve">assessment </w:t>
      </w:r>
      <w:r w:rsidR="0078530B" w:rsidRPr="005C3EC8">
        <w:rPr>
          <w:rFonts w:ascii="Calibri" w:hAnsi="Calibri"/>
        </w:rPr>
        <w:t xml:space="preserve">of progress against requirements in accordance with the Validation Guide. </w:t>
      </w:r>
      <w:r w:rsidRPr="005C3EC8">
        <w:rPr>
          <w:rFonts w:ascii="Calibri" w:hAnsi="Calibri"/>
        </w:rPr>
        <w:t xml:space="preserve">It does </w:t>
      </w:r>
      <w:r w:rsidR="0078530B" w:rsidRPr="005C3EC8">
        <w:rPr>
          <w:rFonts w:ascii="Calibri" w:hAnsi="Calibri"/>
        </w:rPr>
        <w:t xml:space="preserve">not include an overall assessment of compliance. </w:t>
      </w:r>
    </w:p>
    <w:p w14:paraId="0211059A" w14:textId="33D429DE" w:rsidR="0078530B" w:rsidRPr="005C3EC8" w:rsidRDefault="0078530B" w:rsidP="007D1196">
      <w:pPr>
        <w:rPr>
          <w:rFonts w:ascii="Calibri" w:hAnsi="Calibri"/>
          <w:bCs/>
        </w:rPr>
      </w:pPr>
      <w:r w:rsidRPr="005C3EC8">
        <w:rPr>
          <w:rFonts w:ascii="Calibri" w:hAnsi="Calibri"/>
        </w:rPr>
        <w:t xml:space="preserve">The International Secretariat’s team comprised: </w:t>
      </w:r>
      <w:r w:rsidR="009A7AD3" w:rsidRPr="005C3EC8">
        <w:rPr>
          <w:rFonts w:ascii="Calibri" w:hAnsi="Calibri"/>
          <w:bCs/>
        </w:rPr>
        <w:t>Alex Gordy and Sam Bartlett. Eddie Rich provided support and quality assurance.</w:t>
      </w:r>
    </w:p>
    <w:p w14:paraId="4DCDB0ED" w14:textId="687E86DA" w:rsidR="0078530B" w:rsidRPr="005C3EC8" w:rsidRDefault="0078530B" w:rsidP="00E3377E">
      <w:pPr>
        <w:rPr>
          <w:rFonts w:ascii="Calibri" w:hAnsi="Calibri"/>
        </w:rPr>
      </w:pPr>
    </w:p>
    <w:p w14:paraId="7E2C2A9E" w14:textId="77777777" w:rsidR="001178E5" w:rsidRPr="005C3EC8" w:rsidRDefault="001178E5" w:rsidP="004B1D32">
      <w:pPr>
        <w:rPr>
          <w:rFonts w:ascii="Calibri" w:hAnsi="Calibri"/>
        </w:rPr>
        <w:sectPr w:rsidR="001178E5" w:rsidRPr="005C3EC8" w:rsidSect="007364B0">
          <w:headerReference w:type="default" r:id="rId23"/>
          <w:headerReference w:type="first" r:id="rId24"/>
          <w:pgSz w:w="11905" w:h="16837"/>
          <w:pgMar w:top="1175" w:right="1276" w:bottom="1418" w:left="1134" w:header="567" w:footer="0" w:gutter="0"/>
          <w:cols w:space="708"/>
          <w:titlePg/>
          <w:docGrid w:linePitch="326"/>
        </w:sectPr>
      </w:pPr>
    </w:p>
    <w:p w14:paraId="6E775565" w14:textId="75D59357" w:rsidR="002929E0" w:rsidRPr="005C3EC8" w:rsidRDefault="002929E0" w:rsidP="00764C60">
      <w:pPr>
        <w:pStyle w:val="Heading1"/>
      </w:pPr>
      <w:bookmarkStart w:id="65" w:name="_Toc459133083"/>
      <w:bookmarkStart w:id="66" w:name="_Toc461803032"/>
      <w:bookmarkStart w:id="67" w:name="_Toc461787313"/>
      <w:bookmarkStart w:id="68" w:name="_Toc461795827"/>
      <w:bookmarkStart w:id="69" w:name="_Toc462149173"/>
      <w:r w:rsidRPr="005C3EC8">
        <w:lastRenderedPageBreak/>
        <w:t>Part I – MSG Oversight</w:t>
      </w:r>
      <w:bookmarkEnd w:id="65"/>
      <w:bookmarkEnd w:id="66"/>
      <w:bookmarkEnd w:id="67"/>
      <w:bookmarkEnd w:id="68"/>
      <w:bookmarkEnd w:id="69"/>
    </w:p>
    <w:p w14:paraId="588F1C0F" w14:textId="22259328" w:rsidR="004C54DF" w:rsidRPr="005C3EC8" w:rsidRDefault="004C54DF" w:rsidP="0097728B">
      <w:pPr>
        <w:pStyle w:val="Heading2"/>
      </w:pPr>
      <w:r w:rsidRPr="005C3EC8">
        <w:t>1. Oversight of the EITI process</w:t>
      </w:r>
    </w:p>
    <w:p w14:paraId="7313E35F" w14:textId="13400D9E" w:rsidR="002929E0" w:rsidRPr="005C3EC8" w:rsidRDefault="009F5C43">
      <w:pPr>
        <w:pStyle w:val="Heading2notindexed"/>
      </w:pPr>
      <w:bookmarkStart w:id="70" w:name="_Toc462149174"/>
      <w:r w:rsidRPr="005C3EC8">
        <w:t xml:space="preserve">1.1 </w:t>
      </w:r>
      <w:bookmarkStart w:id="71" w:name="_Toc459133084"/>
      <w:bookmarkStart w:id="72" w:name="_Toc461803033"/>
      <w:bookmarkStart w:id="73" w:name="_Toc461787314"/>
      <w:bookmarkEnd w:id="70"/>
      <w:r w:rsidR="002929E0" w:rsidRPr="005C3EC8">
        <w:t>Overview</w:t>
      </w:r>
      <w:bookmarkEnd w:id="71"/>
      <w:bookmarkEnd w:id="72"/>
      <w:bookmarkEnd w:id="73"/>
    </w:p>
    <w:p w14:paraId="5D06B210" w14:textId="77777777" w:rsidR="002929E0" w:rsidRPr="005C3EC8" w:rsidRDefault="002929E0" w:rsidP="008D7517">
      <w:pPr>
        <w:rPr>
          <w:rFonts w:ascii="Calibri" w:hAnsi="Calibri"/>
        </w:rPr>
      </w:pPr>
      <w:r w:rsidRPr="005C3EC8">
        <w:rPr>
          <w:rFonts w:ascii="Calibri" w:hAnsi="Calibri"/>
        </w:rPr>
        <w:t xml:space="preserve">This section relates to stakeholder engagement and the environment for implementation of EITI in country, the governance and functioning of the multi-stakeholder group (MSG), and the EITI work plan. </w:t>
      </w:r>
    </w:p>
    <w:p w14:paraId="64EA0812" w14:textId="6B58A69D" w:rsidR="002929E0" w:rsidRPr="005C3EC8" w:rsidRDefault="009F5C43">
      <w:pPr>
        <w:pStyle w:val="Heading2notindexed"/>
      </w:pPr>
      <w:bookmarkStart w:id="74" w:name="_Toc459133085"/>
      <w:bookmarkStart w:id="75" w:name="_Toc461803034"/>
      <w:bookmarkStart w:id="76" w:name="_Toc461787315"/>
      <w:r w:rsidRPr="005C3EC8">
        <w:t xml:space="preserve">1.2 </w:t>
      </w:r>
      <w:r w:rsidR="002929E0" w:rsidRPr="005C3EC8">
        <w:t>Assessment</w:t>
      </w:r>
      <w:bookmarkEnd w:id="74"/>
      <w:bookmarkEnd w:id="75"/>
      <w:bookmarkEnd w:id="76"/>
    </w:p>
    <w:p w14:paraId="014488D6" w14:textId="7E69C379" w:rsidR="002929E0" w:rsidRPr="005C3EC8" w:rsidRDefault="002929E0" w:rsidP="0097728B">
      <w:pPr>
        <w:pStyle w:val="Heading2"/>
      </w:pPr>
      <w:bookmarkStart w:id="77" w:name="_Toc459133086"/>
      <w:bookmarkStart w:id="78" w:name="_Toc461803035"/>
      <w:bookmarkStart w:id="79" w:name="_Toc461787316"/>
      <w:bookmarkStart w:id="80" w:name="_Toc461795828"/>
      <w:bookmarkStart w:id="81" w:name="_Toc462149175"/>
      <w:r w:rsidRPr="005C3EC8">
        <w:t>Government engagement in the EITI process (#1.1)</w:t>
      </w:r>
      <w:bookmarkEnd w:id="77"/>
      <w:bookmarkEnd w:id="78"/>
      <w:bookmarkEnd w:id="79"/>
      <w:bookmarkEnd w:id="80"/>
      <w:bookmarkEnd w:id="81"/>
    </w:p>
    <w:p w14:paraId="60406C24" w14:textId="582CD9D0" w:rsidR="00DD1F94" w:rsidRPr="005C3EC8" w:rsidRDefault="002929E0" w:rsidP="0097728B">
      <w:pPr>
        <w:pStyle w:val="Heading3"/>
      </w:pPr>
      <w:r w:rsidRPr="005C3EC8">
        <w:t>Documentation of progress</w:t>
      </w:r>
    </w:p>
    <w:p w14:paraId="72322DD5" w14:textId="33113A3F" w:rsidR="005C020F" w:rsidRPr="005C3EC8" w:rsidRDefault="00090B30" w:rsidP="0092465C">
      <w:pPr>
        <w:spacing w:before="120"/>
        <w:rPr>
          <w:rFonts w:ascii="Calibri" w:hAnsi="Calibri"/>
        </w:rPr>
      </w:pPr>
      <w:r w:rsidRPr="005C3EC8">
        <w:rPr>
          <w:rFonts w:ascii="Calibri" w:hAnsi="Calibri"/>
          <w:i/>
          <w:u w:val="single"/>
        </w:rPr>
        <w:t>Public statement</w:t>
      </w:r>
      <w:r w:rsidR="006E13F5">
        <w:rPr>
          <w:rFonts w:ascii="Calibri" w:hAnsi="Calibri"/>
          <w:i/>
          <w:u w:val="single"/>
        </w:rPr>
        <w:t>:</w:t>
      </w:r>
      <w:r w:rsidR="006E13F5">
        <w:rPr>
          <w:rFonts w:ascii="Calibri" w:hAnsi="Calibri"/>
        </w:rPr>
        <w:t xml:space="preserve"> </w:t>
      </w:r>
      <w:r w:rsidR="000823C1" w:rsidRPr="005C3EC8">
        <w:rPr>
          <w:rFonts w:ascii="Calibri" w:hAnsi="Calibri"/>
        </w:rPr>
        <w:t>The UK government has made repeated public statements of support for the EITI since it</w:t>
      </w:r>
      <w:r w:rsidR="006C3F21" w:rsidRPr="005C3EC8">
        <w:rPr>
          <w:rFonts w:ascii="Calibri" w:hAnsi="Calibri"/>
        </w:rPr>
        <w:t>s initial commitment to implement the EITI in May 2013.</w:t>
      </w:r>
      <w:r w:rsidR="0092465C" w:rsidRPr="005C3EC8">
        <w:rPr>
          <w:rFonts w:ascii="Calibri" w:hAnsi="Calibri"/>
        </w:rPr>
        <w:t xml:space="preserve"> </w:t>
      </w:r>
      <w:r w:rsidR="00B50A26" w:rsidRPr="005C3EC8">
        <w:rPr>
          <w:rFonts w:ascii="Calibri" w:hAnsi="Calibri"/>
          <w:bCs/>
        </w:rPr>
        <w:t xml:space="preserve">The EITI international was itself launched </w:t>
      </w:r>
      <w:r w:rsidR="0092465C" w:rsidRPr="005C3EC8">
        <w:rPr>
          <w:rFonts w:ascii="Calibri" w:hAnsi="Calibri"/>
          <w:bCs/>
        </w:rPr>
        <w:t>and incubated by the British government</w:t>
      </w:r>
      <w:r w:rsidR="00B50A26" w:rsidRPr="005C3EC8">
        <w:rPr>
          <w:rFonts w:ascii="Calibri" w:hAnsi="Calibri"/>
          <w:bCs/>
        </w:rPr>
        <w:t xml:space="preserve"> </w:t>
      </w:r>
      <w:r w:rsidR="0092465C" w:rsidRPr="005C3EC8">
        <w:rPr>
          <w:rFonts w:ascii="Calibri" w:hAnsi="Calibri"/>
          <w:bCs/>
        </w:rPr>
        <w:t>from</w:t>
      </w:r>
      <w:r w:rsidR="00B50A26" w:rsidRPr="005C3EC8">
        <w:rPr>
          <w:rFonts w:ascii="Calibri" w:hAnsi="Calibri"/>
          <w:bCs/>
        </w:rPr>
        <w:t xml:space="preserve"> 2002</w:t>
      </w:r>
      <w:r w:rsidR="0092465C" w:rsidRPr="005C3EC8">
        <w:rPr>
          <w:rFonts w:ascii="Calibri" w:hAnsi="Calibri"/>
          <w:bCs/>
        </w:rPr>
        <w:t xml:space="preserve"> until the establishment of the EITI International Secretariat in 2007</w:t>
      </w:r>
      <w:r w:rsidR="0092465C" w:rsidRPr="005C3EC8">
        <w:rPr>
          <w:rStyle w:val="FootnoteReference"/>
          <w:rFonts w:ascii="Calibri" w:hAnsi="Calibri"/>
          <w:bCs/>
        </w:rPr>
        <w:footnoteReference w:id="24"/>
      </w:r>
      <w:r w:rsidR="00B50A26" w:rsidRPr="005C3EC8">
        <w:rPr>
          <w:rFonts w:ascii="Calibri" w:hAnsi="Calibri"/>
          <w:bCs/>
        </w:rPr>
        <w:t>. In 2013, David Cameron, former British Prime Minister gave a statement of support that the EITI would “create a level playing field for business, help the British people hold decision makers to account and encourage other countries around the world to take similar steps”</w:t>
      </w:r>
      <w:r w:rsidR="0092465C" w:rsidRPr="005C3EC8">
        <w:rPr>
          <w:rStyle w:val="FootnoteReference"/>
          <w:rFonts w:ascii="Calibri" w:hAnsi="Calibri"/>
          <w:bCs/>
        </w:rPr>
        <w:footnoteReference w:id="25"/>
      </w:r>
      <w:r w:rsidR="00B50A26" w:rsidRPr="005C3EC8">
        <w:rPr>
          <w:rFonts w:ascii="Calibri" w:hAnsi="Calibri"/>
          <w:bCs/>
        </w:rPr>
        <w:t xml:space="preserve">. Jo </w:t>
      </w:r>
      <w:proofErr w:type="spellStart"/>
      <w:r w:rsidR="00B50A26" w:rsidRPr="005C3EC8">
        <w:rPr>
          <w:rFonts w:ascii="Calibri" w:hAnsi="Calibri"/>
          <w:bCs/>
        </w:rPr>
        <w:t>Swinson</w:t>
      </w:r>
      <w:proofErr w:type="spellEnd"/>
      <w:r w:rsidR="00B50A26" w:rsidRPr="005C3EC8">
        <w:rPr>
          <w:rFonts w:ascii="Calibri" w:hAnsi="Calibri"/>
          <w:bCs/>
        </w:rPr>
        <w:t xml:space="preserve">, </w:t>
      </w:r>
      <w:r w:rsidR="00EE2455" w:rsidRPr="005C3EC8">
        <w:rPr>
          <w:rFonts w:ascii="Calibri" w:hAnsi="Calibri"/>
          <w:bCs/>
        </w:rPr>
        <w:t>former</w:t>
      </w:r>
      <w:r w:rsidR="00B50A26" w:rsidRPr="005C3EC8">
        <w:rPr>
          <w:rFonts w:ascii="Calibri" w:hAnsi="Calibri"/>
          <w:bCs/>
        </w:rPr>
        <w:t xml:space="preserve"> UK EITI Champion also </w:t>
      </w:r>
      <w:r w:rsidR="002D7D06" w:rsidRPr="005C3EC8">
        <w:rPr>
          <w:rFonts w:ascii="Calibri" w:hAnsi="Calibri"/>
          <w:bCs/>
        </w:rPr>
        <w:t>publicly</w:t>
      </w:r>
      <w:r w:rsidR="00B50A26" w:rsidRPr="005C3EC8">
        <w:rPr>
          <w:rFonts w:ascii="Calibri" w:hAnsi="Calibri"/>
          <w:bCs/>
        </w:rPr>
        <w:t xml:space="preserve"> voiced her support in 2013.</w:t>
      </w:r>
      <w:r w:rsidR="002D7D06" w:rsidRPr="005C3EC8">
        <w:rPr>
          <w:rFonts w:ascii="Calibri" w:hAnsi="Calibri"/>
          <w:bCs/>
        </w:rPr>
        <w:t xml:space="preserve"> </w:t>
      </w:r>
      <w:r w:rsidR="00CF5F6E" w:rsidRPr="005C3EC8">
        <w:rPr>
          <w:rFonts w:ascii="Calibri" w:hAnsi="Calibri"/>
          <w:bCs/>
        </w:rPr>
        <w:t>The 2015 Conservative Party manifesto included a commitment on EITI.</w:t>
      </w:r>
      <w:r w:rsidR="00CF5F6E" w:rsidRPr="005C3EC8">
        <w:rPr>
          <w:rStyle w:val="FootnoteReference"/>
          <w:rFonts w:ascii="Calibri" w:hAnsi="Calibri"/>
          <w:bCs/>
        </w:rPr>
        <w:footnoteReference w:id="26"/>
      </w:r>
      <w:r w:rsidR="00CF5F6E" w:rsidRPr="005C3EC8">
        <w:rPr>
          <w:rFonts w:ascii="Calibri" w:hAnsi="Calibri"/>
          <w:bCs/>
        </w:rPr>
        <w:t xml:space="preserve"> </w:t>
      </w:r>
      <w:r w:rsidR="002D7D06" w:rsidRPr="005C3EC8">
        <w:rPr>
          <w:rFonts w:ascii="Calibri" w:hAnsi="Calibri"/>
          <w:bCs/>
        </w:rPr>
        <w:t>The 2017 UK Anti-Corruption Strategy also included a statement of support for domestic implementation of EITI.</w:t>
      </w:r>
      <w:r w:rsidR="002D7D06" w:rsidRPr="005C3EC8">
        <w:rPr>
          <w:rStyle w:val="FootnoteReference"/>
          <w:rFonts w:ascii="Calibri" w:hAnsi="Calibri"/>
          <w:bCs/>
        </w:rPr>
        <w:footnoteReference w:id="27"/>
      </w:r>
      <w:r w:rsidR="002D7D06" w:rsidRPr="005C3EC8">
        <w:rPr>
          <w:rFonts w:ascii="Calibri" w:hAnsi="Calibri"/>
          <w:bCs/>
        </w:rPr>
        <w:t xml:space="preserve"> </w:t>
      </w:r>
      <w:r w:rsidR="00B50A26" w:rsidRPr="005C3EC8">
        <w:rPr>
          <w:rFonts w:ascii="Calibri" w:hAnsi="Calibri"/>
          <w:bCs/>
        </w:rPr>
        <w:t xml:space="preserve"> </w:t>
      </w:r>
      <w:r w:rsidR="002D7D06" w:rsidRPr="005C3EC8">
        <w:rPr>
          <w:rFonts w:ascii="Calibri" w:hAnsi="Calibri"/>
          <w:bCs/>
        </w:rPr>
        <w:t>The most recent statement of support was issued</w:t>
      </w:r>
      <w:r w:rsidR="00557A4E" w:rsidRPr="005C3EC8">
        <w:rPr>
          <w:rFonts w:ascii="Calibri" w:hAnsi="Calibri"/>
          <w:bCs/>
        </w:rPr>
        <w:t xml:space="preserve"> by Andrew Griffiths MP, UK EITI Champion and a government minister </w:t>
      </w:r>
      <w:r w:rsidR="002D7D06" w:rsidRPr="005C3EC8">
        <w:rPr>
          <w:rFonts w:ascii="Calibri" w:hAnsi="Calibri"/>
          <w:bCs/>
        </w:rPr>
        <w:t>in the foreword of the 2016 EITI Report</w:t>
      </w:r>
      <w:r w:rsidR="00C72968" w:rsidRPr="005C3EC8">
        <w:rPr>
          <w:rFonts w:ascii="Calibri" w:hAnsi="Calibri"/>
          <w:bCs/>
        </w:rPr>
        <w:t>, published in April 2018</w:t>
      </w:r>
      <w:r w:rsidR="002D7D06" w:rsidRPr="005C3EC8">
        <w:rPr>
          <w:rFonts w:ascii="Calibri" w:hAnsi="Calibri"/>
          <w:bCs/>
        </w:rPr>
        <w:t>.</w:t>
      </w:r>
      <w:r w:rsidR="00557A4E" w:rsidRPr="005C3EC8">
        <w:rPr>
          <w:rStyle w:val="FootnoteReference"/>
          <w:rFonts w:ascii="Calibri" w:hAnsi="Calibri"/>
          <w:bCs/>
        </w:rPr>
        <w:footnoteReference w:id="28"/>
      </w:r>
      <w:r w:rsidR="002D7D06" w:rsidRPr="005C3EC8">
        <w:rPr>
          <w:rFonts w:ascii="Calibri" w:hAnsi="Calibri"/>
          <w:bCs/>
        </w:rPr>
        <w:t xml:space="preserve"> </w:t>
      </w:r>
    </w:p>
    <w:p w14:paraId="0506DDF3" w14:textId="258B42A4" w:rsidR="00C72968" w:rsidRPr="005C3EC8" w:rsidRDefault="00C72968" w:rsidP="00E956E1">
      <w:pPr>
        <w:spacing w:before="120"/>
        <w:rPr>
          <w:rFonts w:ascii="Calibri" w:hAnsi="Calibri"/>
          <w:bCs/>
        </w:rPr>
      </w:pPr>
      <w:r w:rsidRPr="005C3EC8">
        <w:rPr>
          <w:rFonts w:ascii="Calibri" w:hAnsi="Calibri"/>
          <w:bCs/>
        </w:rPr>
        <w:t xml:space="preserve">The United Kingdom has participated in the Open Government </w:t>
      </w:r>
      <w:r w:rsidR="009863A5" w:rsidRPr="005C3EC8">
        <w:rPr>
          <w:rFonts w:ascii="Calibri" w:hAnsi="Calibri"/>
          <w:bCs/>
        </w:rPr>
        <w:t>Partnership</w:t>
      </w:r>
      <w:r w:rsidRPr="005C3EC8">
        <w:rPr>
          <w:rFonts w:ascii="Calibri" w:hAnsi="Calibri"/>
          <w:bCs/>
        </w:rPr>
        <w:t xml:space="preserve"> (OGP) since 2011. The UK’s OGP National Action Plan has included points on EITI since the start. The 2013-15 plan included a starred commitment (number 21) to implement the EITI. The 2016-18 </w:t>
      </w:r>
      <w:r w:rsidR="005E74B8" w:rsidRPr="005C3EC8">
        <w:rPr>
          <w:rFonts w:ascii="Calibri" w:hAnsi="Calibri"/>
          <w:bCs/>
        </w:rPr>
        <w:t>action</w:t>
      </w:r>
      <w:r w:rsidR="009863A5" w:rsidRPr="005C3EC8">
        <w:rPr>
          <w:rFonts w:ascii="Calibri" w:hAnsi="Calibri"/>
          <w:bCs/>
        </w:rPr>
        <w:t xml:space="preserve"> included a commitment (number 2) to natural resource transparency. The 2016-18 action plan included a commitment to commence EITI </w:t>
      </w:r>
      <w:r w:rsidR="009863A5" w:rsidRPr="005C3EC8">
        <w:rPr>
          <w:rFonts w:ascii="Calibri" w:hAnsi="Calibri"/>
          <w:bCs/>
        </w:rPr>
        <w:lastRenderedPageBreak/>
        <w:t>Validation and become compliant.</w:t>
      </w:r>
      <w:r w:rsidR="005E74B8" w:rsidRPr="005C3EC8">
        <w:rPr>
          <w:rFonts w:ascii="Calibri" w:hAnsi="Calibri"/>
          <w:bCs/>
        </w:rPr>
        <w:t xml:space="preserve"> </w:t>
      </w:r>
      <w:r w:rsidR="005E74B8" w:rsidRPr="005C3EC8">
        <w:rPr>
          <w:rStyle w:val="FootnoteReference"/>
          <w:rFonts w:ascii="Calibri" w:hAnsi="Calibri"/>
          <w:bCs/>
        </w:rPr>
        <w:footnoteReference w:id="29"/>
      </w:r>
    </w:p>
    <w:p w14:paraId="6302C511" w14:textId="050A4B51" w:rsidR="002B2605" w:rsidRPr="005C3EC8" w:rsidRDefault="002929E0" w:rsidP="00D47C3C">
      <w:pPr>
        <w:spacing w:before="120"/>
        <w:rPr>
          <w:rFonts w:ascii="Calibri" w:hAnsi="Calibri"/>
        </w:rPr>
      </w:pPr>
      <w:r w:rsidRPr="005C3EC8">
        <w:rPr>
          <w:rFonts w:ascii="Calibri" w:hAnsi="Calibri"/>
          <w:i/>
          <w:u w:val="single"/>
        </w:rPr>
        <w:t>Senior lead</w:t>
      </w:r>
      <w:r w:rsidRPr="005C3EC8">
        <w:rPr>
          <w:rFonts w:ascii="Calibri" w:hAnsi="Calibri"/>
          <w:i/>
        </w:rPr>
        <w:t>:</w:t>
      </w:r>
      <w:r w:rsidRPr="005C3EC8">
        <w:rPr>
          <w:rFonts w:ascii="Calibri" w:hAnsi="Calibri"/>
        </w:rPr>
        <w:t xml:space="preserve"> </w:t>
      </w:r>
      <w:r w:rsidR="001830BE" w:rsidRPr="005C3EC8">
        <w:rPr>
          <w:rFonts w:ascii="Calibri" w:hAnsi="Calibri"/>
        </w:rPr>
        <w:t xml:space="preserve">The UK government </w:t>
      </w:r>
      <w:r w:rsidR="00DE42F6" w:rsidRPr="005C3EC8">
        <w:rPr>
          <w:rFonts w:ascii="Calibri" w:hAnsi="Calibri"/>
        </w:rPr>
        <w:t xml:space="preserve">initially </w:t>
      </w:r>
      <w:r w:rsidR="001830BE" w:rsidRPr="005C3EC8">
        <w:rPr>
          <w:rFonts w:ascii="Calibri" w:hAnsi="Calibri"/>
        </w:rPr>
        <w:t xml:space="preserve">appointed Jo </w:t>
      </w:r>
      <w:proofErr w:type="spellStart"/>
      <w:r w:rsidR="001830BE" w:rsidRPr="005C3EC8">
        <w:rPr>
          <w:rFonts w:ascii="Calibri" w:hAnsi="Calibri"/>
        </w:rPr>
        <w:t>Swinson</w:t>
      </w:r>
      <w:proofErr w:type="spellEnd"/>
      <w:r w:rsidR="001830BE" w:rsidRPr="005C3EC8">
        <w:rPr>
          <w:rFonts w:ascii="Calibri" w:hAnsi="Calibri"/>
        </w:rPr>
        <w:t xml:space="preserve"> to be EITI Champion in 2013.</w:t>
      </w:r>
      <w:r w:rsidR="002B2605" w:rsidRPr="005C3EC8">
        <w:rPr>
          <w:rFonts w:ascii="Calibri" w:hAnsi="Calibri"/>
        </w:rPr>
        <w:t xml:space="preserve"> From December 2013</w:t>
      </w:r>
      <w:r w:rsidR="00DC19AD" w:rsidRPr="005C3EC8">
        <w:rPr>
          <w:rFonts w:ascii="Calibri" w:hAnsi="Calibri"/>
        </w:rPr>
        <w:t xml:space="preserve"> – June 2014 the </w:t>
      </w:r>
      <w:r w:rsidR="002B2605" w:rsidRPr="005C3EC8">
        <w:rPr>
          <w:rFonts w:ascii="Calibri" w:hAnsi="Calibri"/>
        </w:rPr>
        <w:t xml:space="preserve">role of EITI Champion was covered by Jenny </w:t>
      </w:r>
      <w:proofErr w:type="spellStart"/>
      <w:r w:rsidR="002B2605" w:rsidRPr="005C3EC8">
        <w:rPr>
          <w:rFonts w:ascii="Calibri" w:hAnsi="Calibri"/>
        </w:rPr>
        <w:t>Willott</w:t>
      </w:r>
      <w:proofErr w:type="spellEnd"/>
      <w:r w:rsidR="002B2605" w:rsidRPr="005C3EC8">
        <w:rPr>
          <w:rFonts w:ascii="Calibri" w:hAnsi="Calibri"/>
        </w:rPr>
        <w:t xml:space="preserve"> MP </w:t>
      </w:r>
      <w:r w:rsidR="00DC19AD" w:rsidRPr="005C3EC8">
        <w:rPr>
          <w:rFonts w:ascii="Calibri" w:hAnsi="Calibri"/>
        </w:rPr>
        <w:t xml:space="preserve">during Ms </w:t>
      </w:r>
      <w:proofErr w:type="spellStart"/>
      <w:r w:rsidR="00DC19AD" w:rsidRPr="005C3EC8">
        <w:rPr>
          <w:rFonts w:ascii="Calibri" w:hAnsi="Calibri"/>
        </w:rPr>
        <w:t>Swinson’s</w:t>
      </w:r>
      <w:proofErr w:type="spellEnd"/>
      <w:r w:rsidR="00DC19AD" w:rsidRPr="005C3EC8">
        <w:rPr>
          <w:rFonts w:ascii="Calibri" w:hAnsi="Calibri"/>
        </w:rPr>
        <w:t xml:space="preserve"> </w:t>
      </w:r>
      <w:r w:rsidR="00DE42F6" w:rsidRPr="005C3EC8">
        <w:rPr>
          <w:rFonts w:ascii="Calibri" w:hAnsi="Calibri"/>
        </w:rPr>
        <w:t xml:space="preserve">parental </w:t>
      </w:r>
      <w:r w:rsidR="00DC19AD" w:rsidRPr="005C3EC8">
        <w:rPr>
          <w:rFonts w:ascii="Calibri" w:hAnsi="Calibri"/>
        </w:rPr>
        <w:t>leave</w:t>
      </w:r>
      <w:r w:rsidR="002B2605" w:rsidRPr="005C3EC8">
        <w:rPr>
          <w:rFonts w:ascii="Calibri" w:hAnsi="Calibri"/>
        </w:rPr>
        <w:t xml:space="preserve">. </w:t>
      </w:r>
      <w:r w:rsidR="004A0ECA" w:rsidRPr="005C3EC8">
        <w:rPr>
          <w:rFonts w:ascii="Calibri" w:hAnsi="Calibri"/>
        </w:rPr>
        <w:t xml:space="preserve">Baroness Neville-Rolfe was appointed as EITI Champion in </w:t>
      </w:r>
      <w:r w:rsidR="00CF5F6E" w:rsidRPr="005C3EC8">
        <w:rPr>
          <w:rFonts w:ascii="Calibri" w:hAnsi="Calibri"/>
        </w:rPr>
        <w:t>January 2016</w:t>
      </w:r>
      <w:r w:rsidR="009572E4" w:rsidRPr="005C3EC8">
        <w:rPr>
          <w:rFonts w:ascii="Calibri" w:hAnsi="Calibri"/>
        </w:rPr>
        <w:t xml:space="preserve">. Andrew Griffiths MP, the Minister for Small Business, Consumers and Corporate Responsibility </w:t>
      </w:r>
      <w:r w:rsidR="00DC19AD" w:rsidRPr="005C3EC8">
        <w:rPr>
          <w:rFonts w:ascii="Calibri" w:hAnsi="Calibri"/>
        </w:rPr>
        <w:t xml:space="preserve">subsequently severed as the </w:t>
      </w:r>
      <w:r w:rsidR="009572E4" w:rsidRPr="005C3EC8">
        <w:rPr>
          <w:rFonts w:ascii="Calibri" w:hAnsi="Calibri"/>
        </w:rPr>
        <w:t xml:space="preserve">UK EITI Champion. </w:t>
      </w:r>
      <w:r w:rsidR="00D47C3C" w:rsidRPr="005C3EC8">
        <w:rPr>
          <w:rFonts w:ascii="Calibri" w:hAnsi="Calibri"/>
        </w:rPr>
        <w:t xml:space="preserve">The </w:t>
      </w:r>
      <w:r w:rsidR="009572E4" w:rsidRPr="005C3EC8">
        <w:rPr>
          <w:rFonts w:ascii="Calibri" w:hAnsi="Calibri"/>
        </w:rPr>
        <w:t>UKEITI government webpage</w:t>
      </w:r>
      <w:r w:rsidR="00D47C3C" w:rsidRPr="005C3EC8">
        <w:rPr>
          <w:rFonts w:ascii="Calibri" w:hAnsi="Calibri"/>
        </w:rPr>
        <w:t xml:space="preserve"> currently lists the Champion position as “vacant”</w:t>
      </w:r>
      <w:r w:rsidR="0049242D" w:rsidRPr="005C3EC8">
        <w:rPr>
          <w:rStyle w:val="FootnoteReference"/>
          <w:rFonts w:ascii="Calibri" w:hAnsi="Calibri"/>
        </w:rPr>
        <w:t xml:space="preserve"> </w:t>
      </w:r>
      <w:r w:rsidR="0049242D" w:rsidRPr="005C3EC8">
        <w:rPr>
          <w:rStyle w:val="FootnoteReference"/>
          <w:rFonts w:ascii="Calibri" w:hAnsi="Calibri"/>
        </w:rPr>
        <w:footnoteReference w:id="30"/>
      </w:r>
      <w:r w:rsidR="00D47C3C" w:rsidRPr="005C3EC8">
        <w:rPr>
          <w:rFonts w:ascii="Calibri" w:hAnsi="Calibri"/>
        </w:rPr>
        <w:t xml:space="preserve">. </w:t>
      </w:r>
    </w:p>
    <w:p w14:paraId="24FFAF51" w14:textId="6E75EB0D" w:rsidR="002B42E3" w:rsidRPr="005C3EC8" w:rsidRDefault="001830BE" w:rsidP="00E956E1">
      <w:pPr>
        <w:spacing w:before="120"/>
        <w:rPr>
          <w:rFonts w:ascii="Calibri" w:hAnsi="Calibri"/>
        </w:rPr>
      </w:pPr>
      <w:r w:rsidRPr="005C3EC8">
        <w:rPr>
          <w:rFonts w:ascii="Calibri" w:hAnsi="Calibri"/>
        </w:rPr>
        <w:t xml:space="preserve">Marie-Anne Mackenzie from BIS (Department for business, innovation and </w:t>
      </w:r>
      <w:r w:rsidR="002B2605" w:rsidRPr="005C3EC8">
        <w:rPr>
          <w:rFonts w:ascii="Calibri" w:hAnsi="Calibri"/>
        </w:rPr>
        <w:t xml:space="preserve">skills) </w:t>
      </w:r>
      <w:r w:rsidR="009572E4" w:rsidRPr="005C3EC8">
        <w:rPr>
          <w:rFonts w:ascii="Calibri" w:hAnsi="Calibri"/>
        </w:rPr>
        <w:t xml:space="preserve">was the </w:t>
      </w:r>
      <w:r w:rsidR="002B2605" w:rsidRPr="005C3EC8">
        <w:rPr>
          <w:rFonts w:ascii="Calibri" w:hAnsi="Calibri"/>
        </w:rPr>
        <w:t>senior civil servant at the Department for Business, Innovation &amp; Skills appointed to support the EITI champion</w:t>
      </w:r>
      <w:r w:rsidR="009572E4" w:rsidRPr="005C3EC8">
        <w:rPr>
          <w:rFonts w:ascii="Calibri" w:hAnsi="Calibri"/>
        </w:rPr>
        <w:t xml:space="preserve"> at the first MSG meeting in October 2013</w:t>
      </w:r>
      <w:r w:rsidR="002B2605" w:rsidRPr="005C3EC8">
        <w:rPr>
          <w:rFonts w:ascii="Calibri" w:hAnsi="Calibri"/>
        </w:rPr>
        <w:t>.</w:t>
      </w:r>
      <w:r w:rsidR="00464143" w:rsidRPr="005C3EC8">
        <w:rPr>
          <w:rStyle w:val="FootnoteReference"/>
          <w:rFonts w:ascii="Calibri" w:hAnsi="Calibri"/>
        </w:rPr>
        <w:footnoteReference w:id="31"/>
      </w:r>
      <w:r w:rsidR="009572E4" w:rsidRPr="005C3EC8">
        <w:rPr>
          <w:rFonts w:ascii="Calibri" w:hAnsi="Calibri"/>
        </w:rPr>
        <w:t xml:space="preserve"> Since then, t</w:t>
      </w:r>
      <w:r w:rsidR="002B2605" w:rsidRPr="005C3EC8">
        <w:rPr>
          <w:rFonts w:ascii="Calibri" w:hAnsi="Calibri"/>
        </w:rPr>
        <w:t>he UK Secretariat that supports the MSG</w:t>
      </w:r>
      <w:r w:rsidR="009572E4" w:rsidRPr="005C3EC8">
        <w:rPr>
          <w:rFonts w:ascii="Calibri" w:hAnsi="Calibri"/>
        </w:rPr>
        <w:t xml:space="preserve"> has</w:t>
      </w:r>
      <w:r w:rsidR="002B2605" w:rsidRPr="005C3EC8">
        <w:rPr>
          <w:rFonts w:ascii="Calibri" w:hAnsi="Calibri"/>
        </w:rPr>
        <w:t xml:space="preserve"> consist</w:t>
      </w:r>
      <w:r w:rsidR="009572E4" w:rsidRPr="005C3EC8">
        <w:rPr>
          <w:rFonts w:ascii="Calibri" w:hAnsi="Calibri"/>
        </w:rPr>
        <w:t>ed</w:t>
      </w:r>
      <w:r w:rsidR="002B2605" w:rsidRPr="005C3EC8">
        <w:rPr>
          <w:rFonts w:ascii="Calibri" w:hAnsi="Calibri"/>
        </w:rPr>
        <w:t xml:space="preserve"> of two</w:t>
      </w:r>
      <w:r w:rsidR="0086159A" w:rsidRPr="005C3EC8">
        <w:rPr>
          <w:rFonts w:ascii="Calibri" w:hAnsi="Calibri"/>
        </w:rPr>
        <w:t xml:space="preserve"> to three</w:t>
      </w:r>
      <w:r w:rsidR="002B2605" w:rsidRPr="005C3EC8">
        <w:rPr>
          <w:rFonts w:ascii="Calibri" w:hAnsi="Calibri"/>
        </w:rPr>
        <w:t xml:space="preserve"> officials who coordinate UK EITI across other government departments and the devolved administrations. </w:t>
      </w:r>
      <w:r w:rsidR="009572E4" w:rsidRPr="005C3EC8">
        <w:rPr>
          <w:rFonts w:ascii="Calibri" w:hAnsi="Calibri"/>
        </w:rPr>
        <w:t xml:space="preserve">Chris </w:t>
      </w:r>
      <w:proofErr w:type="spellStart"/>
      <w:r w:rsidR="009572E4" w:rsidRPr="005C3EC8">
        <w:rPr>
          <w:rFonts w:ascii="Calibri" w:hAnsi="Calibri"/>
        </w:rPr>
        <w:t>Carr</w:t>
      </w:r>
      <w:proofErr w:type="spellEnd"/>
      <w:r w:rsidR="009572E4" w:rsidRPr="005C3EC8">
        <w:rPr>
          <w:rFonts w:ascii="Calibri" w:hAnsi="Calibri"/>
        </w:rPr>
        <w:t xml:space="preserve"> was appointed as Chair of the MSG in September 2016. Matthew Ray from BEIS (Business, Energy and Industrial Strategy)</w:t>
      </w:r>
      <w:r w:rsidR="00684F19" w:rsidRPr="005C3EC8">
        <w:rPr>
          <w:rFonts w:ascii="Calibri" w:hAnsi="Calibri"/>
        </w:rPr>
        <w:t xml:space="preserve"> replaced Chris </w:t>
      </w:r>
      <w:proofErr w:type="spellStart"/>
      <w:r w:rsidR="00684F19" w:rsidRPr="005C3EC8">
        <w:rPr>
          <w:rFonts w:ascii="Calibri" w:hAnsi="Calibri"/>
        </w:rPr>
        <w:t>Carr</w:t>
      </w:r>
      <w:proofErr w:type="spellEnd"/>
      <w:r w:rsidR="00684F19" w:rsidRPr="005C3EC8">
        <w:rPr>
          <w:rFonts w:ascii="Calibri" w:hAnsi="Calibri"/>
        </w:rPr>
        <w:t xml:space="preserve"> in </w:t>
      </w:r>
      <w:r w:rsidR="0092465C" w:rsidRPr="005C3EC8">
        <w:rPr>
          <w:rFonts w:ascii="Calibri" w:hAnsi="Calibri"/>
        </w:rPr>
        <w:t>September</w:t>
      </w:r>
      <w:r w:rsidR="006D1DD9" w:rsidRPr="005C3EC8">
        <w:rPr>
          <w:rFonts w:ascii="Calibri" w:hAnsi="Calibri"/>
        </w:rPr>
        <w:t xml:space="preserve"> 2017 and</w:t>
      </w:r>
      <w:r w:rsidR="009572E4" w:rsidRPr="005C3EC8">
        <w:rPr>
          <w:rFonts w:ascii="Calibri" w:hAnsi="Calibri"/>
        </w:rPr>
        <w:t xml:space="preserve"> is the current Chair of the MSG.</w:t>
      </w:r>
    </w:p>
    <w:p w14:paraId="3EFDD521" w14:textId="4AF07F94" w:rsidR="00D47C3C" w:rsidRPr="005C3EC8" w:rsidRDefault="002929E0" w:rsidP="00591FF5">
      <w:pPr>
        <w:spacing w:before="120"/>
        <w:rPr>
          <w:rFonts w:ascii="Calibri" w:hAnsi="Calibri"/>
        </w:rPr>
      </w:pPr>
      <w:r w:rsidRPr="005C3EC8">
        <w:rPr>
          <w:rFonts w:ascii="Calibri" w:hAnsi="Calibri"/>
          <w:i/>
          <w:u w:val="single"/>
        </w:rPr>
        <w:t>Active engagement</w:t>
      </w:r>
      <w:r w:rsidRPr="005C3EC8">
        <w:rPr>
          <w:rFonts w:ascii="Calibri" w:hAnsi="Calibri"/>
          <w:i/>
        </w:rPr>
        <w:t>:</w:t>
      </w:r>
      <w:r w:rsidR="006E13F5">
        <w:rPr>
          <w:rFonts w:ascii="Calibri" w:hAnsi="Calibri"/>
        </w:rPr>
        <w:t xml:space="preserve"> </w:t>
      </w:r>
      <w:r w:rsidR="003D24AC" w:rsidRPr="005C3EC8">
        <w:rPr>
          <w:rFonts w:ascii="Calibri" w:hAnsi="Calibri"/>
        </w:rPr>
        <w:t>In addition to the Chair, t</w:t>
      </w:r>
      <w:r w:rsidR="00D47C3C" w:rsidRPr="005C3EC8">
        <w:rPr>
          <w:rFonts w:ascii="Calibri" w:hAnsi="Calibri"/>
        </w:rPr>
        <w:t xml:space="preserve">he government is represented </w:t>
      </w:r>
      <w:r w:rsidR="003D24AC" w:rsidRPr="005C3EC8">
        <w:rPr>
          <w:rFonts w:ascii="Calibri" w:hAnsi="Calibri"/>
        </w:rPr>
        <w:t xml:space="preserve">on the MSG </w:t>
      </w:r>
      <w:r w:rsidR="00D47C3C" w:rsidRPr="005C3EC8">
        <w:rPr>
          <w:rFonts w:ascii="Calibri" w:hAnsi="Calibri"/>
        </w:rPr>
        <w:t xml:space="preserve">by four members: Martyn Rounding from HM Revenue and Customs (HMRC), Mike Earp from the Oil &amp; Gas Authority (OGA), Joe </w:t>
      </w:r>
      <w:proofErr w:type="spellStart"/>
      <w:r w:rsidR="00D47C3C" w:rsidRPr="005C3EC8">
        <w:rPr>
          <w:rFonts w:ascii="Calibri" w:hAnsi="Calibri"/>
        </w:rPr>
        <w:t>Perman</w:t>
      </w:r>
      <w:proofErr w:type="spellEnd"/>
      <w:r w:rsidR="00D47C3C" w:rsidRPr="005C3EC8">
        <w:rPr>
          <w:rFonts w:ascii="Calibri" w:hAnsi="Calibri"/>
        </w:rPr>
        <w:t xml:space="preserve"> from the Scottish government and Jeff Asser from BEIS. There are also four alternate members: Rhona Birchall representing the Department for International Development (</w:t>
      </w:r>
      <w:proofErr w:type="spellStart"/>
      <w:r w:rsidR="00D47C3C" w:rsidRPr="005C3EC8">
        <w:rPr>
          <w:rFonts w:ascii="Calibri" w:hAnsi="Calibri"/>
        </w:rPr>
        <w:t>DfID</w:t>
      </w:r>
      <w:proofErr w:type="spellEnd"/>
      <w:r w:rsidR="00D47C3C" w:rsidRPr="005C3EC8">
        <w:rPr>
          <w:rFonts w:ascii="Calibri" w:hAnsi="Calibri"/>
        </w:rPr>
        <w:t xml:space="preserve">), Thomas Thornton-Kemsley from HM Treasury (HMT), James Marshall from HM Revenue and Customs (HMRC) and Martin Quinn from the Department for the Economy in Northern Ireland. This membership is well aligned with the government entities that are required to disclose information in accordance with the agreed scope of implementation. </w:t>
      </w:r>
      <w:r w:rsidR="00591FF5" w:rsidRPr="005C3EC8">
        <w:rPr>
          <w:rFonts w:ascii="Calibri" w:hAnsi="Calibri"/>
        </w:rPr>
        <w:t>The comments from stakeholders and a</w:t>
      </w:r>
      <w:r w:rsidR="00D47C3C" w:rsidRPr="005C3EC8">
        <w:rPr>
          <w:rFonts w:ascii="Calibri" w:hAnsi="Calibri"/>
        </w:rPr>
        <w:t xml:space="preserve"> review of the attendance as documented in MSG minutes </w:t>
      </w:r>
      <w:r w:rsidR="00591FF5" w:rsidRPr="005C3EC8">
        <w:rPr>
          <w:rFonts w:ascii="Calibri" w:hAnsi="Calibri"/>
        </w:rPr>
        <w:t xml:space="preserve">highlighted </w:t>
      </w:r>
      <w:r w:rsidR="00D47C3C" w:rsidRPr="005C3EC8">
        <w:rPr>
          <w:rFonts w:ascii="Calibri" w:hAnsi="Calibri"/>
        </w:rPr>
        <w:t xml:space="preserve">consistently strong participation from government </w:t>
      </w:r>
      <w:r w:rsidR="00591FF5" w:rsidRPr="005C3EC8">
        <w:rPr>
          <w:rFonts w:ascii="Calibri" w:hAnsi="Calibri"/>
        </w:rPr>
        <w:t>representatives</w:t>
      </w:r>
      <w:r w:rsidR="00D47C3C" w:rsidRPr="005C3EC8">
        <w:rPr>
          <w:rFonts w:ascii="Calibri" w:hAnsi="Calibri"/>
        </w:rPr>
        <w:t>.</w:t>
      </w:r>
    </w:p>
    <w:p w14:paraId="19023C6B" w14:textId="312501D3" w:rsidR="00CC4A99" w:rsidRPr="005C3EC8" w:rsidRDefault="002929E0">
      <w:pPr>
        <w:pStyle w:val="Heading3"/>
      </w:pPr>
      <w:r w:rsidRPr="005C3EC8">
        <w:t>Stakeh</w:t>
      </w:r>
      <w:bookmarkStart w:id="82" w:name="governmentstakeholderviews"/>
      <w:bookmarkEnd w:id="82"/>
      <w:r w:rsidRPr="005C3EC8">
        <w:t>older views</w:t>
      </w:r>
    </w:p>
    <w:p w14:paraId="4B3E8962" w14:textId="54C36991" w:rsidR="007F526A" w:rsidRPr="005C3EC8" w:rsidRDefault="00D47C3C" w:rsidP="00DE42F6">
      <w:pPr>
        <w:spacing w:before="120"/>
        <w:rPr>
          <w:rFonts w:ascii="Calibri" w:hAnsi="Calibri"/>
        </w:rPr>
      </w:pPr>
      <w:r w:rsidRPr="005C3EC8">
        <w:rPr>
          <w:rFonts w:ascii="Calibri" w:hAnsi="Calibri"/>
        </w:rPr>
        <w:t>Stakeholder</w:t>
      </w:r>
      <w:r w:rsidR="00591FF5" w:rsidRPr="005C3EC8">
        <w:rPr>
          <w:rFonts w:ascii="Calibri" w:hAnsi="Calibri"/>
        </w:rPr>
        <w:t>s</w:t>
      </w:r>
      <w:r w:rsidRPr="005C3EC8">
        <w:rPr>
          <w:rFonts w:ascii="Calibri" w:hAnsi="Calibri"/>
        </w:rPr>
        <w:t xml:space="preserve"> noted the government’s strong support for the EITI process. </w:t>
      </w:r>
      <w:r w:rsidR="00591FF5" w:rsidRPr="005C3EC8">
        <w:rPr>
          <w:rFonts w:ascii="Calibri" w:hAnsi="Calibri"/>
        </w:rPr>
        <w:t xml:space="preserve">The government had ensured that the MSG was well supported and that EITI implementation was </w:t>
      </w:r>
      <w:r w:rsidR="00DE42F6" w:rsidRPr="005C3EC8">
        <w:rPr>
          <w:rFonts w:ascii="Calibri" w:hAnsi="Calibri"/>
        </w:rPr>
        <w:t>sufficiently</w:t>
      </w:r>
      <w:r w:rsidR="00591FF5" w:rsidRPr="005C3EC8">
        <w:rPr>
          <w:rFonts w:ascii="Calibri" w:hAnsi="Calibri"/>
        </w:rPr>
        <w:t xml:space="preserve"> funded. Industry and civil society representatives spoke positively about the government’s chairing of and participation in the multi-stakeholder group. </w:t>
      </w:r>
      <w:r w:rsidRPr="005C3EC8">
        <w:rPr>
          <w:rFonts w:ascii="Calibri" w:hAnsi="Calibri"/>
        </w:rPr>
        <w:t xml:space="preserve">Implementation of the EITI had raised a number of challenging technical questions regarding </w:t>
      </w:r>
      <w:r w:rsidR="00B20088" w:rsidRPr="005C3EC8">
        <w:rPr>
          <w:rFonts w:ascii="Calibri" w:hAnsi="Calibri"/>
        </w:rPr>
        <w:t xml:space="preserve">the </w:t>
      </w:r>
      <w:r w:rsidRPr="005C3EC8">
        <w:rPr>
          <w:rFonts w:ascii="Calibri" w:hAnsi="Calibri"/>
        </w:rPr>
        <w:t>scope</w:t>
      </w:r>
      <w:r w:rsidR="00B20088" w:rsidRPr="005C3EC8">
        <w:rPr>
          <w:rFonts w:ascii="Calibri" w:hAnsi="Calibri"/>
        </w:rPr>
        <w:t>,</w:t>
      </w:r>
      <w:r w:rsidRPr="005C3EC8">
        <w:rPr>
          <w:rFonts w:ascii="Calibri" w:hAnsi="Calibri"/>
        </w:rPr>
        <w:t xml:space="preserve"> materiality</w:t>
      </w:r>
      <w:r w:rsidR="00B20088" w:rsidRPr="005C3EC8">
        <w:rPr>
          <w:rFonts w:ascii="Calibri" w:hAnsi="Calibri"/>
        </w:rPr>
        <w:t xml:space="preserve"> and reconciliation of payments in the mining, oil and gas industries. S</w:t>
      </w:r>
      <w:r w:rsidRPr="005C3EC8">
        <w:rPr>
          <w:rFonts w:ascii="Calibri" w:hAnsi="Calibri"/>
        </w:rPr>
        <w:t xml:space="preserve">takeholders welcomed that government representatives had played an active role in </w:t>
      </w:r>
      <w:r w:rsidR="00B20088" w:rsidRPr="005C3EC8">
        <w:rPr>
          <w:rFonts w:ascii="Calibri" w:hAnsi="Calibri"/>
        </w:rPr>
        <w:t xml:space="preserve">reviewing </w:t>
      </w:r>
      <w:r w:rsidRPr="005C3EC8">
        <w:rPr>
          <w:rFonts w:ascii="Calibri" w:hAnsi="Calibri"/>
        </w:rPr>
        <w:t>the legislative</w:t>
      </w:r>
      <w:r w:rsidR="00B20088" w:rsidRPr="005C3EC8">
        <w:rPr>
          <w:rFonts w:ascii="Calibri" w:hAnsi="Calibri"/>
        </w:rPr>
        <w:t xml:space="preserve">, </w:t>
      </w:r>
      <w:r w:rsidRPr="005C3EC8">
        <w:rPr>
          <w:rFonts w:ascii="Calibri" w:hAnsi="Calibri"/>
        </w:rPr>
        <w:t>regulator</w:t>
      </w:r>
      <w:r w:rsidR="00B20088" w:rsidRPr="005C3EC8">
        <w:rPr>
          <w:rFonts w:ascii="Calibri" w:hAnsi="Calibri"/>
        </w:rPr>
        <w:t>y and administrative</w:t>
      </w:r>
      <w:r w:rsidRPr="005C3EC8">
        <w:rPr>
          <w:rFonts w:ascii="Calibri" w:hAnsi="Calibri"/>
        </w:rPr>
        <w:t xml:space="preserve"> arrangements, </w:t>
      </w:r>
      <w:r w:rsidR="00B20088" w:rsidRPr="005C3EC8">
        <w:rPr>
          <w:rFonts w:ascii="Calibri" w:hAnsi="Calibri"/>
        </w:rPr>
        <w:t xml:space="preserve">the existing data collection and disclosure mechanisms, </w:t>
      </w:r>
      <w:r w:rsidRPr="005C3EC8">
        <w:rPr>
          <w:rFonts w:ascii="Calibri" w:hAnsi="Calibri"/>
        </w:rPr>
        <w:t xml:space="preserve">and </w:t>
      </w:r>
      <w:r w:rsidR="00B20088" w:rsidRPr="005C3EC8">
        <w:rPr>
          <w:rFonts w:ascii="Calibri" w:hAnsi="Calibri"/>
        </w:rPr>
        <w:t xml:space="preserve">the development of </w:t>
      </w:r>
      <w:r w:rsidRPr="005C3EC8">
        <w:rPr>
          <w:rFonts w:ascii="Calibri" w:hAnsi="Calibri"/>
        </w:rPr>
        <w:t xml:space="preserve">a pragmatic approach to EITI implementation and reporting. </w:t>
      </w:r>
      <w:r w:rsidR="007F526A" w:rsidRPr="005C3EC8">
        <w:rPr>
          <w:rFonts w:ascii="Calibri" w:hAnsi="Calibri"/>
        </w:rPr>
        <w:t xml:space="preserve">Stakeholders also noted that the government had worked to address challenges around ring-fencing extractive payments, currencies, and accounting periods, and limitations to government disclosures due </w:t>
      </w:r>
      <w:r w:rsidR="007F526A" w:rsidRPr="005C3EC8">
        <w:rPr>
          <w:rFonts w:ascii="Calibri" w:hAnsi="Calibri"/>
        </w:rPr>
        <w:lastRenderedPageBreak/>
        <w:t xml:space="preserve">to tax confidentiality. </w:t>
      </w:r>
    </w:p>
    <w:p w14:paraId="30E85FDE" w14:textId="39D2D796" w:rsidR="000B7C60" w:rsidRPr="005C3EC8" w:rsidRDefault="00591FF5" w:rsidP="000B7C60">
      <w:pPr>
        <w:spacing w:before="120"/>
        <w:rPr>
          <w:rFonts w:ascii="Calibri" w:hAnsi="Calibri"/>
        </w:rPr>
      </w:pPr>
      <w:r w:rsidRPr="005C3EC8">
        <w:rPr>
          <w:rFonts w:ascii="Calibri" w:hAnsi="Calibri"/>
        </w:rPr>
        <w:t xml:space="preserve">Two areas of concern were highlighted. First, several stakeholders commented on </w:t>
      </w:r>
      <w:r w:rsidR="00B20088" w:rsidRPr="005C3EC8">
        <w:rPr>
          <w:rFonts w:ascii="Calibri" w:hAnsi="Calibri"/>
        </w:rPr>
        <w:t>the government’s</w:t>
      </w:r>
      <w:r w:rsidR="00DE42F6" w:rsidRPr="005C3EC8">
        <w:rPr>
          <w:rFonts w:ascii="Calibri" w:hAnsi="Calibri"/>
        </w:rPr>
        <w:t xml:space="preserve"> handling of </w:t>
      </w:r>
      <w:r w:rsidRPr="005C3EC8">
        <w:rPr>
          <w:rFonts w:ascii="Calibri" w:hAnsi="Calibri"/>
        </w:rPr>
        <w:t xml:space="preserve">challenges relating to </w:t>
      </w:r>
      <w:r w:rsidR="00B20088" w:rsidRPr="005C3EC8">
        <w:rPr>
          <w:rFonts w:ascii="Calibri" w:hAnsi="Calibri"/>
        </w:rPr>
        <w:t xml:space="preserve">the representation of civil society </w:t>
      </w:r>
      <w:r w:rsidR="0049242D" w:rsidRPr="005C3EC8">
        <w:rPr>
          <w:rFonts w:ascii="Calibri" w:hAnsi="Calibri"/>
        </w:rPr>
        <w:t xml:space="preserve">organisations </w:t>
      </w:r>
      <w:r w:rsidR="00B20088" w:rsidRPr="005C3EC8">
        <w:rPr>
          <w:rFonts w:ascii="Calibri" w:hAnsi="Calibri"/>
        </w:rPr>
        <w:t>on the MSG (</w:t>
      </w:r>
      <w:r w:rsidR="00DE42F6" w:rsidRPr="005C3EC8">
        <w:rPr>
          <w:rFonts w:ascii="Calibri" w:hAnsi="Calibri"/>
        </w:rPr>
        <w:t xml:space="preserve">see </w:t>
      </w:r>
      <w:r w:rsidR="00B20088" w:rsidRPr="005C3EC8">
        <w:rPr>
          <w:rFonts w:ascii="Calibri" w:hAnsi="Calibri"/>
        </w:rPr>
        <w:t>requirement 1.4</w:t>
      </w:r>
      <w:r w:rsidR="00DE42F6" w:rsidRPr="005C3EC8">
        <w:rPr>
          <w:rFonts w:ascii="Calibri" w:hAnsi="Calibri"/>
        </w:rPr>
        <w:t>, below</w:t>
      </w:r>
      <w:r w:rsidR="00B20088" w:rsidRPr="005C3EC8">
        <w:rPr>
          <w:rFonts w:ascii="Calibri" w:hAnsi="Calibri"/>
        </w:rPr>
        <w:t xml:space="preserve">). While some stakeholders argued that government had been too </w:t>
      </w:r>
      <w:r w:rsidRPr="005C3EC8">
        <w:rPr>
          <w:rFonts w:ascii="Calibri" w:hAnsi="Calibri"/>
        </w:rPr>
        <w:t>a</w:t>
      </w:r>
      <w:r w:rsidR="007F526A" w:rsidRPr="005C3EC8">
        <w:rPr>
          <w:rFonts w:ascii="Calibri" w:hAnsi="Calibri"/>
        </w:rPr>
        <w:t xml:space="preserve">ggressive </w:t>
      </w:r>
      <w:r w:rsidR="00B20088" w:rsidRPr="005C3EC8">
        <w:rPr>
          <w:rFonts w:ascii="Calibri" w:hAnsi="Calibri"/>
        </w:rPr>
        <w:t xml:space="preserve">in addressing </w:t>
      </w:r>
      <w:r w:rsidR="0049242D" w:rsidRPr="005C3EC8">
        <w:rPr>
          <w:rFonts w:ascii="Calibri" w:hAnsi="Calibri"/>
        </w:rPr>
        <w:t xml:space="preserve">these </w:t>
      </w:r>
      <w:r w:rsidR="00B20088" w:rsidRPr="005C3EC8">
        <w:rPr>
          <w:rFonts w:ascii="Calibri" w:hAnsi="Calibri"/>
        </w:rPr>
        <w:t>challenges</w:t>
      </w:r>
      <w:r w:rsidR="000B7C60" w:rsidRPr="005C3EC8">
        <w:rPr>
          <w:rFonts w:ascii="Calibri" w:hAnsi="Calibri"/>
        </w:rPr>
        <w:t xml:space="preserve"> </w:t>
      </w:r>
      <w:r w:rsidR="0049242D" w:rsidRPr="005C3EC8">
        <w:rPr>
          <w:rFonts w:ascii="Calibri" w:hAnsi="Calibri"/>
        </w:rPr>
        <w:t xml:space="preserve">(i.e., interfering in matters that were the responsibility of the </w:t>
      </w:r>
      <w:r w:rsidR="000B7C60" w:rsidRPr="005C3EC8">
        <w:rPr>
          <w:rFonts w:ascii="Calibri" w:hAnsi="Calibri"/>
        </w:rPr>
        <w:t>civil society constituency</w:t>
      </w:r>
      <w:r w:rsidR="0049242D" w:rsidRPr="005C3EC8">
        <w:rPr>
          <w:rFonts w:ascii="Calibri" w:hAnsi="Calibri"/>
        </w:rPr>
        <w:t>)</w:t>
      </w:r>
      <w:r w:rsidR="007F526A" w:rsidRPr="005C3EC8">
        <w:rPr>
          <w:rStyle w:val="FootnoteReference"/>
          <w:rFonts w:ascii="Calibri" w:hAnsi="Calibri"/>
        </w:rPr>
        <w:footnoteReference w:id="32"/>
      </w:r>
      <w:r w:rsidR="00B20088" w:rsidRPr="005C3EC8">
        <w:rPr>
          <w:rFonts w:ascii="Calibri" w:hAnsi="Calibri"/>
        </w:rPr>
        <w:t xml:space="preserve">, others countered that the government </w:t>
      </w:r>
      <w:r w:rsidRPr="005C3EC8">
        <w:rPr>
          <w:rFonts w:ascii="Calibri" w:hAnsi="Calibri"/>
        </w:rPr>
        <w:t xml:space="preserve">had been too passive, and </w:t>
      </w:r>
      <w:r w:rsidR="000B7C60" w:rsidRPr="005C3EC8">
        <w:rPr>
          <w:rFonts w:ascii="Calibri" w:hAnsi="Calibri"/>
        </w:rPr>
        <w:t xml:space="preserve">should have played a </w:t>
      </w:r>
      <w:r w:rsidR="00093806" w:rsidRPr="005C3EC8">
        <w:rPr>
          <w:rFonts w:ascii="Calibri" w:hAnsi="Calibri"/>
        </w:rPr>
        <w:t xml:space="preserve">stronger </w:t>
      </w:r>
      <w:r w:rsidR="000B7C60" w:rsidRPr="005C3EC8">
        <w:rPr>
          <w:rFonts w:ascii="Calibri" w:hAnsi="Calibri"/>
        </w:rPr>
        <w:t xml:space="preserve">role in seeking </w:t>
      </w:r>
      <w:r w:rsidR="0049242D" w:rsidRPr="005C3EC8">
        <w:rPr>
          <w:rFonts w:ascii="Calibri" w:hAnsi="Calibri"/>
        </w:rPr>
        <w:t xml:space="preserve">to </w:t>
      </w:r>
      <w:r w:rsidR="000B7C60" w:rsidRPr="005C3EC8">
        <w:rPr>
          <w:rFonts w:ascii="Calibri" w:hAnsi="Calibri"/>
        </w:rPr>
        <w:t xml:space="preserve">facilitate a compromise that would not delay </w:t>
      </w:r>
      <w:r w:rsidR="0049242D" w:rsidRPr="005C3EC8">
        <w:rPr>
          <w:rFonts w:ascii="Calibri" w:hAnsi="Calibri"/>
        </w:rPr>
        <w:t xml:space="preserve">or undermine </w:t>
      </w:r>
      <w:r w:rsidR="000B7C60" w:rsidRPr="005C3EC8">
        <w:rPr>
          <w:rFonts w:ascii="Calibri" w:hAnsi="Calibri"/>
        </w:rPr>
        <w:t xml:space="preserve">EITI implementation. </w:t>
      </w:r>
      <w:r w:rsidR="007F526A" w:rsidRPr="005C3EC8">
        <w:rPr>
          <w:rFonts w:ascii="Calibri" w:hAnsi="Calibri"/>
        </w:rPr>
        <w:t xml:space="preserve">These concerns are addressed in greater detail in sections 1.3 and 1.4, below. </w:t>
      </w:r>
    </w:p>
    <w:p w14:paraId="715C8DCE" w14:textId="2C561BDB" w:rsidR="000B7C60" w:rsidRPr="005C3EC8" w:rsidRDefault="007F526A" w:rsidP="00280125">
      <w:pPr>
        <w:spacing w:before="120"/>
        <w:rPr>
          <w:rFonts w:ascii="Calibri" w:hAnsi="Calibri"/>
        </w:rPr>
      </w:pPr>
      <w:r w:rsidRPr="005C3EC8">
        <w:rPr>
          <w:rFonts w:ascii="Calibri" w:hAnsi="Calibri"/>
        </w:rPr>
        <w:t>Second</w:t>
      </w:r>
      <w:r w:rsidR="00591FF5" w:rsidRPr="005C3EC8">
        <w:rPr>
          <w:rFonts w:ascii="Calibri" w:hAnsi="Calibri"/>
        </w:rPr>
        <w:t>, s</w:t>
      </w:r>
      <w:r w:rsidR="000B7C60" w:rsidRPr="005C3EC8">
        <w:rPr>
          <w:rFonts w:ascii="Calibri" w:hAnsi="Calibri"/>
        </w:rPr>
        <w:t xml:space="preserve">everal stakeholders noted that public interest in the EITI was limited, and that </w:t>
      </w:r>
      <w:r w:rsidR="00280125" w:rsidRPr="005C3EC8">
        <w:rPr>
          <w:rFonts w:ascii="Calibri" w:hAnsi="Calibri"/>
        </w:rPr>
        <w:t xml:space="preserve">there were opportunities for the </w:t>
      </w:r>
      <w:r w:rsidR="000B7C60" w:rsidRPr="005C3EC8">
        <w:rPr>
          <w:rFonts w:ascii="Calibri" w:hAnsi="Calibri"/>
        </w:rPr>
        <w:t xml:space="preserve">government </w:t>
      </w:r>
      <w:r w:rsidR="00280125" w:rsidRPr="005C3EC8">
        <w:rPr>
          <w:rFonts w:ascii="Calibri" w:hAnsi="Calibri"/>
        </w:rPr>
        <w:t xml:space="preserve">to </w:t>
      </w:r>
      <w:r w:rsidR="00850B49" w:rsidRPr="005C3EC8">
        <w:rPr>
          <w:rFonts w:ascii="Calibri" w:hAnsi="Calibri"/>
        </w:rPr>
        <w:t>increase the relevance o</w:t>
      </w:r>
      <w:r w:rsidR="00093806" w:rsidRPr="005C3EC8">
        <w:rPr>
          <w:rFonts w:ascii="Calibri" w:hAnsi="Calibri"/>
        </w:rPr>
        <w:t>f</w:t>
      </w:r>
      <w:r w:rsidR="00850B49" w:rsidRPr="005C3EC8">
        <w:rPr>
          <w:rFonts w:ascii="Calibri" w:hAnsi="Calibri"/>
        </w:rPr>
        <w:t xml:space="preserve"> the EITI to national debates and to provide </w:t>
      </w:r>
      <w:r w:rsidR="000B7C60" w:rsidRPr="005C3EC8">
        <w:rPr>
          <w:rFonts w:ascii="Calibri" w:hAnsi="Calibri"/>
        </w:rPr>
        <w:t>further leadership</w:t>
      </w:r>
      <w:r w:rsidR="00280125" w:rsidRPr="005C3EC8">
        <w:rPr>
          <w:rFonts w:ascii="Calibri" w:hAnsi="Calibri"/>
        </w:rPr>
        <w:t xml:space="preserve"> in the EITI internationally</w:t>
      </w:r>
      <w:r w:rsidR="000B7C60" w:rsidRPr="005C3EC8">
        <w:rPr>
          <w:rFonts w:ascii="Calibri" w:hAnsi="Calibri"/>
        </w:rPr>
        <w:t xml:space="preserve">. </w:t>
      </w:r>
      <w:r w:rsidR="00280125" w:rsidRPr="005C3EC8">
        <w:rPr>
          <w:rFonts w:ascii="Calibri" w:hAnsi="Calibri"/>
        </w:rPr>
        <w:t xml:space="preserve">The UK’s work on beneficial ownership disclosure was highlighted by several stakeholders as an example of how the UK was setting an example for other EITI implementing countries. Stakeholders </w:t>
      </w:r>
      <w:r w:rsidR="00850B49" w:rsidRPr="005C3EC8">
        <w:rPr>
          <w:rFonts w:ascii="Calibri" w:hAnsi="Calibri"/>
        </w:rPr>
        <w:t xml:space="preserve">highlighted several </w:t>
      </w:r>
      <w:r w:rsidR="00280125" w:rsidRPr="005C3EC8">
        <w:rPr>
          <w:rFonts w:ascii="Calibri" w:hAnsi="Calibri"/>
        </w:rPr>
        <w:t>opportunities to link the EITI more closely to national debates</w:t>
      </w:r>
      <w:r w:rsidR="00850B49" w:rsidRPr="005C3EC8">
        <w:rPr>
          <w:rFonts w:ascii="Calibri" w:hAnsi="Calibri"/>
        </w:rPr>
        <w:t xml:space="preserve">, including </w:t>
      </w:r>
      <w:r w:rsidR="000B7C60" w:rsidRPr="005C3EC8">
        <w:rPr>
          <w:rFonts w:ascii="Calibri" w:hAnsi="Calibri"/>
        </w:rPr>
        <w:t>draw</w:t>
      </w:r>
      <w:r w:rsidR="00850B49" w:rsidRPr="005C3EC8">
        <w:rPr>
          <w:rFonts w:ascii="Calibri" w:hAnsi="Calibri"/>
        </w:rPr>
        <w:t>ing</w:t>
      </w:r>
      <w:r w:rsidR="000B7C60" w:rsidRPr="005C3EC8">
        <w:rPr>
          <w:rFonts w:ascii="Calibri" w:hAnsi="Calibri"/>
        </w:rPr>
        <w:t xml:space="preserve"> on EITI data to information discussions about the fiscal consequences </w:t>
      </w:r>
      <w:r w:rsidR="00280125" w:rsidRPr="005C3EC8">
        <w:rPr>
          <w:rFonts w:ascii="Calibri" w:hAnsi="Calibri"/>
        </w:rPr>
        <w:t xml:space="preserve">of </w:t>
      </w:r>
      <w:r w:rsidR="000B7C60" w:rsidRPr="005C3EC8">
        <w:rPr>
          <w:rFonts w:ascii="Calibri" w:hAnsi="Calibri"/>
        </w:rPr>
        <w:t xml:space="preserve">devolution, the </w:t>
      </w:r>
      <w:r w:rsidR="00280125" w:rsidRPr="005C3EC8">
        <w:rPr>
          <w:rFonts w:ascii="Calibri" w:hAnsi="Calibri"/>
        </w:rPr>
        <w:t xml:space="preserve">costs and </w:t>
      </w:r>
      <w:r w:rsidR="000B7C60" w:rsidRPr="005C3EC8">
        <w:rPr>
          <w:rFonts w:ascii="Calibri" w:hAnsi="Calibri"/>
        </w:rPr>
        <w:t>financial implications of decommissioning</w:t>
      </w:r>
      <w:r w:rsidR="00280125" w:rsidRPr="005C3EC8">
        <w:rPr>
          <w:rFonts w:ascii="Calibri" w:hAnsi="Calibri"/>
        </w:rPr>
        <w:t xml:space="preserve"> in the North Sea</w:t>
      </w:r>
      <w:r w:rsidR="000B7C60" w:rsidRPr="005C3EC8">
        <w:rPr>
          <w:rFonts w:ascii="Calibri" w:hAnsi="Calibri"/>
        </w:rPr>
        <w:t>, and the licensing and impact of hydraulic frac</w:t>
      </w:r>
      <w:r w:rsidR="00280125" w:rsidRPr="005C3EC8">
        <w:rPr>
          <w:rFonts w:ascii="Calibri" w:hAnsi="Calibri"/>
        </w:rPr>
        <w:t xml:space="preserve">king. Several stakeholders </w:t>
      </w:r>
      <w:r w:rsidR="00591FF5" w:rsidRPr="005C3EC8">
        <w:rPr>
          <w:rFonts w:ascii="Calibri" w:hAnsi="Calibri"/>
        </w:rPr>
        <w:t xml:space="preserve">countered that </w:t>
      </w:r>
      <w:r w:rsidR="00280125" w:rsidRPr="005C3EC8">
        <w:rPr>
          <w:rFonts w:ascii="Calibri" w:hAnsi="Calibri"/>
        </w:rPr>
        <w:t xml:space="preserve">these issues should be considered once the UK had achieved is initial goal of achieving compliance with the EITI Standard. </w:t>
      </w:r>
    </w:p>
    <w:p w14:paraId="7A21F00A" w14:textId="70ABEA68" w:rsidR="002929E0" w:rsidRPr="005C3EC8" w:rsidRDefault="00F7195C">
      <w:pPr>
        <w:pStyle w:val="Heading3"/>
      </w:pPr>
      <w:r w:rsidRPr="005C3EC8">
        <w:t>Initial a</w:t>
      </w:r>
      <w:r w:rsidR="002929E0" w:rsidRPr="005C3EC8">
        <w:t>ssessment</w:t>
      </w:r>
      <w:r w:rsidR="005275CE" w:rsidRPr="005C3EC8">
        <w:t xml:space="preserve"> </w:t>
      </w:r>
    </w:p>
    <w:p w14:paraId="178F8B58" w14:textId="3CCADB37" w:rsidR="00D47C3C" w:rsidRPr="005C3EC8" w:rsidRDefault="00D47C3C" w:rsidP="00E07C5F">
      <w:pPr>
        <w:rPr>
          <w:rFonts w:ascii="Calibri" w:hAnsi="Calibri"/>
        </w:rPr>
      </w:pPr>
      <w:r w:rsidRPr="005C3EC8">
        <w:rPr>
          <w:rFonts w:ascii="Calibri" w:hAnsi="Calibri"/>
        </w:rPr>
        <w:t xml:space="preserve">The International Secretariat’s initial assessment is that </w:t>
      </w:r>
      <w:r w:rsidR="00280125" w:rsidRPr="005C3EC8">
        <w:rPr>
          <w:rFonts w:ascii="Calibri" w:hAnsi="Calibri"/>
        </w:rPr>
        <w:t>the</w:t>
      </w:r>
      <w:r w:rsidRPr="005C3EC8">
        <w:rPr>
          <w:rFonts w:ascii="Calibri" w:hAnsi="Calibri"/>
        </w:rPr>
        <w:t xml:space="preserve"> United Kingdom has made </w:t>
      </w:r>
      <w:r w:rsidRPr="003B7537">
        <w:rPr>
          <w:rFonts w:ascii="Calibri" w:hAnsi="Calibri"/>
          <w:bCs/>
        </w:rPr>
        <w:t>satisfactory progress</w:t>
      </w:r>
      <w:r w:rsidRPr="001F55AF">
        <w:rPr>
          <w:rFonts w:ascii="Calibri" w:hAnsi="Calibri"/>
        </w:rPr>
        <w:t xml:space="preserve"> i</w:t>
      </w:r>
      <w:r w:rsidRPr="005C3EC8">
        <w:rPr>
          <w:rFonts w:ascii="Calibri" w:hAnsi="Calibri"/>
        </w:rPr>
        <w:t xml:space="preserve">n meeting this requirement. </w:t>
      </w:r>
      <w:r w:rsidR="00E07C5F" w:rsidRPr="005C3EC8">
        <w:rPr>
          <w:rFonts w:ascii="Calibri" w:hAnsi="Calibri"/>
        </w:rPr>
        <w:t xml:space="preserve">The </w:t>
      </w:r>
      <w:r w:rsidRPr="005C3EC8">
        <w:rPr>
          <w:rFonts w:ascii="Calibri" w:hAnsi="Calibri"/>
        </w:rPr>
        <w:t>government is fully, actively and effectively engaged in EITI implementation. While the formal role of EITI Cha</w:t>
      </w:r>
      <w:r w:rsidR="00B313AA" w:rsidRPr="005C3EC8">
        <w:rPr>
          <w:rFonts w:ascii="Calibri" w:hAnsi="Calibri"/>
        </w:rPr>
        <w:t xml:space="preserve">mpion </w:t>
      </w:r>
      <w:r w:rsidRPr="005C3EC8">
        <w:rPr>
          <w:rFonts w:ascii="Calibri" w:hAnsi="Calibri"/>
        </w:rPr>
        <w:t xml:space="preserve">is currently vacant, </w:t>
      </w:r>
      <w:r w:rsidR="00E07C5F" w:rsidRPr="005C3EC8">
        <w:rPr>
          <w:rFonts w:ascii="Calibri" w:hAnsi="Calibri"/>
        </w:rPr>
        <w:t xml:space="preserve">government leadership and oversight of the EITI implementation </w:t>
      </w:r>
      <w:r w:rsidR="00B313AA" w:rsidRPr="005C3EC8">
        <w:rPr>
          <w:rFonts w:ascii="Calibri" w:hAnsi="Calibri"/>
        </w:rPr>
        <w:t xml:space="preserve">and the MSG </w:t>
      </w:r>
      <w:r w:rsidR="00E07C5F" w:rsidRPr="005C3EC8">
        <w:rPr>
          <w:rFonts w:ascii="Calibri" w:hAnsi="Calibri"/>
        </w:rPr>
        <w:t xml:space="preserve">has been consistently strong. </w:t>
      </w:r>
      <w:r w:rsidRPr="005C3EC8">
        <w:rPr>
          <w:rFonts w:ascii="Calibri" w:hAnsi="Calibri"/>
        </w:rPr>
        <w:t>Government agencies participate actively in the MSG’s work</w:t>
      </w:r>
      <w:r w:rsidR="00B313AA" w:rsidRPr="005C3EC8">
        <w:rPr>
          <w:rFonts w:ascii="Calibri" w:hAnsi="Calibri"/>
        </w:rPr>
        <w:t xml:space="preserve"> and have </w:t>
      </w:r>
      <w:r w:rsidR="00093806" w:rsidRPr="005C3EC8">
        <w:rPr>
          <w:rFonts w:ascii="Calibri" w:hAnsi="Calibri"/>
        </w:rPr>
        <w:t xml:space="preserve">actively </w:t>
      </w:r>
      <w:r w:rsidR="00B313AA" w:rsidRPr="005C3EC8">
        <w:rPr>
          <w:rFonts w:ascii="Calibri" w:hAnsi="Calibri"/>
        </w:rPr>
        <w:t>supported EITI implementation</w:t>
      </w:r>
      <w:r w:rsidR="00093806" w:rsidRPr="005C3EC8">
        <w:rPr>
          <w:rFonts w:ascii="Calibri" w:hAnsi="Calibri"/>
        </w:rPr>
        <w:t>, overcoming barriers to comprehensive reporting</w:t>
      </w:r>
      <w:r w:rsidRPr="005C3EC8">
        <w:rPr>
          <w:rFonts w:ascii="Calibri" w:hAnsi="Calibri"/>
        </w:rPr>
        <w:t xml:space="preserve">. The government </w:t>
      </w:r>
      <w:r w:rsidR="00093806" w:rsidRPr="005C3EC8">
        <w:rPr>
          <w:rFonts w:ascii="Calibri" w:hAnsi="Calibri"/>
        </w:rPr>
        <w:t xml:space="preserve">has demonstrated strong leadership of the </w:t>
      </w:r>
      <w:r w:rsidRPr="005C3EC8">
        <w:rPr>
          <w:rFonts w:ascii="Calibri" w:hAnsi="Calibri"/>
        </w:rPr>
        <w:t>multi-stakeholder group</w:t>
      </w:r>
      <w:r w:rsidR="00E07C5F" w:rsidRPr="005C3EC8">
        <w:rPr>
          <w:rFonts w:ascii="Calibri" w:hAnsi="Calibri"/>
        </w:rPr>
        <w:t xml:space="preserve"> and ensured adequate funding for </w:t>
      </w:r>
      <w:r w:rsidRPr="005C3EC8">
        <w:rPr>
          <w:rFonts w:ascii="Calibri" w:hAnsi="Calibri"/>
        </w:rPr>
        <w:t>EITI implementation.</w:t>
      </w:r>
      <w:r w:rsidR="00E07C5F" w:rsidRPr="005C3EC8">
        <w:rPr>
          <w:rFonts w:ascii="Calibri" w:hAnsi="Calibri"/>
        </w:rPr>
        <w:t xml:space="preserve"> </w:t>
      </w:r>
    </w:p>
    <w:p w14:paraId="15914AF4" w14:textId="689C28AD" w:rsidR="002929E0" w:rsidRPr="005C3EC8" w:rsidRDefault="002929E0" w:rsidP="0097728B">
      <w:pPr>
        <w:pStyle w:val="Heading2"/>
      </w:pPr>
      <w:bookmarkStart w:id="83" w:name="_Toc459133087"/>
      <w:bookmarkStart w:id="84" w:name="_Toc461803036"/>
      <w:bookmarkStart w:id="85" w:name="_Toc461787317"/>
      <w:bookmarkStart w:id="86" w:name="_Toc461795829"/>
      <w:bookmarkStart w:id="87" w:name="_Toc462149176"/>
      <w:r w:rsidRPr="005C3EC8">
        <w:t>Industry engagement in the EITI process (#1.2)</w:t>
      </w:r>
      <w:bookmarkEnd w:id="83"/>
      <w:bookmarkEnd w:id="84"/>
      <w:bookmarkEnd w:id="85"/>
      <w:bookmarkEnd w:id="86"/>
      <w:bookmarkEnd w:id="87"/>
    </w:p>
    <w:p w14:paraId="187ADC38" w14:textId="06FF2896" w:rsidR="002B42E3" w:rsidRPr="005C3EC8" w:rsidRDefault="002929E0" w:rsidP="0097728B">
      <w:pPr>
        <w:pStyle w:val="Heading3"/>
      </w:pPr>
      <w:r w:rsidRPr="005C3EC8">
        <w:t>Documentation of progress</w:t>
      </w:r>
    </w:p>
    <w:p w14:paraId="0C18EB83" w14:textId="7E9AFFE1" w:rsidR="003B0F3D" w:rsidRPr="005C3EC8" w:rsidRDefault="002929E0" w:rsidP="007979DB">
      <w:pPr>
        <w:spacing w:before="120"/>
        <w:rPr>
          <w:rFonts w:ascii="Calibri" w:hAnsi="Calibri"/>
          <w:bCs/>
        </w:rPr>
      </w:pPr>
      <w:r w:rsidRPr="005C3EC8">
        <w:rPr>
          <w:rFonts w:ascii="Calibri" w:hAnsi="Calibri"/>
          <w:i/>
          <w:u w:val="single"/>
        </w:rPr>
        <w:t>Active engagement</w:t>
      </w:r>
      <w:r w:rsidRPr="005C3EC8">
        <w:rPr>
          <w:rFonts w:ascii="Calibri" w:hAnsi="Calibri"/>
        </w:rPr>
        <w:t xml:space="preserve">: </w:t>
      </w:r>
      <w:r w:rsidR="001E0C6D" w:rsidRPr="005C3EC8">
        <w:rPr>
          <w:rFonts w:ascii="Calibri" w:hAnsi="Calibri"/>
          <w:bCs/>
        </w:rPr>
        <w:t>I</w:t>
      </w:r>
      <w:r w:rsidR="003B0F3D" w:rsidRPr="005C3EC8">
        <w:rPr>
          <w:rFonts w:ascii="Calibri" w:hAnsi="Calibri"/>
          <w:bCs/>
        </w:rPr>
        <w:t xml:space="preserve">ndustry representatives have been active and supportive of EITI implementation. An initial challenge was clarifying the scope of EITI implementation. The oil and gas sector is large and </w:t>
      </w:r>
      <w:r w:rsidR="00843D20" w:rsidRPr="005C3EC8">
        <w:rPr>
          <w:rFonts w:ascii="Calibri" w:hAnsi="Calibri"/>
          <w:bCs/>
        </w:rPr>
        <w:t xml:space="preserve">included several companies that </w:t>
      </w:r>
      <w:r w:rsidR="007979DB" w:rsidRPr="005C3EC8">
        <w:rPr>
          <w:rFonts w:ascii="Calibri" w:hAnsi="Calibri"/>
          <w:bCs/>
        </w:rPr>
        <w:t xml:space="preserve">had for several years been engaged in the global discussions regarding tax and transparency and the development of the EU’s country-by-country reporting framework. A number of companies were EITI supporting companies, and has been actively involved in developing the EITI’s reporting requirements. </w:t>
      </w:r>
      <w:r w:rsidR="00843D20" w:rsidRPr="005C3EC8">
        <w:rPr>
          <w:rFonts w:ascii="Calibri" w:hAnsi="Calibri"/>
          <w:bCs/>
        </w:rPr>
        <w:t xml:space="preserve">The engagement of the mining and quarrying sector was more </w:t>
      </w:r>
      <w:r w:rsidR="007979DB" w:rsidRPr="005C3EC8">
        <w:rPr>
          <w:rFonts w:ascii="Calibri" w:hAnsi="Calibri"/>
          <w:bCs/>
        </w:rPr>
        <w:t xml:space="preserve">challenging. The sector is considerably smaller (in economic terms) and included a large number of smaller operators where tax transparency issues did not have such a high profile. Nevertheless, the response from industry </w:t>
      </w:r>
      <w:r w:rsidR="007979DB" w:rsidRPr="005C3EC8">
        <w:rPr>
          <w:rFonts w:ascii="Calibri" w:hAnsi="Calibri"/>
          <w:bCs/>
        </w:rPr>
        <w:lastRenderedPageBreak/>
        <w:t xml:space="preserve">was positive and constructive. </w:t>
      </w:r>
    </w:p>
    <w:p w14:paraId="28FC5B5B" w14:textId="24B42AB2" w:rsidR="00677580" w:rsidRPr="005C3EC8" w:rsidRDefault="0099408C" w:rsidP="0099408C">
      <w:pPr>
        <w:spacing w:before="120"/>
        <w:rPr>
          <w:rFonts w:ascii="Calibri" w:hAnsi="Calibri"/>
          <w:bCs/>
        </w:rPr>
      </w:pPr>
      <w:r w:rsidRPr="005C3EC8">
        <w:rPr>
          <w:rFonts w:ascii="Calibri" w:hAnsi="Calibri"/>
          <w:bCs/>
        </w:rPr>
        <w:t>From the outset, i</w:t>
      </w:r>
      <w:r w:rsidR="007979DB" w:rsidRPr="005C3EC8">
        <w:rPr>
          <w:rFonts w:ascii="Calibri" w:hAnsi="Calibri"/>
          <w:bCs/>
        </w:rPr>
        <w:t>ndustry representatives highlighted the importance of ensuring</w:t>
      </w:r>
      <w:r w:rsidRPr="005C3EC8">
        <w:rPr>
          <w:rFonts w:ascii="Calibri" w:hAnsi="Calibri"/>
          <w:bCs/>
        </w:rPr>
        <w:t xml:space="preserve"> consistency with mandatory reporting requirements. Companies that </w:t>
      </w:r>
      <w:r w:rsidRPr="005C3EC8">
        <w:rPr>
          <w:rFonts w:ascii="Calibri" w:hAnsi="Calibri"/>
        </w:rPr>
        <w:t>make payments of more than GBP 86,000 in individual payment flows are required to publicly report their payments to government at a project-level under the EU Accounting and Transparency Directives.</w:t>
      </w:r>
      <w:r w:rsidR="007979DB" w:rsidRPr="005C3EC8">
        <w:rPr>
          <w:rFonts w:ascii="Calibri" w:hAnsi="Calibri"/>
          <w:bCs/>
        </w:rPr>
        <w:t xml:space="preserve"> </w:t>
      </w:r>
      <w:r w:rsidR="003E55DB" w:rsidRPr="005C3EC8">
        <w:rPr>
          <w:rFonts w:ascii="Calibri" w:hAnsi="Calibri"/>
          <w:bCs/>
        </w:rPr>
        <w:t xml:space="preserve">A </w:t>
      </w:r>
      <w:r w:rsidRPr="005C3EC8">
        <w:rPr>
          <w:rFonts w:ascii="Calibri" w:hAnsi="Calibri"/>
          <w:bCs/>
        </w:rPr>
        <w:t xml:space="preserve">further </w:t>
      </w:r>
      <w:r w:rsidR="003B0F3D" w:rsidRPr="005C3EC8">
        <w:rPr>
          <w:rFonts w:ascii="Calibri" w:hAnsi="Calibri"/>
          <w:bCs/>
        </w:rPr>
        <w:t xml:space="preserve">challenge </w:t>
      </w:r>
      <w:r w:rsidRPr="005C3EC8">
        <w:rPr>
          <w:rFonts w:ascii="Calibri" w:hAnsi="Calibri"/>
          <w:bCs/>
        </w:rPr>
        <w:t xml:space="preserve">was addressing taxpayer confidentiality. </w:t>
      </w:r>
      <w:r w:rsidRPr="005C3EC8">
        <w:rPr>
          <w:rFonts w:ascii="Calibri" w:hAnsi="Calibri"/>
        </w:rPr>
        <w:t>The 2005 Commissioners for Revenue and Customs Act includes taxpayer confidentiality provisions that hinder HMRC’s ability to disclose disaggregated tax revenue information. The MSG therefore developed a system of open-ended taxpayer confidentiality waivers for companies in the scope of EITI reporting.</w:t>
      </w:r>
      <w:r w:rsidRPr="005C3EC8">
        <w:rPr>
          <w:rFonts w:ascii="Calibri" w:hAnsi="Calibri"/>
          <w:bCs/>
        </w:rPr>
        <w:t xml:space="preserve"> </w:t>
      </w:r>
      <w:r w:rsidR="003E55DB" w:rsidRPr="005C3EC8">
        <w:rPr>
          <w:rFonts w:ascii="Calibri" w:hAnsi="Calibri"/>
          <w:bCs/>
        </w:rPr>
        <w:t>The UK EITI secretariat</w:t>
      </w:r>
      <w:r w:rsidRPr="005C3EC8">
        <w:rPr>
          <w:rFonts w:ascii="Calibri" w:hAnsi="Calibri"/>
          <w:bCs/>
        </w:rPr>
        <w:t>,</w:t>
      </w:r>
      <w:r w:rsidR="003E55DB" w:rsidRPr="005C3EC8">
        <w:rPr>
          <w:rFonts w:ascii="Calibri" w:hAnsi="Calibri"/>
          <w:bCs/>
        </w:rPr>
        <w:t xml:space="preserve"> working together with the Independent Administrator</w:t>
      </w:r>
      <w:r w:rsidRPr="005C3EC8">
        <w:rPr>
          <w:rFonts w:ascii="Calibri" w:hAnsi="Calibri"/>
          <w:bCs/>
        </w:rPr>
        <w:t>,</w:t>
      </w:r>
      <w:r w:rsidR="003E55DB" w:rsidRPr="005C3EC8">
        <w:rPr>
          <w:rFonts w:ascii="Calibri" w:hAnsi="Calibri"/>
          <w:bCs/>
        </w:rPr>
        <w:t xml:space="preserve"> undertook extensive outreach efforts to companies to explain the EITI’s </w:t>
      </w:r>
      <w:r w:rsidRPr="005C3EC8">
        <w:rPr>
          <w:rFonts w:ascii="Calibri" w:hAnsi="Calibri"/>
          <w:bCs/>
        </w:rPr>
        <w:t xml:space="preserve">objectives and </w:t>
      </w:r>
      <w:r w:rsidR="003E55DB" w:rsidRPr="005C3EC8">
        <w:rPr>
          <w:rFonts w:ascii="Calibri" w:hAnsi="Calibri"/>
          <w:bCs/>
        </w:rPr>
        <w:t xml:space="preserve">reporting requirements. The secretariat provided guidance on how to submit data and templates for data collection and waivers. </w:t>
      </w:r>
      <w:r w:rsidRPr="005C3EC8">
        <w:rPr>
          <w:rFonts w:ascii="Calibri" w:hAnsi="Calibri"/>
          <w:bCs/>
        </w:rPr>
        <w:t>In the 2016 Report, a</w:t>
      </w:r>
      <w:r w:rsidR="00677580" w:rsidRPr="005C3EC8">
        <w:rPr>
          <w:rFonts w:ascii="Calibri" w:hAnsi="Calibri"/>
          <w:bCs/>
        </w:rPr>
        <w:t xml:space="preserve"> total of 41 oil and gas companies and 17 mining and quarrying companies participated in compiling the report with continuing high industry participation</w:t>
      </w:r>
      <w:r w:rsidR="008931FF" w:rsidRPr="005C3EC8">
        <w:rPr>
          <w:rStyle w:val="FootnoteReference"/>
          <w:rFonts w:ascii="Calibri" w:hAnsi="Calibri"/>
          <w:bCs/>
        </w:rPr>
        <w:footnoteReference w:id="33"/>
      </w:r>
      <w:r w:rsidR="00677580" w:rsidRPr="005C3EC8">
        <w:rPr>
          <w:rFonts w:ascii="Calibri" w:hAnsi="Calibri"/>
          <w:bCs/>
        </w:rPr>
        <w:t>.</w:t>
      </w:r>
    </w:p>
    <w:p w14:paraId="4615C0D2" w14:textId="720A5D9C" w:rsidR="00544F4F" w:rsidRPr="005C3EC8" w:rsidRDefault="002929E0" w:rsidP="00E956E1">
      <w:pPr>
        <w:tabs>
          <w:tab w:val="left" w:pos="3409"/>
        </w:tabs>
        <w:spacing w:before="120"/>
        <w:rPr>
          <w:rFonts w:ascii="Calibri" w:hAnsi="Calibri"/>
        </w:rPr>
      </w:pPr>
      <w:r w:rsidRPr="005C3EC8">
        <w:rPr>
          <w:rFonts w:ascii="Calibri" w:hAnsi="Calibri"/>
          <w:i/>
          <w:u w:val="single"/>
        </w:rPr>
        <w:t>Enabling environment</w:t>
      </w:r>
      <w:r w:rsidRPr="005C3EC8">
        <w:rPr>
          <w:rFonts w:ascii="Calibri" w:hAnsi="Calibri"/>
        </w:rPr>
        <w:t>:</w:t>
      </w:r>
      <w:r w:rsidR="001F55AF">
        <w:rPr>
          <w:rFonts w:ascii="Calibri" w:hAnsi="Calibri"/>
        </w:rPr>
        <w:t xml:space="preserve"> </w:t>
      </w:r>
      <w:r w:rsidR="003B0F3D" w:rsidRPr="005C3EC8">
        <w:rPr>
          <w:rFonts w:ascii="Calibri" w:hAnsi="Calibri"/>
        </w:rPr>
        <w:t>There are no obstacles to industry participation</w:t>
      </w:r>
      <w:r w:rsidR="004A0B33" w:rsidRPr="005C3EC8">
        <w:rPr>
          <w:rFonts w:ascii="Calibri" w:hAnsi="Calibri"/>
        </w:rPr>
        <w:t>,</w:t>
      </w:r>
      <w:r w:rsidR="003B0F3D" w:rsidRPr="005C3EC8">
        <w:rPr>
          <w:rFonts w:ascii="Calibri" w:hAnsi="Calibri"/>
        </w:rPr>
        <w:t xml:space="preserve"> and company participation in the reporting process has been consistently high.</w:t>
      </w:r>
    </w:p>
    <w:p w14:paraId="051C51A9" w14:textId="18000460" w:rsidR="00074AFF" w:rsidRPr="005C3EC8" w:rsidRDefault="002929E0">
      <w:pPr>
        <w:pStyle w:val="Heading3"/>
      </w:pPr>
      <w:r w:rsidRPr="005C3EC8">
        <w:t>Stakehol</w:t>
      </w:r>
      <w:bookmarkStart w:id="88" w:name="industrystakeholderviews"/>
      <w:bookmarkEnd w:id="88"/>
      <w:r w:rsidRPr="005C3EC8">
        <w:t>der views</w:t>
      </w:r>
      <w:r w:rsidR="00BC2017" w:rsidRPr="005C3EC8">
        <w:t xml:space="preserve"> </w:t>
      </w:r>
    </w:p>
    <w:p w14:paraId="121EF936" w14:textId="21B3211E" w:rsidR="00CF24C0" w:rsidRPr="005C3EC8" w:rsidRDefault="008931FF" w:rsidP="008931FF">
      <w:pPr>
        <w:rPr>
          <w:rFonts w:ascii="Calibri" w:hAnsi="Calibri"/>
        </w:rPr>
      </w:pPr>
      <w:r w:rsidRPr="005C3EC8">
        <w:rPr>
          <w:rFonts w:ascii="Calibri" w:hAnsi="Calibri"/>
        </w:rPr>
        <w:t>Industry</w:t>
      </w:r>
      <w:r w:rsidR="003E55DB" w:rsidRPr="005C3EC8">
        <w:rPr>
          <w:rFonts w:ascii="Calibri" w:hAnsi="Calibri"/>
        </w:rPr>
        <w:t xml:space="preserve"> representatives considered the EITI as a useful tool for </w:t>
      </w:r>
      <w:r w:rsidRPr="005C3EC8">
        <w:rPr>
          <w:rFonts w:ascii="Calibri" w:hAnsi="Calibri"/>
        </w:rPr>
        <w:t xml:space="preserve">demonstrating their economic contribution and in </w:t>
      </w:r>
      <w:r w:rsidR="003E55DB" w:rsidRPr="005C3EC8">
        <w:rPr>
          <w:rFonts w:ascii="Calibri" w:hAnsi="Calibri"/>
        </w:rPr>
        <w:t xml:space="preserve">engaging in dialogue with </w:t>
      </w:r>
      <w:r w:rsidRPr="005C3EC8">
        <w:rPr>
          <w:rFonts w:ascii="Calibri" w:hAnsi="Calibri"/>
        </w:rPr>
        <w:t xml:space="preserve">government agencies and </w:t>
      </w:r>
      <w:r w:rsidR="003E55DB" w:rsidRPr="005C3EC8">
        <w:rPr>
          <w:rFonts w:ascii="Calibri" w:hAnsi="Calibri"/>
        </w:rPr>
        <w:t>civil society</w:t>
      </w:r>
      <w:r w:rsidRPr="005C3EC8">
        <w:rPr>
          <w:rFonts w:ascii="Calibri" w:hAnsi="Calibri"/>
        </w:rPr>
        <w:t xml:space="preserve">. They argued that the EITI helped to </w:t>
      </w:r>
      <w:r w:rsidR="003E55DB" w:rsidRPr="005C3EC8">
        <w:rPr>
          <w:rFonts w:ascii="Calibri" w:hAnsi="Calibri"/>
        </w:rPr>
        <w:t xml:space="preserve">build </w:t>
      </w:r>
      <w:r w:rsidRPr="005C3EC8">
        <w:rPr>
          <w:rFonts w:ascii="Calibri" w:hAnsi="Calibri"/>
        </w:rPr>
        <w:t xml:space="preserve">greater awareness about </w:t>
      </w:r>
      <w:r w:rsidR="003E55DB" w:rsidRPr="005C3EC8">
        <w:rPr>
          <w:rFonts w:ascii="Calibri" w:hAnsi="Calibri"/>
        </w:rPr>
        <w:t xml:space="preserve">how the </w:t>
      </w:r>
      <w:r w:rsidRPr="005C3EC8">
        <w:rPr>
          <w:rFonts w:ascii="Calibri" w:hAnsi="Calibri"/>
        </w:rPr>
        <w:t xml:space="preserve">industry </w:t>
      </w:r>
      <w:r w:rsidR="003E55DB" w:rsidRPr="005C3EC8">
        <w:rPr>
          <w:rFonts w:ascii="Calibri" w:hAnsi="Calibri"/>
        </w:rPr>
        <w:t>operate</w:t>
      </w:r>
      <w:r w:rsidRPr="005C3EC8">
        <w:rPr>
          <w:rFonts w:ascii="Calibri" w:hAnsi="Calibri"/>
        </w:rPr>
        <w:t>s</w:t>
      </w:r>
      <w:r w:rsidR="00E842DC" w:rsidRPr="005C3EC8">
        <w:rPr>
          <w:rFonts w:ascii="Calibri" w:hAnsi="Calibri"/>
        </w:rPr>
        <w:t>, especially regarding the tax arrangements that apply to the sector</w:t>
      </w:r>
      <w:r w:rsidR="003E55DB" w:rsidRPr="005C3EC8">
        <w:rPr>
          <w:rFonts w:ascii="Calibri" w:hAnsi="Calibri"/>
        </w:rPr>
        <w:t xml:space="preserve">. </w:t>
      </w:r>
      <w:r w:rsidR="00B64337">
        <w:rPr>
          <w:rFonts w:ascii="Calibri" w:hAnsi="Calibri"/>
        </w:rPr>
        <w:t>Several examples of industry’s use of EITI data were highlighted, including in industry associations’ interactions with government and Parliament</w:t>
      </w:r>
      <w:r w:rsidR="00FD691B">
        <w:rPr>
          <w:rFonts w:ascii="Calibri" w:hAnsi="Calibri"/>
        </w:rPr>
        <w:t>, and instances of industry engagement in EITI-related dissemination and outreach were described during consultations</w:t>
      </w:r>
      <w:r w:rsidR="00B64337">
        <w:rPr>
          <w:rFonts w:ascii="Calibri" w:hAnsi="Calibri"/>
        </w:rPr>
        <w:t xml:space="preserve">. </w:t>
      </w:r>
      <w:r w:rsidR="003E55DB" w:rsidRPr="005C3EC8">
        <w:rPr>
          <w:rFonts w:ascii="Calibri" w:hAnsi="Calibri"/>
        </w:rPr>
        <w:t xml:space="preserve">They </w:t>
      </w:r>
      <w:r w:rsidRPr="005C3EC8">
        <w:rPr>
          <w:rFonts w:ascii="Calibri" w:hAnsi="Calibri"/>
        </w:rPr>
        <w:t xml:space="preserve">were generally satisfied that the reporting process was comprehensive, and that adequate guidance had been provided for participating companies. </w:t>
      </w:r>
      <w:r w:rsidR="001F55AF">
        <w:rPr>
          <w:rFonts w:ascii="Calibri" w:hAnsi="Calibri"/>
        </w:rPr>
        <w:t xml:space="preserve">They explained that industry coordinated on EITI issues through the industry associations, which regularly kept company representatives updated on EITI developments and canvassed their opinions on specific issues. </w:t>
      </w:r>
      <w:r w:rsidRPr="005C3EC8">
        <w:rPr>
          <w:rFonts w:ascii="Calibri" w:hAnsi="Calibri"/>
        </w:rPr>
        <w:t xml:space="preserve">However, it was noted that the EITI risked duplication, as companies were already required to </w:t>
      </w:r>
      <w:r w:rsidR="003E55DB" w:rsidRPr="005C3EC8">
        <w:rPr>
          <w:rFonts w:ascii="Calibri" w:hAnsi="Calibri"/>
        </w:rPr>
        <w:t xml:space="preserve">report </w:t>
      </w:r>
      <w:r w:rsidRPr="005C3EC8">
        <w:rPr>
          <w:rFonts w:ascii="Calibri" w:hAnsi="Calibri"/>
        </w:rPr>
        <w:t xml:space="preserve">according to mandatory reporting requirements. Challenges regarding </w:t>
      </w:r>
      <w:r w:rsidR="003E55DB" w:rsidRPr="005C3EC8">
        <w:rPr>
          <w:rFonts w:ascii="Calibri" w:hAnsi="Calibri"/>
        </w:rPr>
        <w:t>tax</w:t>
      </w:r>
      <w:r w:rsidRPr="005C3EC8">
        <w:rPr>
          <w:rFonts w:ascii="Calibri" w:hAnsi="Calibri"/>
        </w:rPr>
        <w:t xml:space="preserve"> payer confidentiality had been addressed in the first round of </w:t>
      </w:r>
      <w:r w:rsidR="003E55DB" w:rsidRPr="005C3EC8">
        <w:rPr>
          <w:rFonts w:ascii="Calibri" w:hAnsi="Calibri"/>
        </w:rPr>
        <w:t xml:space="preserve">reporting. </w:t>
      </w:r>
      <w:r w:rsidRPr="005C3EC8">
        <w:rPr>
          <w:rFonts w:ascii="Calibri" w:hAnsi="Calibri"/>
        </w:rPr>
        <w:t xml:space="preserve">Government and civil society representatives were generally satisfied with industry engagement. </w:t>
      </w:r>
    </w:p>
    <w:p w14:paraId="201DA03F" w14:textId="303E37D7" w:rsidR="002929E0" w:rsidRPr="005C3EC8" w:rsidRDefault="00BC2017">
      <w:pPr>
        <w:pStyle w:val="Heading3"/>
      </w:pPr>
      <w:r w:rsidRPr="005C3EC8">
        <w:t>Initial a</w:t>
      </w:r>
      <w:r w:rsidR="002929E0" w:rsidRPr="005C3EC8">
        <w:t>ssessment</w:t>
      </w:r>
    </w:p>
    <w:p w14:paraId="01DE7AF9" w14:textId="311DF21A" w:rsidR="00E842DC" w:rsidRPr="005C3EC8" w:rsidRDefault="008931FF" w:rsidP="008D7517">
      <w:pPr>
        <w:rPr>
          <w:rFonts w:ascii="Calibri" w:hAnsi="Calibri"/>
        </w:rPr>
      </w:pPr>
      <w:r w:rsidRPr="005C3EC8">
        <w:rPr>
          <w:rFonts w:ascii="Calibri" w:hAnsi="Calibri"/>
        </w:rPr>
        <w:t xml:space="preserve">The International Secretariat’s initial assessment is that the UK has made </w:t>
      </w:r>
      <w:r w:rsidRPr="003B7537">
        <w:rPr>
          <w:rFonts w:ascii="Calibri" w:hAnsi="Calibri"/>
          <w:bCs/>
        </w:rPr>
        <w:t>satisfactory progress</w:t>
      </w:r>
      <w:r w:rsidRPr="005C3EC8">
        <w:rPr>
          <w:rFonts w:ascii="Calibri" w:hAnsi="Calibri"/>
        </w:rPr>
        <w:t xml:space="preserve"> in meeting this requirement. The Secretariat does not find any indications of obstacles to company participation, and </w:t>
      </w:r>
      <w:r w:rsidR="00E842DC" w:rsidRPr="005C3EC8">
        <w:rPr>
          <w:rFonts w:ascii="Calibri" w:hAnsi="Calibri"/>
        </w:rPr>
        <w:t>industry participation in the reporting process has been consistently high</w:t>
      </w:r>
      <w:r w:rsidRPr="005C3EC8">
        <w:rPr>
          <w:rFonts w:ascii="Calibri" w:hAnsi="Calibri"/>
        </w:rPr>
        <w:t xml:space="preserve">. </w:t>
      </w:r>
    </w:p>
    <w:p w14:paraId="3C95FB65" w14:textId="5AD5B7A3" w:rsidR="008931FF" w:rsidRPr="005C3EC8" w:rsidRDefault="008931FF" w:rsidP="008D7517">
      <w:pPr>
        <w:rPr>
          <w:rFonts w:ascii="Calibri" w:hAnsi="Calibri"/>
        </w:rPr>
      </w:pPr>
      <w:r w:rsidRPr="005C3EC8">
        <w:rPr>
          <w:rFonts w:ascii="Calibri" w:hAnsi="Calibri"/>
        </w:rPr>
        <w:t xml:space="preserve">To strengthen implementation, the International Secretariat recommends that </w:t>
      </w:r>
      <w:r w:rsidR="00E842DC" w:rsidRPr="005C3EC8">
        <w:rPr>
          <w:rFonts w:ascii="Calibri" w:hAnsi="Calibri"/>
        </w:rPr>
        <w:t xml:space="preserve">industry </w:t>
      </w:r>
      <w:r w:rsidRPr="005C3EC8">
        <w:rPr>
          <w:rFonts w:ascii="Calibri" w:hAnsi="Calibri"/>
        </w:rPr>
        <w:t xml:space="preserve">representatives </w:t>
      </w:r>
      <w:r w:rsidR="00E842DC" w:rsidRPr="005C3EC8">
        <w:rPr>
          <w:rFonts w:ascii="Calibri" w:hAnsi="Calibri"/>
        </w:rPr>
        <w:t xml:space="preserve">participate actively in the MSG’s discussions about EITI mainstreaming and opportunities to extend EITI implementation to address issues influencing the outlook for the sector, including on tax policy, decommissioning and site rehabilitation, and the social and environmental impacts of the oil, gas and </w:t>
      </w:r>
      <w:r w:rsidR="00E842DC" w:rsidRPr="005C3EC8">
        <w:rPr>
          <w:rFonts w:ascii="Calibri" w:hAnsi="Calibri"/>
        </w:rPr>
        <w:lastRenderedPageBreak/>
        <w:t>mining industries.</w:t>
      </w:r>
    </w:p>
    <w:p w14:paraId="0A3EC43A" w14:textId="6FCF1610" w:rsidR="002929E0" w:rsidRPr="005C3EC8" w:rsidRDefault="002929E0" w:rsidP="0097728B">
      <w:pPr>
        <w:pStyle w:val="Heading2"/>
      </w:pPr>
      <w:bookmarkStart w:id="89" w:name="_Toc459133088"/>
      <w:bookmarkStart w:id="90" w:name="_Toc461803037"/>
      <w:bookmarkStart w:id="91" w:name="_Toc461787318"/>
      <w:bookmarkStart w:id="92" w:name="_Toc461795830"/>
      <w:bookmarkStart w:id="93" w:name="_Toc462149177"/>
      <w:r w:rsidRPr="005C3EC8">
        <w:t>Civil society engagement in the EITI process (#1.3)</w:t>
      </w:r>
      <w:bookmarkEnd w:id="89"/>
      <w:bookmarkEnd w:id="90"/>
      <w:bookmarkEnd w:id="91"/>
      <w:bookmarkEnd w:id="92"/>
      <w:bookmarkEnd w:id="93"/>
      <w:r w:rsidR="00640FA1" w:rsidRPr="005C3EC8">
        <w:rPr>
          <w:rStyle w:val="FootnoteReference"/>
        </w:rPr>
        <w:footnoteReference w:id="34"/>
      </w:r>
    </w:p>
    <w:p w14:paraId="6DF8F237" w14:textId="453071DF" w:rsidR="00F342CC" w:rsidRPr="005C3EC8" w:rsidRDefault="002929E0" w:rsidP="0097728B">
      <w:pPr>
        <w:pStyle w:val="Heading3"/>
      </w:pPr>
      <w:r w:rsidRPr="005C3EC8">
        <w:t>Documentation of progress</w:t>
      </w:r>
    </w:p>
    <w:p w14:paraId="43EA932D" w14:textId="3B20F626" w:rsidR="007D4D19" w:rsidRPr="005C3EC8" w:rsidRDefault="00F76CAD" w:rsidP="00445169">
      <w:pPr>
        <w:spacing w:before="120"/>
        <w:rPr>
          <w:rFonts w:ascii="Calibri" w:hAnsi="Calibri"/>
          <w:iCs/>
        </w:rPr>
      </w:pPr>
      <w:r w:rsidRPr="005C3EC8">
        <w:rPr>
          <w:rFonts w:ascii="Calibri" w:hAnsi="Calibri"/>
          <w:iCs/>
        </w:rPr>
        <w:t xml:space="preserve">Freedom house ranked the United Kingdom as “Free” in its 2018 </w:t>
      </w:r>
      <w:r w:rsidR="00730194" w:rsidRPr="005C3EC8">
        <w:rPr>
          <w:rFonts w:ascii="Calibri" w:hAnsi="Calibri"/>
          <w:iCs/>
        </w:rPr>
        <w:t>Freedom in the World R</w:t>
      </w:r>
      <w:r w:rsidRPr="005C3EC8">
        <w:rPr>
          <w:rFonts w:ascii="Calibri" w:hAnsi="Calibri"/>
          <w:iCs/>
        </w:rPr>
        <w:t>eport</w:t>
      </w:r>
      <w:r w:rsidRPr="005C3EC8">
        <w:rPr>
          <w:rStyle w:val="FootnoteReference"/>
          <w:rFonts w:ascii="Calibri" w:hAnsi="Calibri"/>
          <w:iCs/>
        </w:rPr>
        <w:footnoteReference w:id="35"/>
      </w:r>
      <w:r w:rsidRPr="005C3EC8">
        <w:rPr>
          <w:rFonts w:ascii="Calibri" w:hAnsi="Calibri"/>
          <w:iCs/>
        </w:rPr>
        <w:t xml:space="preserve"> with a score of 94 (of 100)</w:t>
      </w:r>
      <w:r w:rsidR="00730194" w:rsidRPr="005C3EC8">
        <w:rPr>
          <w:rFonts w:ascii="Calibri" w:hAnsi="Calibri"/>
          <w:iCs/>
        </w:rPr>
        <w:t>. It</w:t>
      </w:r>
      <w:r w:rsidR="00DF102B" w:rsidRPr="005C3EC8">
        <w:rPr>
          <w:rFonts w:ascii="Calibri" w:hAnsi="Calibri"/>
          <w:iCs/>
        </w:rPr>
        <w:t xml:space="preserve"> </w:t>
      </w:r>
      <w:r w:rsidR="00730194" w:rsidRPr="005C3EC8">
        <w:rPr>
          <w:rFonts w:ascii="Calibri" w:hAnsi="Calibri"/>
          <w:iCs/>
        </w:rPr>
        <w:t xml:space="preserve">has </w:t>
      </w:r>
      <w:r w:rsidRPr="005C3EC8">
        <w:rPr>
          <w:rFonts w:ascii="Calibri" w:hAnsi="Calibri"/>
          <w:iCs/>
        </w:rPr>
        <w:t xml:space="preserve">also ranked </w:t>
      </w:r>
      <w:r w:rsidR="00DF102B" w:rsidRPr="005C3EC8">
        <w:rPr>
          <w:rFonts w:ascii="Calibri" w:hAnsi="Calibri"/>
          <w:iCs/>
        </w:rPr>
        <w:t>United Kingdom</w:t>
      </w:r>
      <w:r w:rsidRPr="005C3EC8">
        <w:rPr>
          <w:rFonts w:ascii="Calibri" w:hAnsi="Calibri"/>
          <w:iCs/>
        </w:rPr>
        <w:t>’s freedom of the press environment as “Free”</w:t>
      </w:r>
      <w:r w:rsidR="00DF102B" w:rsidRPr="005C3EC8">
        <w:rPr>
          <w:rStyle w:val="FootnoteReference"/>
          <w:rFonts w:ascii="Calibri" w:hAnsi="Calibri"/>
          <w:iCs/>
        </w:rPr>
        <w:t xml:space="preserve"> </w:t>
      </w:r>
      <w:r w:rsidR="00DF102B" w:rsidRPr="005C3EC8">
        <w:rPr>
          <w:rStyle w:val="FootnoteReference"/>
          <w:rFonts w:ascii="Calibri" w:hAnsi="Calibri"/>
          <w:iCs/>
        </w:rPr>
        <w:footnoteReference w:id="36"/>
      </w:r>
      <w:r w:rsidRPr="005C3EC8">
        <w:rPr>
          <w:rFonts w:ascii="Calibri" w:hAnsi="Calibri"/>
          <w:iCs/>
        </w:rPr>
        <w:t>.</w:t>
      </w:r>
      <w:r w:rsidR="00D323B5" w:rsidRPr="005C3EC8">
        <w:rPr>
          <w:rFonts w:ascii="Calibri" w:hAnsi="Calibri"/>
          <w:iCs/>
        </w:rPr>
        <w:t xml:space="preserve"> </w:t>
      </w:r>
      <w:r w:rsidR="007D4D19" w:rsidRPr="005C3EC8">
        <w:rPr>
          <w:rFonts w:ascii="Calibri" w:hAnsi="Calibri"/>
          <w:iCs/>
        </w:rPr>
        <w:t xml:space="preserve">In August 2018, the UK Government released a policy paper </w:t>
      </w:r>
      <w:r w:rsidR="007D4D19" w:rsidRPr="005C3EC8">
        <w:rPr>
          <w:rFonts w:ascii="Calibri" w:hAnsi="Calibri"/>
          <w:i/>
        </w:rPr>
        <w:t>Civil Society Strategy</w:t>
      </w:r>
      <w:r w:rsidR="00CC62CB" w:rsidRPr="005C3EC8">
        <w:rPr>
          <w:rStyle w:val="FootnoteReference"/>
          <w:rFonts w:ascii="Calibri" w:hAnsi="Calibri"/>
          <w:i/>
        </w:rPr>
        <w:footnoteReference w:id="37"/>
      </w:r>
      <w:r w:rsidR="007D4D19" w:rsidRPr="005C3EC8">
        <w:rPr>
          <w:rFonts w:ascii="Calibri" w:hAnsi="Calibri"/>
          <w:iCs/>
        </w:rPr>
        <w:t xml:space="preserve">, setting out </w:t>
      </w:r>
      <w:r w:rsidR="00CC62CB" w:rsidRPr="005C3EC8">
        <w:rPr>
          <w:rFonts w:ascii="Calibri" w:hAnsi="Calibri"/>
          <w:iCs/>
        </w:rPr>
        <w:t>“</w:t>
      </w:r>
      <w:r w:rsidR="007D4D19" w:rsidRPr="005C3EC8">
        <w:rPr>
          <w:rFonts w:ascii="Calibri" w:hAnsi="Calibri"/>
          <w:iCs/>
        </w:rPr>
        <w:t>how government will work with and for civil society in the long-term to create a country that works for everyone</w:t>
      </w:r>
      <w:r w:rsidR="00CC62CB" w:rsidRPr="005C3EC8">
        <w:rPr>
          <w:rFonts w:ascii="Calibri" w:hAnsi="Calibri"/>
          <w:iCs/>
        </w:rPr>
        <w:t>”</w:t>
      </w:r>
      <w:r w:rsidR="007D4D19" w:rsidRPr="005C3EC8">
        <w:rPr>
          <w:rFonts w:ascii="Calibri" w:hAnsi="Calibri"/>
          <w:iCs/>
        </w:rPr>
        <w:t>.</w:t>
      </w:r>
      <w:r w:rsidR="00CC62CB" w:rsidRPr="005C3EC8">
        <w:rPr>
          <w:rFonts w:ascii="Calibri" w:hAnsi="Calibri"/>
          <w:iCs/>
        </w:rPr>
        <w:t xml:space="preserve"> The strategy defines Civil society as “organisations and individuals working to create social value, enriching lives and building a fairer society for all”</w:t>
      </w:r>
      <w:r w:rsidR="00CC62CB" w:rsidRPr="005C3EC8">
        <w:rPr>
          <w:rStyle w:val="FootnoteReference"/>
          <w:rFonts w:ascii="Calibri" w:hAnsi="Calibri"/>
          <w:iCs/>
        </w:rPr>
        <w:footnoteReference w:id="38"/>
      </w:r>
      <w:r w:rsidR="00CC62CB" w:rsidRPr="005C3EC8">
        <w:rPr>
          <w:rFonts w:ascii="Calibri" w:hAnsi="Calibri"/>
          <w:iCs/>
        </w:rPr>
        <w:t>.</w:t>
      </w:r>
    </w:p>
    <w:p w14:paraId="0B45FF0A" w14:textId="12B615A6" w:rsidR="00730194" w:rsidRPr="005C3EC8" w:rsidRDefault="002929E0" w:rsidP="00730194">
      <w:pPr>
        <w:spacing w:before="120"/>
        <w:rPr>
          <w:rFonts w:ascii="Calibri" w:hAnsi="Calibri"/>
          <w:iCs/>
        </w:rPr>
      </w:pPr>
      <w:r w:rsidRPr="005C3EC8">
        <w:rPr>
          <w:rFonts w:ascii="Calibri" w:hAnsi="Calibri"/>
          <w:i/>
          <w:u w:val="single"/>
        </w:rPr>
        <w:t>Expression</w:t>
      </w:r>
      <w:r w:rsidRPr="005C3EC8">
        <w:rPr>
          <w:rFonts w:ascii="Calibri" w:hAnsi="Calibri"/>
          <w:i/>
        </w:rPr>
        <w:t>:</w:t>
      </w:r>
      <w:r w:rsidR="001A1618">
        <w:rPr>
          <w:rFonts w:ascii="Calibri" w:hAnsi="Calibri"/>
          <w:iCs/>
        </w:rPr>
        <w:t xml:space="preserve"> </w:t>
      </w:r>
      <w:r w:rsidR="00730194" w:rsidRPr="005C3EC8">
        <w:rPr>
          <w:rFonts w:ascii="Calibri" w:hAnsi="Calibri"/>
          <w:iCs/>
        </w:rPr>
        <w:t>British citizens have a right to freedom of expression under common law. In 1998, the United Kingdom incorporated the European Convention into its domestic law under the Human Rights Act</w:t>
      </w:r>
      <w:r w:rsidR="00730194" w:rsidRPr="005C3EC8">
        <w:rPr>
          <w:rStyle w:val="FootnoteReference"/>
          <w:rFonts w:ascii="Calibri" w:hAnsi="Calibri"/>
          <w:iCs/>
        </w:rPr>
        <w:footnoteReference w:id="39"/>
      </w:r>
      <w:r w:rsidR="00730194" w:rsidRPr="005C3EC8">
        <w:rPr>
          <w:rFonts w:ascii="Calibri" w:hAnsi="Calibri"/>
          <w:iCs/>
        </w:rPr>
        <w:t>. The Act outlines the right to freedom of expression, including “freedom to hold opinions and to receive and impart information and ideas without interference by public authority and regardless of frontiers”. It also notes that “the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00730194" w:rsidRPr="005C3EC8">
        <w:rPr>
          <w:rStyle w:val="FootnoteReference"/>
          <w:rFonts w:ascii="Calibri" w:hAnsi="Calibri"/>
          <w:iCs/>
        </w:rPr>
        <w:footnoteReference w:id="40"/>
      </w:r>
      <w:r w:rsidR="00730194" w:rsidRPr="005C3EC8">
        <w:rPr>
          <w:rFonts w:ascii="Calibri" w:hAnsi="Calibri"/>
          <w:iCs/>
        </w:rPr>
        <w:t>.</w:t>
      </w:r>
    </w:p>
    <w:p w14:paraId="6E06215B" w14:textId="77777777" w:rsidR="0094599C" w:rsidRPr="005C3EC8" w:rsidRDefault="0094599C" w:rsidP="0094599C">
      <w:pPr>
        <w:spacing w:before="120"/>
        <w:rPr>
          <w:rFonts w:ascii="Calibri" w:hAnsi="Calibri"/>
          <w:iCs/>
        </w:rPr>
      </w:pPr>
      <w:r w:rsidRPr="005C3EC8">
        <w:rPr>
          <w:rFonts w:ascii="Calibri" w:hAnsi="Calibri"/>
          <w:iCs/>
        </w:rPr>
        <w:t xml:space="preserve">The UK Government’s </w:t>
      </w:r>
      <w:r w:rsidRPr="005C3EC8">
        <w:rPr>
          <w:rFonts w:ascii="Calibri" w:hAnsi="Calibri"/>
          <w:i/>
        </w:rPr>
        <w:t>Civil Society Strategy</w:t>
      </w:r>
      <w:r w:rsidRPr="005C3EC8">
        <w:rPr>
          <w:rFonts w:ascii="Calibri" w:hAnsi="Calibri"/>
          <w:iCs/>
        </w:rPr>
        <w:t xml:space="preserve"> notes that “Some civil society organisations believe that the space for campaigning and advocacy has closed in recent years, creating a ‘chilling effect’ on civil society campaigning and advocacy”</w:t>
      </w:r>
      <w:r w:rsidRPr="005C3EC8">
        <w:rPr>
          <w:rStyle w:val="FootnoteReference"/>
          <w:rFonts w:ascii="Calibri" w:hAnsi="Calibri"/>
          <w:iCs/>
        </w:rPr>
        <w:footnoteReference w:id="41"/>
      </w:r>
      <w:r w:rsidRPr="005C3EC8">
        <w:rPr>
          <w:rFonts w:ascii="Calibri" w:hAnsi="Calibri"/>
          <w:iCs/>
        </w:rPr>
        <w:t>. The Sheila McKechnie Foundation reports:</w:t>
      </w:r>
    </w:p>
    <w:p w14:paraId="4C2ACCA7" w14:textId="77777777" w:rsidR="0094599C" w:rsidRPr="005C3EC8" w:rsidRDefault="0094599C" w:rsidP="0094599C">
      <w:pPr>
        <w:spacing w:before="120"/>
        <w:ind w:left="720"/>
        <w:rPr>
          <w:rFonts w:ascii="Calibri" w:hAnsi="Calibri"/>
          <w:iCs/>
        </w:rPr>
      </w:pPr>
      <w:r w:rsidRPr="005C3EC8">
        <w:rPr>
          <w:rFonts w:ascii="Calibri" w:hAnsi="Calibri"/>
          <w:iCs/>
        </w:rPr>
        <w:t>In 2018, half of the campaigners we surveyed told us that the campaigning climate has deteriorated. They said the top three factors threatening the legitimacy of campaigning are:</w:t>
      </w:r>
    </w:p>
    <w:p w14:paraId="25251EF5" w14:textId="77777777" w:rsidR="0094599C" w:rsidRPr="005C3EC8" w:rsidRDefault="0094599C" w:rsidP="008200F5">
      <w:pPr>
        <w:pStyle w:val="ListParagraph"/>
        <w:numPr>
          <w:ilvl w:val="0"/>
          <w:numId w:val="35"/>
        </w:numPr>
      </w:pPr>
      <w:r w:rsidRPr="005C3EC8">
        <w:lastRenderedPageBreak/>
        <w:t>negative media coverage of civil society</w:t>
      </w:r>
    </w:p>
    <w:p w14:paraId="3C406FA3" w14:textId="77777777" w:rsidR="0094599C" w:rsidRPr="005C3EC8" w:rsidRDefault="0094599C" w:rsidP="008200F5">
      <w:pPr>
        <w:pStyle w:val="ListParagraph"/>
        <w:numPr>
          <w:ilvl w:val="0"/>
          <w:numId w:val="35"/>
        </w:numPr>
      </w:pPr>
      <w:r w:rsidRPr="005C3EC8">
        <w:t>the Lobbying Act and its regulation</w:t>
      </w:r>
    </w:p>
    <w:p w14:paraId="5F09409B" w14:textId="4EF586C7" w:rsidR="0094599C" w:rsidRPr="005C3EC8" w:rsidRDefault="0094599C" w:rsidP="008200F5">
      <w:pPr>
        <w:pStyle w:val="ListParagraph"/>
        <w:numPr>
          <w:ilvl w:val="0"/>
          <w:numId w:val="35"/>
        </w:numPr>
      </w:pPr>
      <w:r w:rsidRPr="005C3EC8">
        <w:t>conditions of public funding that ban campaigning activities.</w:t>
      </w:r>
    </w:p>
    <w:p w14:paraId="01006C0E" w14:textId="0D6EC3B9" w:rsidR="0094599C" w:rsidRPr="005C3EC8" w:rsidRDefault="0094599C" w:rsidP="0094599C">
      <w:pPr>
        <w:spacing w:before="120"/>
        <w:ind w:left="720"/>
        <w:rPr>
          <w:rFonts w:ascii="Calibri" w:hAnsi="Calibri"/>
          <w:iCs/>
        </w:rPr>
      </w:pPr>
      <w:r w:rsidRPr="005C3EC8">
        <w:rPr>
          <w:rFonts w:ascii="Calibri" w:hAnsi="Calibri"/>
          <w:iCs/>
        </w:rPr>
        <w:t>But there are signs that change-makers are recovering their voice and confidence. A third say they have started campaigning more over the past three years, while 28% report taking a more robust tone</w:t>
      </w:r>
      <w:r w:rsidRPr="005C3EC8">
        <w:rPr>
          <w:rStyle w:val="FootnoteReference"/>
          <w:rFonts w:ascii="Calibri" w:hAnsi="Calibri"/>
          <w:iCs/>
        </w:rPr>
        <w:footnoteReference w:id="42"/>
      </w:r>
      <w:r w:rsidRPr="005C3EC8">
        <w:rPr>
          <w:rFonts w:ascii="Calibri" w:hAnsi="Calibri"/>
          <w:iCs/>
        </w:rPr>
        <w:t>.</w:t>
      </w:r>
    </w:p>
    <w:p w14:paraId="6AF321A4" w14:textId="00A6A182" w:rsidR="002929E0" w:rsidRPr="005C3EC8" w:rsidRDefault="0094599C" w:rsidP="00E956E1">
      <w:pPr>
        <w:spacing w:before="120"/>
        <w:rPr>
          <w:rFonts w:ascii="Calibri" w:hAnsi="Calibri"/>
          <w:iCs/>
        </w:rPr>
      </w:pPr>
      <w:r w:rsidRPr="005C3EC8">
        <w:rPr>
          <w:rFonts w:ascii="Calibri" w:hAnsi="Calibri"/>
          <w:iCs/>
        </w:rPr>
        <w:t>Notwithstanding these concerns, c</w:t>
      </w:r>
      <w:r w:rsidR="00730194" w:rsidRPr="005C3EC8">
        <w:rPr>
          <w:rFonts w:ascii="Calibri" w:hAnsi="Calibri"/>
          <w:iCs/>
        </w:rPr>
        <w:t>ivil society representatives are able to engage actively in public debate on the EITI and on issues concerning the sector. Civil society representatives are able to speak freely on transparency and natural resource governance issues. Civil society is encouraged to be involved in the design, implementation, monitoring and evaluation of the EITI.</w:t>
      </w:r>
    </w:p>
    <w:p w14:paraId="51D4C40B" w14:textId="6E693694" w:rsidR="00F342CC" w:rsidRPr="005C3EC8" w:rsidRDefault="002929E0" w:rsidP="005B1C79">
      <w:pPr>
        <w:spacing w:before="120"/>
        <w:rPr>
          <w:rFonts w:ascii="Calibri" w:hAnsi="Calibri" w:cs="Arial"/>
        </w:rPr>
      </w:pPr>
      <w:r w:rsidRPr="005C3EC8">
        <w:rPr>
          <w:rFonts w:ascii="Calibri" w:hAnsi="Calibri"/>
          <w:i/>
          <w:u w:val="single"/>
        </w:rPr>
        <w:t>Operation</w:t>
      </w:r>
      <w:r w:rsidRPr="005C3EC8">
        <w:rPr>
          <w:rFonts w:ascii="Calibri" w:hAnsi="Calibri"/>
          <w:i/>
        </w:rPr>
        <w:t>:</w:t>
      </w:r>
      <w:r w:rsidRPr="005C3EC8">
        <w:rPr>
          <w:rFonts w:ascii="Calibri" w:hAnsi="Calibri"/>
        </w:rPr>
        <w:t xml:space="preserve"> </w:t>
      </w:r>
      <w:r w:rsidR="005B1C79" w:rsidRPr="005C3EC8">
        <w:rPr>
          <w:rFonts w:ascii="Calibri" w:hAnsi="Calibri" w:cs="Arial"/>
        </w:rPr>
        <w:t>There were no indications of legal, regulatory, administrative or actual barriers to civil society preventing participation in EITI nor any obvious restrictions of fundamental rights. Civil society groups engaged in the EITI process are able to communicate and cooperate with each other regarding the EITI process. With respect to wider engagement in discussions regarding natural resource management, civil society groups are able to operate freely. Civil society is able to operate freely on extractive sector governance without coercion or fear of reprisal.</w:t>
      </w:r>
    </w:p>
    <w:p w14:paraId="468F9817" w14:textId="555FAB39" w:rsidR="00445169" w:rsidRPr="005C3EC8" w:rsidRDefault="002929E0" w:rsidP="00D0657A">
      <w:pPr>
        <w:spacing w:before="120"/>
        <w:rPr>
          <w:rFonts w:ascii="Calibri" w:hAnsi="Calibri"/>
        </w:rPr>
      </w:pPr>
      <w:r w:rsidRPr="005C3EC8">
        <w:rPr>
          <w:rFonts w:ascii="Calibri" w:hAnsi="Calibri"/>
          <w:i/>
          <w:u w:val="single"/>
        </w:rPr>
        <w:t>Association</w:t>
      </w:r>
      <w:r w:rsidRPr="005C3EC8">
        <w:rPr>
          <w:rFonts w:ascii="Calibri" w:hAnsi="Calibri"/>
          <w:i/>
        </w:rPr>
        <w:t xml:space="preserve">: </w:t>
      </w:r>
      <w:r w:rsidR="00D0657A" w:rsidRPr="005C3EC8">
        <w:rPr>
          <w:rFonts w:ascii="Calibri" w:hAnsi="Calibri"/>
        </w:rPr>
        <w:t>The UK civil society almanac</w:t>
      </w:r>
      <w:r w:rsidR="00D0657A" w:rsidRPr="005C3EC8">
        <w:rPr>
          <w:rStyle w:val="FootnoteReference"/>
          <w:rFonts w:ascii="Calibri" w:hAnsi="Calibri"/>
        </w:rPr>
        <w:footnoteReference w:id="43"/>
      </w:r>
      <w:r w:rsidR="00D0657A" w:rsidRPr="005C3EC8">
        <w:rPr>
          <w:rFonts w:ascii="Calibri" w:hAnsi="Calibri"/>
        </w:rPr>
        <w:t xml:space="preserve"> estimates that there are 390,000 civil society organisations in the UK. This number excludes estimates for unincorporated organisations ranging between 600,000 – 900,000</w:t>
      </w:r>
      <w:r w:rsidR="0042067C" w:rsidRPr="005C3EC8">
        <w:rPr>
          <w:rStyle w:val="FootnoteReference"/>
          <w:rFonts w:ascii="Calibri" w:hAnsi="Calibri"/>
        </w:rPr>
        <w:footnoteReference w:id="44"/>
      </w:r>
      <w:r w:rsidR="00D0657A" w:rsidRPr="005C3EC8">
        <w:rPr>
          <w:rFonts w:ascii="Calibri" w:hAnsi="Calibri"/>
        </w:rPr>
        <w:t xml:space="preserve">. </w:t>
      </w:r>
      <w:r w:rsidR="00E572E6" w:rsidRPr="005C3EC8">
        <w:rPr>
          <w:rFonts w:ascii="Calibri" w:hAnsi="Calibri"/>
        </w:rPr>
        <w:t>Figure 3 below visualises groups of organisations according to their distance from the state, the market, and communities.</w:t>
      </w:r>
    </w:p>
    <w:p w14:paraId="07709E6F" w14:textId="2542EE2F" w:rsidR="00E572E6" w:rsidRPr="005C3EC8" w:rsidRDefault="00E572E6" w:rsidP="000A673B">
      <w:pPr>
        <w:keepNext/>
        <w:spacing w:before="120"/>
        <w:rPr>
          <w:rFonts w:ascii="Calibri" w:hAnsi="Calibri"/>
          <w:i/>
          <w:iCs/>
        </w:rPr>
      </w:pPr>
      <w:bookmarkStart w:id="94" w:name="_Hlk7523975"/>
      <w:r w:rsidRPr="005C3EC8">
        <w:rPr>
          <w:rFonts w:ascii="Calibri" w:hAnsi="Calibri"/>
          <w:i/>
          <w:iCs/>
        </w:rPr>
        <w:lastRenderedPageBreak/>
        <w:t>Figure 3 – Visualisation of UK Civil Society, 2018</w:t>
      </w:r>
      <w:bookmarkEnd w:id="94"/>
      <w:r w:rsidRPr="005C3EC8">
        <w:rPr>
          <w:rStyle w:val="FootnoteReference"/>
          <w:rFonts w:ascii="Calibri" w:hAnsi="Calibri"/>
        </w:rPr>
        <w:footnoteReference w:id="45"/>
      </w:r>
    </w:p>
    <w:p w14:paraId="319F985B" w14:textId="29B7C566" w:rsidR="00D0657A" w:rsidRPr="005C3EC8" w:rsidRDefault="00E572E6" w:rsidP="00445169">
      <w:pPr>
        <w:spacing w:before="120"/>
        <w:rPr>
          <w:rFonts w:ascii="Calibri" w:hAnsi="Calibri"/>
        </w:rPr>
      </w:pPr>
      <w:r w:rsidRPr="005C3EC8">
        <w:rPr>
          <w:noProof/>
        </w:rPr>
        <w:drawing>
          <wp:inline distT="0" distB="0" distL="0" distR="0" wp14:anchorId="62FB01AB" wp14:editId="2428E610">
            <wp:extent cx="5124450" cy="6545630"/>
            <wp:effectExtent l="0" t="0" r="0" b="0"/>
            <wp:docPr id="7" name="Picture 7" descr="https://data.ncvo.org.uk/wp-content/uploads/2018/05/Almanac2018_Civil_society_triangle-01-e15258651794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ata.ncvo.org.uk/wp-content/uploads/2018/05/Almanac2018_Civil_society_triangle-01-e1525865179480.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34743" cy="6558777"/>
                    </a:xfrm>
                    <a:prstGeom prst="rect">
                      <a:avLst/>
                    </a:prstGeom>
                    <a:noFill/>
                    <a:ln>
                      <a:noFill/>
                    </a:ln>
                  </pic:spPr>
                </pic:pic>
              </a:graphicData>
            </a:graphic>
          </wp:inline>
        </w:drawing>
      </w:r>
    </w:p>
    <w:p w14:paraId="6658DC25" w14:textId="07B49598" w:rsidR="001717CA" w:rsidRPr="005C3EC8" w:rsidRDefault="001717CA" w:rsidP="00A70A8F">
      <w:pPr>
        <w:spacing w:before="120"/>
        <w:rPr>
          <w:rFonts w:ascii="Calibri" w:hAnsi="Calibri"/>
          <w:i/>
          <w:u w:val="single"/>
        </w:rPr>
      </w:pPr>
      <w:r w:rsidRPr="005C3EC8">
        <w:rPr>
          <w:rFonts w:ascii="Calibri" w:hAnsi="Calibri"/>
          <w:iCs/>
        </w:rPr>
        <w:t xml:space="preserve">The civil society organisations that have been active in the EITI process are able to communicate and cooperate with each other freely. There is no evidence to suggest that civil society MSG representatives have been restricted from engaging other CSOs that are not part of the MSG. Similarly, there is no evidence to suggest that formal or informal communication channels between civil society MSG members and the wider civil society constituency have been restricted, or that civil society MSG representatives </w:t>
      </w:r>
      <w:r w:rsidRPr="005C3EC8">
        <w:rPr>
          <w:rFonts w:ascii="Calibri" w:hAnsi="Calibri"/>
          <w:iCs/>
        </w:rPr>
        <w:lastRenderedPageBreak/>
        <w:t>have been restricted from engaging in outreach to broader civil society.</w:t>
      </w:r>
    </w:p>
    <w:p w14:paraId="7319D126" w14:textId="5115E29E" w:rsidR="001717CA" w:rsidRPr="005C3EC8" w:rsidRDefault="002929E0" w:rsidP="003B7537">
      <w:pPr>
        <w:spacing w:before="120"/>
        <w:rPr>
          <w:rFonts w:ascii="Calibri" w:hAnsi="Calibri"/>
        </w:rPr>
      </w:pPr>
      <w:r w:rsidRPr="005C3EC8">
        <w:rPr>
          <w:rFonts w:ascii="Calibri" w:hAnsi="Calibri"/>
          <w:i/>
          <w:u w:val="single"/>
        </w:rPr>
        <w:t>Engagement</w:t>
      </w:r>
      <w:r w:rsidRPr="005C3EC8">
        <w:rPr>
          <w:rFonts w:ascii="Calibri" w:hAnsi="Calibri"/>
          <w:i/>
        </w:rPr>
        <w:t>:</w:t>
      </w:r>
      <w:r w:rsidR="00383A12">
        <w:rPr>
          <w:rFonts w:ascii="Calibri" w:hAnsi="Calibri"/>
        </w:rPr>
        <w:t xml:space="preserve"> </w:t>
      </w:r>
      <w:r w:rsidR="001717CA" w:rsidRPr="005C3EC8">
        <w:rPr>
          <w:rFonts w:ascii="Calibri" w:hAnsi="Calibri"/>
        </w:rPr>
        <w:t xml:space="preserve">Civil society organisations in the UK are </w:t>
      </w:r>
      <w:r w:rsidR="0068716A" w:rsidRPr="005C3EC8">
        <w:rPr>
          <w:rFonts w:ascii="Calibri" w:hAnsi="Calibri"/>
        </w:rPr>
        <w:t xml:space="preserve">nominally well placed to </w:t>
      </w:r>
      <w:r w:rsidR="001717CA" w:rsidRPr="005C3EC8">
        <w:rPr>
          <w:rFonts w:ascii="Calibri" w:hAnsi="Calibri"/>
        </w:rPr>
        <w:t xml:space="preserve">be fully, actively and effectively engaged in the design, implementation, monitoring and evaluation of the EITI process. However, </w:t>
      </w:r>
      <w:r w:rsidR="009B2739" w:rsidRPr="005C3EC8">
        <w:rPr>
          <w:rFonts w:ascii="Calibri" w:hAnsi="Calibri"/>
        </w:rPr>
        <w:t>recently</w:t>
      </w:r>
      <w:r w:rsidR="00F20818" w:rsidRPr="005C3EC8">
        <w:rPr>
          <w:rFonts w:ascii="Calibri" w:hAnsi="Calibri"/>
        </w:rPr>
        <w:t xml:space="preserve">, </w:t>
      </w:r>
      <w:r w:rsidR="001717CA" w:rsidRPr="005C3EC8">
        <w:rPr>
          <w:rFonts w:ascii="Calibri" w:hAnsi="Calibri"/>
        </w:rPr>
        <w:t xml:space="preserve">civil society engagement has been insufficient. The full, active and effective engagement of civil society has been hampered by internal challenges related to the nomination and representation of civil society organisations on the multi-stakeholder group. </w:t>
      </w:r>
    </w:p>
    <w:p w14:paraId="60D9E5A1" w14:textId="6ED8EDB7" w:rsidR="00F20818" w:rsidRPr="005C3EC8" w:rsidRDefault="001717CA" w:rsidP="00F20818">
      <w:pPr>
        <w:rPr>
          <w:rFonts w:ascii="Calibri" w:hAnsi="Calibri"/>
        </w:rPr>
      </w:pPr>
      <w:r w:rsidRPr="005C3EC8">
        <w:rPr>
          <w:rFonts w:ascii="Calibri" w:hAnsi="Calibri"/>
        </w:rPr>
        <w:t xml:space="preserve">The civil society organisations that </w:t>
      </w:r>
      <w:r w:rsidR="0068716A" w:rsidRPr="005C3EC8">
        <w:rPr>
          <w:rFonts w:ascii="Calibri" w:hAnsi="Calibri"/>
        </w:rPr>
        <w:t xml:space="preserve">were </w:t>
      </w:r>
      <w:r w:rsidRPr="005C3EC8">
        <w:rPr>
          <w:rFonts w:ascii="Calibri" w:hAnsi="Calibri"/>
        </w:rPr>
        <w:t xml:space="preserve">most active in the EITI’s work globally since its inception played a strong and supportive role in establishing the EITI in the UK. These groups represented the civil society when the MSG was first established, and later formed the UK EITI Civil Society Network (CSN). </w:t>
      </w:r>
      <w:r w:rsidR="00F20818" w:rsidRPr="005C3EC8">
        <w:rPr>
          <w:rFonts w:ascii="Calibri" w:hAnsi="Calibri"/>
        </w:rPr>
        <w:t>In February 2016 the CSN agreed membership principles</w:t>
      </w:r>
      <w:r w:rsidR="00F20818" w:rsidRPr="005C3EC8">
        <w:rPr>
          <w:rStyle w:val="FootnoteReference"/>
          <w:rFonts w:ascii="Calibri" w:hAnsi="Calibri"/>
        </w:rPr>
        <w:footnoteReference w:id="46"/>
      </w:r>
      <w:r w:rsidR="00F20818" w:rsidRPr="005C3EC8">
        <w:rPr>
          <w:rFonts w:ascii="Calibri" w:hAnsi="Calibri"/>
        </w:rPr>
        <w:t xml:space="preserve"> adopted by a simple majority vote of the members. Full Membership is open to civil society organisations, each with a nominated official representative to represents the CSO at CSN meetings. As of March 2018, the full member organisations were: </w:t>
      </w:r>
    </w:p>
    <w:p w14:paraId="224B4C4C" w14:textId="77777777" w:rsidR="00F20818" w:rsidRPr="005C3EC8" w:rsidRDefault="00F20818" w:rsidP="00F20818">
      <w:pPr>
        <w:spacing w:before="120" w:after="120"/>
        <w:ind w:left="720"/>
        <w:rPr>
          <w:rFonts w:ascii="Calibri" w:hAnsi="Calibri"/>
        </w:rPr>
      </w:pPr>
      <w:r w:rsidRPr="005C3EC8">
        <w:rPr>
          <w:rFonts w:ascii="Calibri" w:hAnsi="Calibri"/>
        </w:rPr>
        <w:t xml:space="preserve">Article 19 </w:t>
      </w:r>
      <w:hyperlink r:id="rId26" w:history="1">
        <w:r w:rsidRPr="005C3EC8">
          <w:rPr>
            <w:rStyle w:val="Hyperlink"/>
            <w:rFonts w:ascii="Calibri" w:hAnsi="Calibri" w:cs="Calibri"/>
          </w:rPr>
          <w:t>www.article19.org</w:t>
        </w:r>
      </w:hyperlink>
    </w:p>
    <w:p w14:paraId="3DBACE49" w14:textId="77777777" w:rsidR="00F20818" w:rsidRPr="005C3EC8" w:rsidRDefault="00F20818" w:rsidP="00F20818">
      <w:pPr>
        <w:spacing w:before="120" w:after="120"/>
        <w:ind w:left="720"/>
        <w:rPr>
          <w:rFonts w:ascii="Calibri" w:hAnsi="Calibri"/>
        </w:rPr>
      </w:pPr>
      <w:r w:rsidRPr="005C3EC8">
        <w:rPr>
          <w:rFonts w:ascii="Calibri" w:hAnsi="Calibri"/>
        </w:rPr>
        <w:t xml:space="preserve">Christian Aid </w:t>
      </w:r>
      <w:hyperlink r:id="rId27" w:history="1">
        <w:r w:rsidRPr="005C3EC8">
          <w:rPr>
            <w:rStyle w:val="Hyperlink"/>
            <w:rFonts w:ascii="Calibri" w:hAnsi="Calibri" w:cs="Calibri"/>
          </w:rPr>
          <w:t>www.christianaid.org.uk/</w:t>
        </w:r>
      </w:hyperlink>
    </w:p>
    <w:p w14:paraId="428895B8" w14:textId="77777777" w:rsidR="00F20818" w:rsidRPr="005C3EC8" w:rsidRDefault="00F20818" w:rsidP="00F20818">
      <w:pPr>
        <w:spacing w:before="120" w:after="120"/>
        <w:ind w:left="720"/>
        <w:rPr>
          <w:rFonts w:ascii="Calibri" w:hAnsi="Calibri"/>
        </w:rPr>
      </w:pPr>
      <w:r w:rsidRPr="005C3EC8">
        <w:rPr>
          <w:rFonts w:ascii="Calibri" w:hAnsi="Calibri"/>
        </w:rPr>
        <w:t xml:space="preserve">Global Witness </w:t>
      </w:r>
      <w:hyperlink r:id="rId28" w:history="1">
        <w:r w:rsidRPr="005C3EC8">
          <w:rPr>
            <w:rStyle w:val="Hyperlink"/>
            <w:rFonts w:ascii="Calibri" w:hAnsi="Calibri" w:cs="Calibri"/>
          </w:rPr>
          <w:t>www.globalwitness.org/</w:t>
        </w:r>
      </w:hyperlink>
    </w:p>
    <w:p w14:paraId="0CE48D76" w14:textId="77777777" w:rsidR="00F20818" w:rsidRPr="005C3EC8" w:rsidRDefault="00F20818" w:rsidP="00F20818">
      <w:pPr>
        <w:spacing w:before="120" w:after="120"/>
        <w:ind w:left="720"/>
        <w:rPr>
          <w:rFonts w:ascii="Calibri" w:hAnsi="Calibri"/>
        </w:rPr>
      </w:pPr>
      <w:r w:rsidRPr="005C3EC8">
        <w:rPr>
          <w:rFonts w:ascii="Calibri" w:hAnsi="Calibri"/>
        </w:rPr>
        <w:t xml:space="preserve">Green Alliance </w:t>
      </w:r>
      <w:hyperlink r:id="rId29" w:history="1">
        <w:r w:rsidRPr="005C3EC8">
          <w:rPr>
            <w:rStyle w:val="Hyperlink"/>
            <w:rFonts w:ascii="Calibri" w:hAnsi="Calibri" w:cs="Calibri"/>
          </w:rPr>
          <w:t>www.green-alliance.org.uk</w:t>
        </w:r>
      </w:hyperlink>
    </w:p>
    <w:p w14:paraId="3713A4A3" w14:textId="77777777" w:rsidR="00F20818" w:rsidRPr="005C3EC8" w:rsidRDefault="00F20818" w:rsidP="00F20818">
      <w:pPr>
        <w:spacing w:before="120" w:after="120"/>
        <w:ind w:left="720"/>
        <w:rPr>
          <w:rFonts w:ascii="Calibri" w:hAnsi="Calibri"/>
        </w:rPr>
      </w:pPr>
      <w:r w:rsidRPr="005C3EC8">
        <w:rPr>
          <w:rFonts w:ascii="Calibri" w:hAnsi="Calibri"/>
        </w:rPr>
        <w:t xml:space="preserve">Involve </w:t>
      </w:r>
      <w:hyperlink r:id="rId30" w:history="1">
        <w:r w:rsidRPr="005C3EC8">
          <w:rPr>
            <w:rStyle w:val="Hyperlink"/>
            <w:rFonts w:ascii="Calibri" w:hAnsi="Calibri" w:cs="Calibri"/>
          </w:rPr>
          <w:t>www.involve.org.uk</w:t>
        </w:r>
      </w:hyperlink>
    </w:p>
    <w:p w14:paraId="079FC09C" w14:textId="77777777" w:rsidR="00F20818" w:rsidRPr="005C3EC8" w:rsidRDefault="00F20818" w:rsidP="00F20818">
      <w:pPr>
        <w:spacing w:before="120" w:after="120"/>
        <w:ind w:left="720"/>
        <w:rPr>
          <w:rFonts w:ascii="Calibri" w:hAnsi="Calibri"/>
        </w:rPr>
      </w:pPr>
      <w:r w:rsidRPr="005C3EC8">
        <w:rPr>
          <w:rFonts w:ascii="Calibri" w:hAnsi="Calibri"/>
        </w:rPr>
        <w:t xml:space="preserve">Natural Resource Governance Institute </w:t>
      </w:r>
      <w:hyperlink r:id="rId31" w:history="1">
        <w:r w:rsidRPr="005C3EC8">
          <w:rPr>
            <w:rStyle w:val="Hyperlink"/>
            <w:rFonts w:ascii="Calibri" w:hAnsi="Calibri" w:cs="Calibri"/>
          </w:rPr>
          <w:t>www.resourcegovernance.org</w:t>
        </w:r>
      </w:hyperlink>
      <w:r w:rsidRPr="005C3EC8">
        <w:rPr>
          <w:rFonts w:ascii="Calibri" w:hAnsi="Calibri"/>
        </w:rPr>
        <w:t xml:space="preserve">  </w:t>
      </w:r>
    </w:p>
    <w:p w14:paraId="16ACC76A" w14:textId="77777777" w:rsidR="00F20818" w:rsidRPr="005C3EC8" w:rsidRDefault="00F20818" w:rsidP="00F20818">
      <w:pPr>
        <w:spacing w:before="120" w:after="120"/>
        <w:ind w:left="720"/>
        <w:rPr>
          <w:rFonts w:ascii="Calibri" w:hAnsi="Calibri"/>
        </w:rPr>
      </w:pPr>
      <w:r w:rsidRPr="005C3EC8">
        <w:rPr>
          <w:rFonts w:ascii="Calibri" w:hAnsi="Calibri"/>
        </w:rPr>
        <w:t xml:space="preserve">ONE </w:t>
      </w:r>
      <w:hyperlink r:id="rId32" w:history="1">
        <w:r w:rsidRPr="005C3EC8">
          <w:rPr>
            <w:rStyle w:val="Hyperlink"/>
            <w:rFonts w:ascii="Calibri" w:hAnsi="Calibri" w:cs="Calibri"/>
          </w:rPr>
          <w:t>www.one.org/</w:t>
        </w:r>
      </w:hyperlink>
    </w:p>
    <w:p w14:paraId="7D6ADD75" w14:textId="77777777" w:rsidR="00F20818" w:rsidRPr="005C3EC8" w:rsidRDefault="00F20818" w:rsidP="00F20818">
      <w:pPr>
        <w:spacing w:before="120" w:after="120"/>
        <w:ind w:left="720"/>
        <w:rPr>
          <w:rFonts w:ascii="Calibri" w:hAnsi="Calibri"/>
        </w:rPr>
      </w:pPr>
      <w:r w:rsidRPr="005C3EC8">
        <w:rPr>
          <w:rFonts w:ascii="Calibri" w:hAnsi="Calibri"/>
        </w:rPr>
        <w:t xml:space="preserve">Oxfam GB </w:t>
      </w:r>
      <w:hyperlink r:id="rId33" w:history="1">
        <w:r w:rsidRPr="005C3EC8">
          <w:rPr>
            <w:rStyle w:val="Hyperlink"/>
            <w:rFonts w:ascii="Calibri" w:hAnsi="Calibri" w:cs="Calibri"/>
          </w:rPr>
          <w:t>www.oxfam.org.uk</w:t>
        </w:r>
      </w:hyperlink>
      <w:r w:rsidRPr="005C3EC8">
        <w:rPr>
          <w:rFonts w:ascii="Calibri" w:hAnsi="Calibri"/>
        </w:rPr>
        <w:t xml:space="preserve"> </w:t>
      </w:r>
    </w:p>
    <w:p w14:paraId="07BEDB4D" w14:textId="77777777" w:rsidR="00F20818" w:rsidRPr="005C3EC8" w:rsidRDefault="00F20818" w:rsidP="00F20818">
      <w:pPr>
        <w:spacing w:before="120" w:after="120"/>
        <w:ind w:left="720"/>
        <w:rPr>
          <w:rFonts w:ascii="Calibri" w:hAnsi="Calibri"/>
        </w:rPr>
      </w:pPr>
      <w:r w:rsidRPr="005C3EC8">
        <w:rPr>
          <w:rFonts w:ascii="Calibri" w:hAnsi="Calibri"/>
        </w:rPr>
        <w:t xml:space="preserve">Publish What You Pay UK </w:t>
      </w:r>
      <w:hyperlink r:id="rId34" w:history="1">
        <w:r w:rsidRPr="005C3EC8">
          <w:rPr>
            <w:rStyle w:val="Hyperlink"/>
            <w:rFonts w:ascii="Calibri" w:hAnsi="Calibri" w:cs="Calibri"/>
          </w:rPr>
          <w:t>www.publishwhatyoupay.org/members/united-kingdom/</w:t>
        </w:r>
      </w:hyperlink>
    </w:p>
    <w:p w14:paraId="3FEFCDF3" w14:textId="77777777" w:rsidR="00F20818" w:rsidRPr="005C3EC8" w:rsidRDefault="00F20818" w:rsidP="00F20818">
      <w:pPr>
        <w:spacing w:before="120" w:after="120"/>
        <w:ind w:left="720"/>
        <w:rPr>
          <w:rFonts w:ascii="Calibri" w:hAnsi="Calibri"/>
        </w:rPr>
      </w:pPr>
      <w:r w:rsidRPr="005C3EC8">
        <w:rPr>
          <w:rFonts w:ascii="Calibri" w:hAnsi="Calibri"/>
        </w:rPr>
        <w:t xml:space="preserve">Transparency International UK </w:t>
      </w:r>
      <w:hyperlink r:id="rId35" w:history="1">
        <w:r w:rsidRPr="005C3EC8">
          <w:rPr>
            <w:rStyle w:val="Hyperlink"/>
            <w:rFonts w:ascii="Calibri" w:hAnsi="Calibri" w:cs="Calibri"/>
          </w:rPr>
          <w:t>www.transparency.org.uk/</w:t>
        </w:r>
      </w:hyperlink>
      <w:r w:rsidRPr="005C3EC8">
        <w:rPr>
          <w:rFonts w:ascii="Calibri" w:hAnsi="Calibri"/>
        </w:rPr>
        <w:t xml:space="preserve"> </w:t>
      </w:r>
    </w:p>
    <w:p w14:paraId="12716D66" w14:textId="4FA39852" w:rsidR="00F20818" w:rsidRPr="005C3EC8" w:rsidRDefault="00F20818" w:rsidP="007C1C40">
      <w:pPr>
        <w:spacing w:before="360"/>
        <w:rPr>
          <w:rFonts w:ascii="Calibri" w:hAnsi="Calibri"/>
        </w:rPr>
      </w:pPr>
      <w:r w:rsidRPr="005C3EC8">
        <w:rPr>
          <w:rFonts w:ascii="Calibri" w:hAnsi="Calibri"/>
        </w:rPr>
        <w:t xml:space="preserve">Associate </w:t>
      </w:r>
      <w:r w:rsidR="0068716A" w:rsidRPr="005C3EC8">
        <w:rPr>
          <w:rFonts w:ascii="Calibri" w:hAnsi="Calibri"/>
        </w:rPr>
        <w:t>m</w:t>
      </w:r>
      <w:r w:rsidRPr="005C3EC8">
        <w:rPr>
          <w:rFonts w:ascii="Calibri" w:hAnsi="Calibri"/>
        </w:rPr>
        <w:t xml:space="preserve">embership is open to individuals who are not affiliated to, or able to represent, a CSO. As of March 2018, the CSN had more than 20 individual associate members unaffiliated to the organisations above. The CSN has substantial technical expertise and capacity to </w:t>
      </w:r>
      <w:r w:rsidR="007C1C40" w:rsidRPr="005C3EC8">
        <w:rPr>
          <w:rFonts w:ascii="Calibri" w:hAnsi="Calibri"/>
        </w:rPr>
        <w:t xml:space="preserve">make a </w:t>
      </w:r>
      <w:r w:rsidR="00383A12">
        <w:rPr>
          <w:rFonts w:ascii="Calibri" w:hAnsi="Calibri"/>
        </w:rPr>
        <w:t>significant</w:t>
      </w:r>
      <w:r w:rsidR="00383A12" w:rsidRPr="005C3EC8">
        <w:rPr>
          <w:rFonts w:ascii="Calibri" w:hAnsi="Calibri"/>
        </w:rPr>
        <w:t xml:space="preserve"> </w:t>
      </w:r>
      <w:r w:rsidR="007C1C40" w:rsidRPr="005C3EC8">
        <w:rPr>
          <w:rFonts w:ascii="Calibri" w:hAnsi="Calibri"/>
        </w:rPr>
        <w:t>contribution</w:t>
      </w:r>
      <w:r w:rsidRPr="005C3EC8">
        <w:rPr>
          <w:rFonts w:ascii="Calibri" w:hAnsi="Calibri"/>
        </w:rPr>
        <w:t xml:space="preserve"> </w:t>
      </w:r>
      <w:r w:rsidR="007C1C40" w:rsidRPr="005C3EC8">
        <w:rPr>
          <w:rFonts w:ascii="Calibri" w:hAnsi="Calibri"/>
        </w:rPr>
        <w:t xml:space="preserve">to the EITI through the MSG (as demonstrated through their early engagement in the process). </w:t>
      </w:r>
      <w:r w:rsidRPr="005C3EC8">
        <w:rPr>
          <w:rFonts w:ascii="Calibri" w:hAnsi="Calibri"/>
        </w:rPr>
        <w:t>However, in September 2017 the CSN withdrew from the UK EITI process</w:t>
      </w:r>
      <w:r w:rsidRPr="005C3EC8">
        <w:rPr>
          <w:rStyle w:val="FootnoteReference"/>
          <w:rFonts w:ascii="Calibri" w:hAnsi="Calibri"/>
        </w:rPr>
        <w:footnoteReference w:id="47"/>
      </w:r>
      <w:r w:rsidR="0068716A" w:rsidRPr="005C3EC8">
        <w:rPr>
          <w:rFonts w:ascii="Calibri" w:hAnsi="Calibri"/>
        </w:rPr>
        <w:t xml:space="preserve"> following a dispute related to the nomination and representation of civil society organisations on the multi-stakeholder group (see requirement 1.4). </w:t>
      </w:r>
    </w:p>
    <w:p w14:paraId="2E63F31B" w14:textId="165CA555" w:rsidR="001717CA" w:rsidRPr="005C3EC8" w:rsidRDefault="0068716A" w:rsidP="007C1C40">
      <w:pPr>
        <w:spacing w:before="360"/>
        <w:rPr>
          <w:rFonts w:ascii="Calibri" w:hAnsi="Calibri"/>
        </w:rPr>
      </w:pPr>
      <w:r w:rsidRPr="005C3EC8">
        <w:rPr>
          <w:rFonts w:ascii="Calibri" w:hAnsi="Calibri"/>
        </w:rPr>
        <w:t xml:space="preserve">The current CSO members of the MSG were nominated by the </w:t>
      </w:r>
      <w:r w:rsidR="00F20818" w:rsidRPr="005C3EC8">
        <w:rPr>
          <w:rFonts w:ascii="Calibri" w:hAnsi="Calibri"/>
        </w:rPr>
        <w:t xml:space="preserve">Extractive Industries Civil Society (EICS). </w:t>
      </w:r>
      <w:r w:rsidRPr="005C3EC8">
        <w:rPr>
          <w:rFonts w:ascii="Calibri" w:hAnsi="Calibri"/>
        </w:rPr>
        <w:t xml:space="preserve">At the time of validation, this network seems largely defunct. The current CSO members appear to </w:t>
      </w:r>
      <w:r w:rsidR="007C1C40" w:rsidRPr="005C3EC8">
        <w:rPr>
          <w:rFonts w:ascii="Calibri" w:hAnsi="Calibri"/>
        </w:rPr>
        <w:t xml:space="preserve">be </w:t>
      </w:r>
      <w:r w:rsidRPr="005C3EC8">
        <w:rPr>
          <w:rFonts w:ascii="Calibri" w:hAnsi="Calibri"/>
        </w:rPr>
        <w:t xml:space="preserve">acting </w:t>
      </w:r>
      <w:r w:rsidRPr="005C3EC8">
        <w:rPr>
          <w:rFonts w:ascii="Calibri" w:hAnsi="Calibri"/>
        </w:rPr>
        <w:lastRenderedPageBreak/>
        <w:t xml:space="preserve">in an individual capacity, with limited interaction with civil society organisations outside the MSG. </w:t>
      </w:r>
    </w:p>
    <w:p w14:paraId="367AC690" w14:textId="7324C1A9" w:rsidR="005814F3" w:rsidRPr="005C3EC8" w:rsidRDefault="002929E0" w:rsidP="003B7537">
      <w:pPr>
        <w:spacing w:before="120"/>
        <w:rPr>
          <w:rFonts w:ascii="Calibri" w:hAnsi="Calibri"/>
        </w:rPr>
      </w:pPr>
      <w:r w:rsidRPr="005C3EC8">
        <w:rPr>
          <w:rFonts w:ascii="Calibri" w:hAnsi="Calibri"/>
          <w:i/>
          <w:u w:val="single"/>
        </w:rPr>
        <w:t>Access to public decision-making</w:t>
      </w:r>
      <w:r w:rsidRPr="005C3EC8">
        <w:rPr>
          <w:rFonts w:ascii="Calibri" w:hAnsi="Calibri"/>
          <w:i/>
        </w:rPr>
        <w:t>:</w:t>
      </w:r>
      <w:r w:rsidR="00577EBA">
        <w:rPr>
          <w:rFonts w:ascii="Calibri" w:hAnsi="Calibri"/>
        </w:rPr>
        <w:t xml:space="preserve"> </w:t>
      </w:r>
      <w:r w:rsidR="005814F3" w:rsidRPr="005C3EC8">
        <w:rPr>
          <w:rFonts w:ascii="Calibri" w:hAnsi="Calibri"/>
        </w:rPr>
        <w:t xml:space="preserve">Civil society representatives </w:t>
      </w:r>
      <w:r w:rsidR="007C1C40" w:rsidRPr="005C3EC8">
        <w:rPr>
          <w:rFonts w:ascii="Calibri" w:hAnsi="Calibri"/>
        </w:rPr>
        <w:t xml:space="preserve">are able to use </w:t>
      </w:r>
      <w:r w:rsidR="005814F3" w:rsidRPr="005C3EC8">
        <w:rPr>
          <w:rFonts w:ascii="Calibri" w:hAnsi="Calibri"/>
        </w:rPr>
        <w:t xml:space="preserve">the EITI process to promote public debate to inform the public about the EITI process and opportunities. </w:t>
      </w:r>
    </w:p>
    <w:p w14:paraId="1F205FC0" w14:textId="7B17256E" w:rsidR="005814F3" w:rsidRPr="005C3EC8" w:rsidRDefault="005814F3" w:rsidP="005814F3">
      <w:pPr>
        <w:spacing w:before="120"/>
        <w:rPr>
          <w:rFonts w:ascii="Calibri" w:hAnsi="Calibri"/>
        </w:rPr>
      </w:pPr>
      <w:r w:rsidRPr="005C3EC8">
        <w:rPr>
          <w:rFonts w:ascii="Calibri" w:hAnsi="Calibri"/>
        </w:rPr>
        <w:t>There is no evidence to suggest that civil society representatives are</w:t>
      </w:r>
      <w:r w:rsidR="006123D8" w:rsidRPr="005C3EC8">
        <w:rPr>
          <w:rFonts w:ascii="Calibri" w:hAnsi="Calibri"/>
        </w:rPr>
        <w:t xml:space="preserve"> </w:t>
      </w:r>
      <w:r w:rsidRPr="005C3EC8">
        <w:rPr>
          <w:rFonts w:ascii="Calibri" w:hAnsi="Calibri"/>
        </w:rPr>
        <w:t>n</w:t>
      </w:r>
      <w:r w:rsidR="006123D8" w:rsidRPr="005C3EC8">
        <w:rPr>
          <w:rFonts w:ascii="Calibri" w:hAnsi="Calibri"/>
        </w:rPr>
        <w:t>o</w:t>
      </w:r>
      <w:r w:rsidRPr="005C3EC8">
        <w:rPr>
          <w:rFonts w:ascii="Calibri" w:hAnsi="Calibri"/>
        </w:rPr>
        <w:t>t able to engage in activities and debates about natural resource governance including</w:t>
      </w:r>
      <w:r w:rsidR="006123D8" w:rsidRPr="005C3EC8">
        <w:rPr>
          <w:rFonts w:ascii="Calibri" w:hAnsi="Calibri"/>
        </w:rPr>
        <w:t>,</w:t>
      </w:r>
      <w:r w:rsidRPr="005C3EC8">
        <w:rPr>
          <w:rFonts w:ascii="Calibri" w:hAnsi="Calibri"/>
        </w:rPr>
        <w:t xml:space="preserve"> for example</w:t>
      </w:r>
      <w:r w:rsidR="006123D8" w:rsidRPr="005C3EC8">
        <w:rPr>
          <w:rFonts w:ascii="Calibri" w:hAnsi="Calibri"/>
        </w:rPr>
        <w:t>,</w:t>
      </w:r>
      <w:r w:rsidRPr="005C3EC8">
        <w:rPr>
          <w:rFonts w:ascii="Calibri" w:hAnsi="Calibri"/>
        </w:rPr>
        <w:t xml:space="preserve"> conducting analysis and advocacy on natural resource issues, use of EITI data, engagement with media outlets, development of tools to communicate the findings of the EITI Report. Information on the EITI is in the public domain and has been further disseminated by civil society members, for example with blogs</w:t>
      </w:r>
      <w:r w:rsidR="000821CD" w:rsidRPr="005C3EC8">
        <w:rPr>
          <w:rStyle w:val="FootnoteReference"/>
          <w:rFonts w:ascii="Calibri" w:hAnsi="Calibri"/>
        </w:rPr>
        <w:footnoteReference w:id="48"/>
      </w:r>
      <w:r w:rsidRPr="005C3EC8">
        <w:rPr>
          <w:rFonts w:ascii="Calibri" w:hAnsi="Calibri"/>
        </w:rPr>
        <w:t xml:space="preserve"> and panel discussions.</w:t>
      </w:r>
    </w:p>
    <w:p w14:paraId="51F65AF4" w14:textId="197C1A50" w:rsidR="003969A9" w:rsidRPr="005C3EC8" w:rsidRDefault="002929E0">
      <w:pPr>
        <w:pStyle w:val="Heading3"/>
      </w:pPr>
      <w:r w:rsidRPr="005C3EC8">
        <w:t>Stakeholder views</w:t>
      </w:r>
    </w:p>
    <w:p w14:paraId="40272303" w14:textId="2F2DEC9D" w:rsidR="007C1C40" w:rsidRPr="005C3EC8" w:rsidRDefault="007C1C40" w:rsidP="007C1C40">
      <w:pPr>
        <w:spacing w:before="360"/>
        <w:rPr>
          <w:rFonts w:ascii="Calibri" w:hAnsi="Calibri"/>
        </w:rPr>
      </w:pPr>
      <w:r w:rsidRPr="005C3EC8">
        <w:rPr>
          <w:rFonts w:ascii="Calibri" w:hAnsi="Calibri"/>
        </w:rPr>
        <w:t xml:space="preserve">Stakeholders consulted by the </w:t>
      </w:r>
      <w:r w:rsidR="00577EBA">
        <w:rPr>
          <w:rFonts w:ascii="Calibri" w:hAnsi="Calibri"/>
        </w:rPr>
        <w:t>I</w:t>
      </w:r>
      <w:r w:rsidRPr="005C3EC8">
        <w:rPr>
          <w:rFonts w:ascii="Calibri" w:hAnsi="Calibri"/>
        </w:rPr>
        <w:t xml:space="preserve">nternational </w:t>
      </w:r>
      <w:r w:rsidR="00577EBA">
        <w:rPr>
          <w:rFonts w:ascii="Calibri" w:hAnsi="Calibri"/>
        </w:rPr>
        <w:t>S</w:t>
      </w:r>
      <w:r w:rsidRPr="005C3EC8">
        <w:rPr>
          <w:rFonts w:ascii="Calibri" w:hAnsi="Calibri"/>
        </w:rPr>
        <w:t xml:space="preserve">ecretariat were unanimous that there were no systematic issues that constrained the active participation of civil society in the EITI process. Similarly, stakeholders were unanimous that the dispute regarding the nomination and representation of civil society organisations on the MSG had detracted from other </w:t>
      </w:r>
      <w:r w:rsidR="00CD66E9" w:rsidRPr="005C3EC8">
        <w:rPr>
          <w:rFonts w:ascii="Calibri" w:hAnsi="Calibri"/>
        </w:rPr>
        <w:t>aspects of implementation</w:t>
      </w:r>
      <w:r w:rsidRPr="005C3EC8">
        <w:rPr>
          <w:rFonts w:ascii="Calibri" w:hAnsi="Calibri"/>
        </w:rPr>
        <w:t xml:space="preserve">. Government and industry representatives lamented that the dispute resulted in the withdrawal of some of the most capable civil society actors. </w:t>
      </w:r>
    </w:p>
    <w:p w14:paraId="7CA6EA7E" w14:textId="53C14C4C" w:rsidR="007C1C40" w:rsidRPr="005C3EC8" w:rsidRDefault="007C1C40" w:rsidP="007C1C40">
      <w:pPr>
        <w:spacing w:before="360"/>
        <w:rPr>
          <w:rFonts w:ascii="Calibri" w:hAnsi="Calibri"/>
        </w:rPr>
      </w:pPr>
      <w:r w:rsidRPr="005C3EC8">
        <w:rPr>
          <w:rFonts w:ascii="Calibri" w:hAnsi="Calibri"/>
        </w:rPr>
        <w:t xml:space="preserve">In </w:t>
      </w:r>
      <w:r w:rsidR="00BF2762" w:rsidRPr="005C3EC8">
        <w:rPr>
          <w:rFonts w:ascii="Calibri" w:hAnsi="Calibri"/>
        </w:rPr>
        <w:t>withdrawing</w:t>
      </w:r>
      <w:r w:rsidRPr="005C3EC8">
        <w:rPr>
          <w:rFonts w:ascii="Calibri" w:hAnsi="Calibri"/>
        </w:rPr>
        <w:t xml:space="preserve"> from the EITI, the CSN </w:t>
      </w:r>
      <w:r w:rsidR="00BF2762" w:rsidRPr="005C3EC8">
        <w:rPr>
          <w:rFonts w:ascii="Calibri" w:hAnsi="Calibri"/>
        </w:rPr>
        <w:t xml:space="preserve">expressed its dissatisfaction with the government’s decision to </w:t>
      </w:r>
      <w:r w:rsidRPr="005C3EC8">
        <w:rPr>
          <w:rFonts w:ascii="Calibri" w:hAnsi="Calibri"/>
        </w:rPr>
        <w:t>give</w:t>
      </w:r>
      <w:r w:rsidR="00BF2762" w:rsidRPr="005C3EC8">
        <w:rPr>
          <w:rFonts w:ascii="Calibri" w:hAnsi="Calibri"/>
        </w:rPr>
        <w:t xml:space="preserve"> the </w:t>
      </w:r>
      <w:r w:rsidRPr="005C3EC8">
        <w:rPr>
          <w:rFonts w:ascii="Calibri" w:hAnsi="Calibri"/>
        </w:rPr>
        <w:t>EICS authority over certain civil society nominations to the UK EITI</w:t>
      </w:r>
      <w:r w:rsidR="00BF2762" w:rsidRPr="005C3EC8">
        <w:rPr>
          <w:rFonts w:ascii="Calibri" w:hAnsi="Calibri"/>
        </w:rPr>
        <w:t xml:space="preserve"> MSG, arguing that “t</w:t>
      </w:r>
      <w:r w:rsidRPr="005C3EC8">
        <w:rPr>
          <w:rFonts w:ascii="Calibri" w:hAnsi="Calibri"/>
        </w:rPr>
        <w:t>his decision contravenes sections 1.3 and 1.4 of the EITI Standard and is a breach of civil society’s right to determine its own representatives independently</w:t>
      </w:r>
      <w:r w:rsidR="00BF2762" w:rsidRPr="005C3EC8">
        <w:rPr>
          <w:rFonts w:ascii="Calibri" w:hAnsi="Calibri"/>
        </w:rPr>
        <w:t>”</w:t>
      </w:r>
      <w:r w:rsidRPr="005C3EC8">
        <w:rPr>
          <w:rFonts w:ascii="Calibri" w:hAnsi="Calibri"/>
        </w:rPr>
        <w:t>.</w:t>
      </w:r>
      <w:r w:rsidR="00BF2762" w:rsidRPr="005C3EC8">
        <w:rPr>
          <w:rFonts w:ascii="Calibri" w:hAnsi="Calibri"/>
        </w:rPr>
        <w:t xml:space="preserve"> The CSN statement reads:</w:t>
      </w:r>
    </w:p>
    <w:p w14:paraId="3998F014" w14:textId="18C4041E" w:rsidR="00BF2762" w:rsidRPr="005C3EC8" w:rsidRDefault="00BF2762" w:rsidP="00BF2762">
      <w:pPr>
        <w:spacing w:before="360"/>
        <w:ind w:left="720"/>
        <w:rPr>
          <w:rFonts w:ascii="Calibri" w:hAnsi="Calibri"/>
          <w:i/>
          <w:iCs/>
        </w:rPr>
      </w:pPr>
      <w:r w:rsidRPr="005C3EC8">
        <w:rPr>
          <w:rFonts w:ascii="Calibri" w:hAnsi="Calibri"/>
          <w:i/>
          <w:iCs/>
        </w:rPr>
        <w:t>In a further effort to find a solution in September 2017, and following consultation with government officials at the Department for Business, Energy and Industrial Strategy, the CSN agreed to amend its Membership Principles to make reference to diversity and local UK communities affected by the extractive industries. The CSN also invited EICS to apply to join the CSN, which it refused to do. We have always sought in good faith to find a solution to the challenges faced on the issue of civil society representation.</w:t>
      </w:r>
    </w:p>
    <w:p w14:paraId="5E1D2077" w14:textId="4D404DE8" w:rsidR="00BF2762" w:rsidRPr="005C3EC8" w:rsidRDefault="00BF2762" w:rsidP="00BF2762">
      <w:pPr>
        <w:spacing w:before="360"/>
        <w:rPr>
          <w:rFonts w:ascii="Calibri" w:hAnsi="Calibri"/>
        </w:rPr>
      </w:pPr>
      <w:r w:rsidRPr="005C3EC8">
        <w:rPr>
          <w:rFonts w:ascii="Calibri" w:hAnsi="Calibri"/>
        </w:rPr>
        <w:t>CSN representatives argued that the EICS was not acting in good faith</w:t>
      </w:r>
      <w:r w:rsidR="005625CA" w:rsidRPr="005C3EC8">
        <w:rPr>
          <w:rFonts w:ascii="Calibri" w:hAnsi="Calibri"/>
        </w:rPr>
        <w:t xml:space="preserve">, and that their objective was to disrupt the work of the CSN, not to seriously engage in the work of the EITI. </w:t>
      </w:r>
    </w:p>
    <w:p w14:paraId="6D92D796" w14:textId="6FE0A210" w:rsidR="00BF2762" w:rsidRPr="005C3EC8" w:rsidRDefault="00BF2762" w:rsidP="00BF2762">
      <w:pPr>
        <w:spacing w:before="360"/>
        <w:rPr>
          <w:rFonts w:ascii="Calibri" w:hAnsi="Calibri"/>
        </w:rPr>
      </w:pPr>
      <w:r w:rsidRPr="005C3EC8">
        <w:rPr>
          <w:rFonts w:ascii="Calibri" w:hAnsi="Calibri"/>
        </w:rPr>
        <w:t xml:space="preserve">EICS representatives argued that their interest and involvement in the EITI was a legitimate expression of alternative civil society </w:t>
      </w:r>
      <w:r w:rsidR="005625CA" w:rsidRPr="005C3EC8">
        <w:rPr>
          <w:rFonts w:ascii="Calibri" w:hAnsi="Calibri"/>
        </w:rPr>
        <w:t xml:space="preserve">constituency </w:t>
      </w:r>
      <w:r w:rsidRPr="005C3EC8">
        <w:rPr>
          <w:rFonts w:ascii="Calibri" w:hAnsi="Calibri"/>
        </w:rPr>
        <w:t>views. In a post on GOXI, Martin Brown</w:t>
      </w:r>
      <w:r w:rsidR="005625CA" w:rsidRPr="005C3EC8">
        <w:rPr>
          <w:rFonts w:ascii="Calibri" w:hAnsi="Calibri"/>
        </w:rPr>
        <w:t>,</w:t>
      </w:r>
      <w:r w:rsidRPr="005C3EC8">
        <w:rPr>
          <w:rFonts w:ascii="Calibri" w:hAnsi="Calibri"/>
        </w:rPr>
        <w:t xml:space="preserve"> an anti-corruption and transparency adviser for EICS outlined their position: </w:t>
      </w:r>
    </w:p>
    <w:p w14:paraId="5F54FFA1" w14:textId="594461E5" w:rsidR="005625CA" w:rsidRPr="005C3EC8" w:rsidRDefault="00BF2762" w:rsidP="005625CA">
      <w:pPr>
        <w:spacing w:before="360"/>
        <w:ind w:left="720"/>
        <w:rPr>
          <w:rFonts w:ascii="Calibri" w:hAnsi="Calibri"/>
          <w:i/>
          <w:iCs/>
        </w:rPr>
      </w:pPr>
      <w:r w:rsidRPr="005C3EC8">
        <w:rPr>
          <w:rFonts w:ascii="Calibri" w:hAnsi="Calibri"/>
          <w:i/>
          <w:iCs/>
        </w:rPr>
        <w:lastRenderedPageBreak/>
        <w:t>Outside of the UK MSG most people don't know that a 'network' of powerful international NGOs, led and funded by Global Witness and Publish What You Pay has collaborated to keep control of the process of nominating members to the UK MSG- to press home their own narrow policy imperatives. Community groups in the UK recognise their 'right to be heard', but no one wants an MSG with only white, male staff from London-based NGOs, which have no locus at all in community groups affected by our mining, oil and gas sectors. EICS has long proposed that a single civil society body should be used to nominate members, but we want it to be transparent and we want to guarantee that not all the nominees will be, as has been up to now, career staff members of large transnational NGOs or 'consultants'. We believe nominees must include genuine representatives of workers, such as trade unionists and include women and BAME representation too. This simple idea was refused by the experts, representatives and consultants from Global Witness and Publish What You Pay</w:t>
      </w:r>
      <w:r w:rsidRPr="005C3EC8">
        <w:rPr>
          <w:rStyle w:val="FootnoteReference"/>
          <w:rFonts w:ascii="Calibri" w:hAnsi="Calibri"/>
          <w:i/>
          <w:iCs/>
        </w:rPr>
        <w:footnoteReference w:id="49"/>
      </w:r>
      <w:r w:rsidRPr="005C3EC8">
        <w:rPr>
          <w:rFonts w:ascii="Calibri" w:hAnsi="Calibri"/>
          <w:i/>
          <w:iCs/>
        </w:rPr>
        <w:t>.</w:t>
      </w:r>
    </w:p>
    <w:p w14:paraId="0D0BFBB4" w14:textId="1FC3E430" w:rsidR="00BE0FDE" w:rsidRPr="005C3EC8" w:rsidRDefault="005625CA" w:rsidP="005625CA">
      <w:pPr>
        <w:spacing w:before="360"/>
        <w:rPr>
          <w:rFonts w:ascii="Calibri" w:hAnsi="Calibri"/>
        </w:rPr>
      </w:pPr>
      <w:r w:rsidRPr="005C3EC8">
        <w:rPr>
          <w:rFonts w:ascii="Calibri" w:hAnsi="Calibri"/>
        </w:rPr>
        <w:t>The current CSO members of the MSG consulted by International Secretariat noted limited contact with the EICS network</w:t>
      </w:r>
      <w:r w:rsidR="00BE0FDE" w:rsidRPr="005C3EC8">
        <w:rPr>
          <w:rFonts w:ascii="Calibri" w:hAnsi="Calibri"/>
        </w:rPr>
        <w:t xml:space="preserve">. </w:t>
      </w:r>
      <w:r w:rsidRPr="005C3EC8">
        <w:rPr>
          <w:rFonts w:ascii="Calibri" w:hAnsi="Calibri"/>
        </w:rPr>
        <w:t xml:space="preserve">They </w:t>
      </w:r>
      <w:r w:rsidR="00BE0FDE" w:rsidRPr="005C3EC8">
        <w:rPr>
          <w:rFonts w:ascii="Calibri" w:hAnsi="Calibri"/>
        </w:rPr>
        <w:t xml:space="preserve">highlighted their interest on the EITI </w:t>
      </w:r>
      <w:r w:rsidRPr="005C3EC8">
        <w:rPr>
          <w:rFonts w:ascii="Calibri" w:hAnsi="Calibri"/>
        </w:rPr>
        <w:t xml:space="preserve">in an individual capacity </w:t>
      </w:r>
      <w:r w:rsidR="00BE0FDE" w:rsidRPr="005C3EC8">
        <w:rPr>
          <w:rFonts w:ascii="Calibri" w:hAnsi="Calibri"/>
        </w:rPr>
        <w:t xml:space="preserve">and acknowledged that they had </w:t>
      </w:r>
      <w:r w:rsidRPr="005C3EC8">
        <w:rPr>
          <w:rFonts w:ascii="Calibri" w:hAnsi="Calibri"/>
        </w:rPr>
        <w:t xml:space="preserve">limited interaction with </w:t>
      </w:r>
      <w:r w:rsidR="00BE0FDE" w:rsidRPr="005C3EC8">
        <w:rPr>
          <w:rFonts w:ascii="Calibri" w:hAnsi="Calibri"/>
        </w:rPr>
        <w:t xml:space="preserve">other </w:t>
      </w:r>
      <w:r w:rsidRPr="005C3EC8">
        <w:rPr>
          <w:rFonts w:ascii="Calibri" w:hAnsi="Calibri"/>
        </w:rPr>
        <w:t xml:space="preserve">civil society organisations </w:t>
      </w:r>
      <w:r w:rsidR="00BE0FDE" w:rsidRPr="005C3EC8">
        <w:rPr>
          <w:rFonts w:ascii="Calibri" w:hAnsi="Calibri"/>
        </w:rPr>
        <w:t xml:space="preserve">and actors regarding the EITI. </w:t>
      </w:r>
    </w:p>
    <w:p w14:paraId="44166F93" w14:textId="641EAC83" w:rsidR="00BF2762" w:rsidRPr="005C3EC8" w:rsidRDefault="00BF2762" w:rsidP="00B6378F">
      <w:pPr>
        <w:spacing w:before="360"/>
        <w:rPr>
          <w:rFonts w:ascii="Calibri" w:hAnsi="Calibri"/>
        </w:rPr>
      </w:pPr>
      <w:r w:rsidRPr="005C3EC8">
        <w:rPr>
          <w:rFonts w:ascii="Calibri" w:hAnsi="Calibri"/>
        </w:rPr>
        <w:t xml:space="preserve">Government representatives </w:t>
      </w:r>
      <w:r w:rsidR="005625CA" w:rsidRPr="005C3EC8">
        <w:rPr>
          <w:rFonts w:ascii="Calibri" w:hAnsi="Calibri"/>
        </w:rPr>
        <w:t>argued</w:t>
      </w:r>
      <w:r w:rsidRPr="005C3EC8">
        <w:rPr>
          <w:rFonts w:ascii="Calibri" w:hAnsi="Calibri"/>
        </w:rPr>
        <w:t xml:space="preserve"> that they were caught in a “catch 22” situation. The government had hoped that the constituency would be able to reach a consensus on a nomination procedure for electing civil society representatives</w:t>
      </w:r>
      <w:r w:rsidR="00B6378F" w:rsidRPr="005C3EC8">
        <w:rPr>
          <w:rFonts w:ascii="Calibri" w:hAnsi="Calibri"/>
        </w:rPr>
        <w:t xml:space="preserve"> and that government would have no role in this process</w:t>
      </w:r>
      <w:r w:rsidRPr="005C3EC8">
        <w:rPr>
          <w:rFonts w:ascii="Calibri" w:hAnsi="Calibri"/>
        </w:rPr>
        <w:t xml:space="preserve">. </w:t>
      </w:r>
      <w:r w:rsidR="00B6378F" w:rsidRPr="005C3EC8">
        <w:rPr>
          <w:rFonts w:ascii="Calibri" w:hAnsi="Calibri"/>
        </w:rPr>
        <w:t xml:space="preserve">However, they </w:t>
      </w:r>
      <w:r w:rsidR="00231187" w:rsidRPr="005C3EC8">
        <w:rPr>
          <w:rFonts w:ascii="Calibri" w:hAnsi="Calibri"/>
        </w:rPr>
        <w:t xml:space="preserve">also </w:t>
      </w:r>
      <w:r w:rsidR="00B6378F" w:rsidRPr="005C3EC8">
        <w:rPr>
          <w:rFonts w:ascii="Calibri" w:hAnsi="Calibri"/>
        </w:rPr>
        <w:t>noted that a</w:t>
      </w:r>
      <w:r w:rsidR="005625CA" w:rsidRPr="005C3EC8">
        <w:rPr>
          <w:rFonts w:ascii="Calibri" w:hAnsi="Calibri"/>
        </w:rPr>
        <w:t xml:space="preserve"> protracted impasse would led to an MSG without civil society representation, which would lead to the failure of the process. </w:t>
      </w:r>
      <w:r w:rsidR="00231187" w:rsidRPr="005C3EC8">
        <w:rPr>
          <w:rFonts w:ascii="Calibri" w:hAnsi="Calibri"/>
        </w:rPr>
        <w:t xml:space="preserve">When the process stalled, </w:t>
      </w:r>
      <w:r w:rsidR="005625CA" w:rsidRPr="005C3EC8">
        <w:rPr>
          <w:rFonts w:ascii="Calibri" w:hAnsi="Calibri"/>
        </w:rPr>
        <w:t xml:space="preserve">officials felt obliged </w:t>
      </w:r>
      <w:r w:rsidR="00231187" w:rsidRPr="005C3EC8">
        <w:rPr>
          <w:rFonts w:ascii="Calibri" w:hAnsi="Calibri"/>
        </w:rPr>
        <w:t>to</w:t>
      </w:r>
      <w:r w:rsidR="005625CA" w:rsidRPr="005C3EC8">
        <w:rPr>
          <w:rFonts w:ascii="Calibri" w:hAnsi="Calibri"/>
        </w:rPr>
        <w:t xml:space="preserve"> consider nominations from both groups.</w:t>
      </w:r>
      <w:r w:rsidR="00BE0FDE" w:rsidRPr="005C3EC8">
        <w:rPr>
          <w:rFonts w:ascii="Calibri" w:hAnsi="Calibri"/>
        </w:rPr>
        <w:t xml:space="preserve"> </w:t>
      </w:r>
      <w:r w:rsidR="00B6378F" w:rsidRPr="005C3EC8">
        <w:rPr>
          <w:rFonts w:ascii="Calibri" w:hAnsi="Calibri"/>
        </w:rPr>
        <w:t xml:space="preserve">Irrespective of the group’s motives and membership, both were considered part of the wider civil society constituency. Disenfranchising one or the other would also have led to accusations of government interference. </w:t>
      </w:r>
      <w:r w:rsidR="00BE0FDE" w:rsidRPr="005C3EC8">
        <w:rPr>
          <w:rFonts w:ascii="Calibri" w:hAnsi="Calibri"/>
        </w:rPr>
        <w:t xml:space="preserve">Government representatives highlighted their interest in developing a nomination </w:t>
      </w:r>
      <w:r w:rsidR="00D05CAF" w:rsidRPr="005C3EC8">
        <w:rPr>
          <w:rFonts w:ascii="Calibri" w:hAnsi="Calibri"/>
        </w:rPr>
        <w:t>procedure that had the support of all parties, and committed to support efforts</w:t>
      </w:r>
      <w:r w:rsidR="00231187" w:rsidRPr="005C3EC8">
        <w:rPr>
          <w:rFonts w:ascii="Calibri" w:hAnsi="Calibri"/>
        </w:rPr>
        <w:t xml:space="preserve"> to find a solution</w:t>
      </w:r>
      <w:r w:rsidR="00D05CAF" w:rsidRPr="005C3EC8">
        <w:rPr>
          <w:rFonts w:ascii="Calibri" w:hAnsi="Calibri"/>
        </w:rPr>
        <w:t xml:space="preserve">. </w:t>
      </w:r>
    </w:p>
    <w:p w14:paraId="6FF4E37A" w14:textId="0F2216F4" w:rsidR="007B124A" w:rsidRPr="005C3EC8" w:rsidRDefault="00FF74E9">
      <w:pPr>
        <w:pStyle w:val="Heading3"/>
      </w:pPr>
      <w:r w:rsidRPr="005C3EC8">
        <w:t>Initial a</w:t>
      </w:r>
      <w:r w:rsidR="002929E0" w:rsidRPr="005C3EC8">
        <w:t>ssessment</w:t>
      </w:r>
    </w:p>
    <w:p w14:paraId="009EA2AA" w14:textId="75F872A2" w:rsidR="007C1C40" w:rsidRPr="005C3EC8" w:rsidRDefault="00B212E0" w:rsidP="00D62580">
      <w:pPr>
        <w:rPr>
          <w:rFonts w:ascii="Calibri" w:hAnsi="Calibri"/>
        </w:rPr>
      </w:pPr>
      <w:r w:rsidRPr="005C3EC8">
        <w:rPr>
          <w:rFonts w:ascii="Calibri" w:hAnsi="Calibri"/>
        </w:rPr>
        <w:t xml:space="preserve">The International Secretariat’s initial assessment is that the UK has made </w:t>
      </w:r>
      <w:r w:rsidRPr="003B7537">
        <w:rPr>
          <w:rFonts w:ascii="Calibri" w:hAnsi="Calibri"/>
          <w:bCs/>
        </w:rPr>
        <w:t>meaning</w:t>
      </w:r>
      <w:r w:rsidR="00CF3F01" w:rsidRPr="003B7537">
        <w:rPr>
          <w:rFonts w:ascii="Calibri" w:hAnsi="Calibri"/>
          <w:bCs/>
        </w:rPr>
        <w:t>ful</w:t>
      </w:r>
      <w:r w:rsidRPr="003B7537">
        <w:rPr>
          <w:rFonts w:ascii="Calibri" w:hAnsi="Calibri"/>
          <w:bCs/>
        </w:rPr>
        <w:t xml:space="preserve"> progress</w:t>
      </w:r>
      <w:r w:rsidRPr="005C3EC8">
        <w:rPr>
          <w:rFonts w:ascii="Calibri" w:hAnsi="Calibri"/>
        </w:rPr>
        <w:t xml:space="preserve"> in meeting this requirement. </w:t>
      </w:r>
    </w:p>
    <w:p w14:paraId="0C7A2377" w14:textId="5F61C6CB" w:rsidR="005274F9" w:rsidRPr="005C3EC8" w:rsidRDefault="007C1C40" w:rsidP="007C1C40">
      <w:pPr>
        <w:rPr>
          <w:rFonts w:ascii="Calibri" w:hAnsi="Calibri"/>
        </w:rPr>
      </w:pPr>
      <w:r w:rsidRPr="005C3EC8">
        <w:rPr>
          <w:rFonts w:ascii="Calibri" w:hAnsi="Calibri"/>
        </w:rPr>
        <w:t>The participation of civil society is fundamental to achieving the objectives of EITI. The active participation of civil society in the EITI process is key to ensure that the transparency created by the EITI leads to greater accountability. However, a</w:t>
      </w:r>
      <w:r w:rsidR="00B212E0" w:rsidRPr="005C3EC8">
        <w:rPr>
          <w:rFonts w:ascii="Calibri" w:hAnsi="Calibri"/>
        </w:rPr>
        <w:t>s of 1 July 2018, the civil society constituency was not “fully, actively and effectively engaged in the EITI process” (requirement 1.3). There is no evidence of any legal, regulatory or practical barriers to civil society’s ability to engage in EITI</w:t>
      </w:r>
      <w:r w:rsidR="00031CC2" w:rsidRPr="005C3EC8">
        <w:rPr>
          <w:rFonts w:ascii="Calibri" w:hAnsi="Calibri"/>
        </w:rPr>
        <w:t xml:space="preserve">. There are no barriers </w:t>
      </w:r>
      <w:r w:rsidR="00B212E0" w:rsidRPr="005C3EC8">
        <w:rPr>
          <w:rFonts w:ascii="Calibri" w:hAnsi="Calibri"/>
        </w:rPr>
        <w:t>to freely operat</w:t>
      </w:r>
      <w:r w:rsidR="00031CC2" w:rsidRPr="005C3EC8">
        <w:rPr>
          <w:rFonts w:ascii="Calibri" w:hAnsi="Calibri"/>
        </w:rPr>
        <w:t>ing</w:t>
      </w:r>
      <w:r w:rsidR="00B212E0" w:rsidRPr="005C3EC8">
        <w:rPr>
          <w:rFonts w:ascii="Calibri" w:hAnsi="Calibri"/>
        </w:rPr>
        <w:t>, communicat</w:t>
      </w:r>
      <w:r w:rsidR="00031CC2" w:rsidRPr="005C3EC8">
        <w:rPr>
          <w:rFonts w:ascii="Calibri" w:hAnsi="Calibri"/>
        </w:rPr>
        <w:t>ing</w:t>
      </w:r>
      <w:r w:rsidR="00B212E0" w:rsidRPr="005C3EC8">
        <w:rPr>
          <w:rFonts w:ascii="Calibri" w:hAnsi="Calibri"/>
        </w:rPr>
        <w:t xml:space="preserve"> and cooperat</w:t>
      </w:r>
      <w:r w:rsidR="00031CC2" w:rsidRPr="005C3EC8">
        <w:rPr>
          <w:rFonts w:ascii="Calibri" w:hAnsi="Calibri"/>
        </w:rPr>
        <w:t>ing</w:t>
      </w:r>
      <w:r w:rsidR="00B212E0" w:rsidRPr="005C3EC8">
        <w:rPr>
          <w:rFonts w:ascii="Calibri" w:hAnsi="Calibri"/>
        </w:rPr>
        <w:t xml:space="preserve"> with the broader constituency.</w:t>
      </w:r>
      <w:r w:rsidR="005274F9" w:rsidRPr="005C3EC8">
        <w:rPr>
          <w:rFonts w:ascii="Calibri" w:hAnsi="Calibri"/>
        </w:rPr>
        <w:t xml:space="preserve"> </w:t>
      </w:r>
      <w:r w:rsidR="00031CC2" w:rsidRPr="005C3EC8">
        <w:rPr>
          <w:rFonts w:ascii="Calibri" w:hAnsi="Calibri"/>
        </w:rPr>
        <w:t xml:space="preserve">However, </w:t>
      </w:r>
      <w:r w:rsidR="005274F9" w:rsidRPr="005C3EC8">
        <w:rPr>
          <w:rFonts w:ascii="Calibri" w:hAnsi="Calibri"/>
        </w:rPr>
        <w:t>the dispute between the CSN and EICS has led to a situation whereby the civil society constituency is not adequately represented</w:t>
      </w:r>
      <w:r w:rsidR="00BF2762" w:rsidRPr="005C3EC8">
        <w:rPr>
          <w:rFonts w:ascii="Calibri" w:hAnsi="Calibri"/>
        </w:rPr>
        <w:t xml:space="preserve"> or engaged</w:t>
      </w:r>
      <w:r w:rsidR="005274F9" w:rsidRPr="005C3EC8">
        <w:rPr>
          <w:rFonts w:ascii="Calibri" w:hAnsi="Calibri"/>
        </w:rPr>
        <w:t xml:space="preserve">. The current CSO MSG members have </w:t>
      </w:r>
      <w:r w:rsidR="00D62580" w:rsidRPr="005C3EC8">
        <w:rPr>
          <w:rFonts w:ascii="Calibri" w:hAnsi="Calibri"/>
        </w:rPr>
        <w:t>on an individual</w:t>
      </w:r>
      <w:r w:rsidR="005274F9" w:rsidRPr="005C3EC8">
        <w:rPr>
          <w:rFonts w:ascii="Calibri" w:hAnsi="Calibri"/>
        </w:rPr>
        <w:t xml:space="preserve"> basis </w:t>
      </w:r>
      <w:r w:rsidR="00D62580" w:rsidRPr="005C3EC8">
        <w:rPr>
          <w:rFonts w:ascii="Calibri" w:hAnsi="Calibri"/>
        </w:rPr>
        <w:t>sought to contribute the work of the MSG. However, by their own admission</w:t>
      </w:r>
      <w:r w:rsidR="00183758">
        <w:rPr>
          <w:rFonts w:ascii="Calibri" w:hAnsi="Calibri"/>
        </w:rPr>
        <w:t xml:space="preserve">, most of them are </w:t>
      </w:r>
      <w:r w:rsidR="00D62580" w:rsidRPr="005C3EC8">
        <w:rPr>
          <w:rFonts w:ascii="Calibri" w:hAnsi="Calibri"/>
        </w:rPr>
        <w:t xml:space="preserve">not </w:t>
      </w:r>
      <w:r w:rsidR="005274F9" w:rsidRPr="005C3EC8">
        <w:rPr>
          <w:rFonts w:ascii="Calibri" w:hAnsi="Calibri"/>
        </w:rPr>
        <w:t xml:space="preserve">deeply engaged in the </w:t>
      </w:r>
      <w:r w:rsidR="00BF2762" w:rsidRPr="005C3EC8">
        <w:rPr>
          <w:rFonts w:ascii="Calibri" w:hAnsi="Calibri"/>
        </w:rPr>
        <w:t xml:space="preserve">EITI </w:t>
      </w:r>
      <w:r w:rsidR="005274F9" w:rsidRPr="005C3EC8">
        <w:rPr>
          <w:rFonts w:ascii="Calibri" w:hAnsi="Calibri"/>
        </w:rPr>
        <w:lastRenderedPageBreak/>
        <w:t>process, and have</w:t>
      </w:r>
      <w:r w:rsidR="00D62580" w:rsidRPr="005C3EC8">
        <w:rPr>
          <w:rFonts w:ascii="Calibri" w:hAnsi="Calibri"/>
        </w:rPr>
        <w:t xml:space="preserve"> had</w:t>
      </w:r>
      <w:r w:rsidR="005274F9" w:rsidRPr="005C3EC8">
        <w:rPr>
          <w:rFonts w:ascii="Calibri" w:hAnsi="Calibri"/>
        </w:rPr>
        <w:t xml:space="preserve"> limited interaction with </w:t>
      </w:r>
      <w:r w:rsidR="00BF2762" w:rsidRPr="005C3EC8">
        <w:rPr>
          <w:rFonts w:ascii="Calibri" w:hAnsi="Calibri"/>
        </w:rPr>
        <w:t xml:space="preserve">other </w:t>
      </w:r>
      <w:r w:rsidR="005274F9" w:rsidRPr="005C3EC8">
        <w:rPr>
          <w:rFonts w:ascii="Calibri" w:hAnsi="Calibri"/>
        </w:rPr>
        <w:t>civil society organisations outside the MSG</w:t>
      </w:r>
      <w:r w:rsidR="00D62580" w:rsidRPr="005C3EC8">
        <w:rPr>
          <w:rFonts w:ascii="Calibri" w:hAnsi="Calibri"/>
        </w:rPr>
        <w:t xml:space="preserve">. </w:t>
      </w:r>
    </w:p>
    <w:p w14:paraId="652740B1" w14:textId="7DF33AE2" w:rsidR="001717CA" w:rsidRPr="005C3EC8" w:rsidRDefault="001717CA" w:rsidP="005274F9">
      <w:pPr>
        <w:rPr>
          <w:rFonts w:ascii="Calibri" w:hAnsi="Calibri"/>
        </w:rPr>
      </w:pPr>
      <w:r w:rsidRPr="005C3EC8">
        <w:rPr>
          <w:rFonts w:ascii="Calibri" w:hAnsi="Calibri"/>
        </w:rPr>
        <w:t xml:space="preserve">In the </w:t>
      </w:r>
      <w:r w:rsidR="00577EBA">
        <w:rPr>
          <w:rFonts w:ascii="Calibri" w:hAnsi="Calibri"/>
        </w:rPr>
        <w:t>I</w:t>
      </w:r>
      <w:r w:rsidRPr="005C3EC8">
        <w:rPr>
          <w:rFonts w:ascii="Calibri" w:hAnsi="Calibri"/>
        </w:rPr>
        <w:t xml:space="preserve">nternational </w:t>
      </w:r>
      <w:r w:rsidR="00577EBA">
        <w:rPr>
          <w:rFonts w:ascii="Calibri" w:hAnsi="Calibri"/>
        </w:rPr>
        <w:t>S</w:t>
      </w:r>
      <w:r w:rsidRPr="005C3EC8">
        <w:rPr>
          <w:rFonts w:ascii="Calibri" w:hAnsi="Calibri"/>
        </w:rPr>
        <w:t>ecretariat’s view, the government’s efforts to address the</w:t>
      </w:r>
      <w:r w:rsidR="005274F9" w:rsidRPr="005C3EC8">
        <w:rPr>
          <w:rFonts w:ascii="Calibri" w:hAnsi="Calibri"/>
        </w:rPr>
        <w:t>se</w:t>
      </w:r>
      <w:r w:rsidRPr="005C3EC8">
        <w:rPr>
          <w:rFonts w:ascii="Calibri" w:hAnsi="Calibri"/>
        </w:rPr>
        <w:t xml:space="preserve"> challenges were made in good faith. There is no evidence to suggest that the government sought to influence or orchestrate civil society representation. </w:t>
      </w:r>
      <w:r w:rsidR="005274F9" w:rsidRPr="005C3EC8">
        <w:rPr>
          <w:rFonts w:ascii="Calibri" w:hAnsi="Calibri"/>
        </w:rPr>
        <w:t>T</w:t>
      </w:r>
      <w:r w:rsidRPr="005C3EC8">
        <w:rPr>
          <w:rFonts w:ascii="Calibri" w:hAnsi="Calibri"/>
        </w:rPr>
        <w:t xml:space="preserve">here is no evidence to suggest any coercion or threat of reprisal. </w:t>
      </w:r>
      <w:r w:rsidR="005274F9" w:rsidRPr="005C3EC8">
        <w:rPr>
          <w:rFonts w:ascii="Calibri" w:hAnsi="Calibri"/>
        </w:rPr>
        <w:t xml:space="preserve">Accordingly, the </w:t>
      </w:r>
      <w:r w:rsidR="00577EBA">
        <w:rPr>
          <w:rFonts w:ascii="Calibri" w:hAnsi="Calibri"/>
        </w:rPr>
        <w:t>I</w:t>
      </w:r>
      <w:r w:rsidR="005274F9" w:rsidRPr="005C3EC8">
        <w:rPr>
          <w:rFonts w:ascii="Calibri" w:hAnsi="Calibri"/>
        </w:rPr>
        <w:t xml:space="preserve">nternational </w:t>
      </w:r>
      <w:r w:rsidR="00577EBA">
        <w:rPr>
          <w:rFonts w:ascii="Calibri" w:hAnsi="Calibri"/>
        </w:rPr>
        <w:t>S</w:t>
      </w:r>
      <w:r w:rsidR="005274F9" w:rsidRPr="005C3EC8">
        <w:rPr>
          <w:rFonts w:ascii="Calibri" w:hAnsi="Calibri"/>
        </w:rPr>
        <w:t xml:space="preserve">ecretariat does not consider these incidents to constitute a breach of the civil society protocol. </w:t>
      </w:r>
    </w:p>
    <w:p w14:paraId="00ED6017" w14:textId="7726F41F" w:rsidR="005274F9" w:rsidRPr="005C3EC8" w:rsidRDefault="005274F9" w:rsidP="005274F9">
      <w:pPr>
        <w:rPr>
          <w:rFonts w:ascii="Calibri" w:hAnsi="Calibri"/>
        </w:rPr>
      </w:pPr>
      <w:r w:rsidRPr="005C3EC8">
        <w:t xml:space="preserve">In accordance with </w:t>
      </w:r>
      <w:r w:rsidR="00577EBA">
        <w:t>R</w:t>
      </w:r>
      <w:r w:rsidRPr="005C3EC8">
        <w:t>equirement 1.3.a, the civil society constituency should demonstrate that they are fully, actively and effectively engaged in the EITI process. Specifically, civil society should ensure that they are able to fully contribute and provide input to the EITI process by ensuring that the constituency is adequately represented on the MSG, with agreed mechanisms for wider constituency engagement.</w:t>
      </w:r>
    </w:p>
    <w:p w14:paraId="406B5B26" w14:textId="627CA417" w:rsidR="002929E0" w:rsidRPr="005C3EC8" w:rsidRDefault="002929E0" w:rsidP="0097728B">
      <w:pPr>
        <w:pStyle w:val="Heading2"/>
      </w:pPr>
      <w:bookmarkStart w:id="95" w:name="_Toc459133089"/>
      <w:bookmarkStart w:id="96" w:name="_Toc461803038"/>
      <w:bookmarkStart w:id="97" w:name="_Toc461787319"/>
      <w:bookmarkStart w:id="98" w:name="_Toc461795831"/>
      <w:bookmarkStart w:id="99" w:name="_Toc462149178"/>
      <w:r w:rsidRPr="005C3EC8">
        <w:t>MSG governance and functioning (#1.4)</w:t>
      </w:r>
      <w:bookmarkEnd w:id="95"/>
      <w:bookmarkEnd w:id="96"/>
      <w:bookmarkEnd w:id="97"/>
      <w:bookmarkEnd w:id="98"/>
      <w:bookmarkEnd w:id="99"/>
    </w:p>
    <w:p w14:paraId="7194849D" w14:textId="77777777" w:rsidR="00F90D13" w:rsidRPr="005C3EC8" w:rsidRDefault="002929E0" w:rsidP="0097728B">
      <w:pPr>
        <w:pStyle w:val="Heading3"/>
      </w:pPr>
      <w:r w:rsidRPr="005C3EC8">
        <w:t>Documentation of progress</w:t>
      </w:r>
    </w:p>
    <w:p w14:paraId="5FB0E510" w14:textId="52BA8B1E" w:rsidR="00D04F22" w:rsidRPr="005C3EC8" w:rsidRDefault="004950FF" w:rsidP="006E3AD1">
      <w:pPr>
        <w:rPr>
          <w:rFonts w:ascii="Calibri" w:hAnsi="Calibri"/>
        </w:rPr>
      </w:pPr>
      <w:r w:rsidRPr="005C3EC8">
        <w:rPr>
          <w:rFonts w:ascii="Calibri" w:hAnsi="Calibri"/>
          <w:i/>
          <w:u w:val="single"/>
        </w:rPr>
        <w:t xml:space="preserve">MSG </w:t>
      </w:r>
      <w:r w:rsidR="002929E0" w:rsidRPr="005C3EC8">
        <w:rPr>
          <w:rFonts w:ascii="Calibri" w:hAnsi="Calibri"/>
          <w:i/>
          <w:u w:val="single"/>
        </w:rPr>
        <w:t>composition and membership</w:t>
      </w:r>
      <w:r w:rsidR="00B64337">
        <w:rPr>
          <w:rFonts w:ascii="Calibri" w:hAnsi="Calibri"/>
          <w:i/>
          <w:u w:val="single"/>
        </w:rPr>
        <w:t>:</w:t>
      </w:r>
      <w:r w:rsidR="00B64337">
        <w:rPr>
          <w:rFonts w:ascii="Calibri" w:hAnsi="Calibri"/>
        </w:rPr>
        <w:t xml:space="preserve"> </w:t>
      </w:r>
      <w:r w:rsidR="008547D7" w:rsidRPr="005C3EC8">
        <w:rPr>
          <w:rFonts w:ascii="Calibri" w:hAnsi="Calibri"/>
        </w:rPr>
        <w:t>The EITI Standard requires that “each stakeholder group must have the right to appoint its own representatives, bearing in mind the desirability of pluralistic and diverse representation” and that “the nomination process must be independent and free from any suggestion of coercion” (</w:t>
      </w:r>
      <w:r w:rsidR="008547D7" w:rsidRPr="005C3EC8">
        <w:rPr>
          <w:rFonts w:ascii="Calibri" w:hAnsi="Calibri"/>
          <w:i/>
          <w:iCs/>
        </w:rPr>
        <w:t>Requirement 1.4</w:t>
      </w:r>
      <w:r w:rsidR="008547D7" w:rsidRPr="005C3EC8">
        <w:rPr>
          <w:rFonts w:ascii="Calibri" w:hAnsi="Calibri"/>
        </w:rPr>
        <w:t xml:space="preserve">). </w:t>
      </w:r>
      <w:r w:rsidR="006E3AD1" w:rsidRPr="005C3EC8">
        <w:rPr>
          <w:rFonts w:ascii="Calibri" w:hAnsi="Calibri"/>
        </w:rPr>
        <w:t>The UK candidature application</w:t>
      </w:r>
      <w:r w:rsidR="006E3AD1" w:rsidRPr="005C3EC8">
        <w:rPr>
          <w:rStyle w:val="FootnoteReference"/>
          <w:rFonts w:ascii="Calibri" w:hAnsi="Calibri"/>
        </w:rPr>
        <w:footnoteReference w:id="50"/>
      </w:r>
      <w:r w:rsidR="006E3AD1" w:rsidRPr="005C3EC8">
        <w:rPr>
          <w:rFonts w:ascii="Calibri" w:hAnsi="Calibri"/>
        </w:rPr>
        <w:t xml:space="preserve"> notes that “after discussions with stakeholders who had experience of working on other EITI MSGs, the Government decided on an equal 4/4/4 split between civil society, industry and government representatives. It was agreed that a smaller MSG would help facilitate full and open discussion while ensuring sufficient expertise”. </w:t>
      </w:r>
      <w:r w:rsidR="008547D7" w:rsidRPr="005C3EC8">
        <w:rPr>
          <w:rFonts w:ascii="Calibri" w:hAnsi="Calibri"/>
        </w:rPr>
        <w:t xml:space="preserve">The arrangements as outlined in the candidature application </w:t>
      </w:r>
      <w:r w:rsidR="00D04F22" w:rsidRPr="005C3EC8">
        <w:rPr>
          <w:rFonts w:ascii="Calibri" w:hAnsi="Calibri"/>
        </w:rPr>
        <w:t xml:space="preserve">have generally been continued. </w:t>
      </w:r>
    </w:p>
    <w:p w14:paraId="7681A740" w14:textId="6B8258B3" w:rsidR="00C620A6" w:rsidRPr="005C3EC8" w:rsidRDefault="002929E0" w:rsidP="003B7537">
      <w:pPr>
        <w:spacing w:before="120"/>
        <w:rPr>
          <w:rFonts w:ascii="Calibri" w:hAnsi="Calibri"/>
        </w:rPr>
      </w:pPr>
      <w:r w:rsidRPr="005C3EC8">
        <w:rPr>
          <w:rFonts w:ascii="Calibri" w:hAnsi="Calibri"/>
          <w:i/>
        </w:rPr>
        <w:t>Civil society representation</w:t>
      </w:r>
      <w:r w:rsidRPr="005C3EC8">
        <w:rPr>
          <w:rFonts w:ascii="Calibri" w:hAnsi="Calibri"/>
        </w:rPr>
        <w:t>:</w:t>
      </w:r>
      <w:r w:rsidR="00B64337">
        <w:rPr>
          <w:rFonts w:ascii="Calibri" w:hAnsi="Calibri"/>
          <w:bCs/>
        </w:rPr>
        <w:t xml:space="preserve"> </w:t>
      </w:r>
      <w:r w:rsidR="00C620A6" w:rsidRPr="005C3EC8">
        <w:rPr>
          <w:rFonts w:ascii="Calibri" w:hAnsi="Calibri"/>
          <w:bCs/>
        </w:rPr>
        <w:t xml:space="preserve">As noted above, </w:t>
      </w:r>
      <w:r w:rsidR="00C620A6" w:rsidRPr="005C3EC8">
        <w:rPr>
          <w:rFonts w:ascii="Calibri" w:hAnsi="Calibri"/>
        </w:rPr>
        <w:t>the civil society organisations that were most active in the EITI’s work globally since its inception played a strong and supportive role in establishing the EITI in the UK. The UK candidature application notes:</w:t>
      </w:r>
    </w:p>
    <w:p w14:paraId="030EDBC1" w14:textId="4B0B7302" w:rsidR="00604130" w:rsidRPr="005C3EC8" w:rsidRDefault="00604130" w:rsidP="00C620A6">
      <w:pPr>
        <w:ind w:left="720"/>
        <w:rPr>
          <w:rFonts w:ascii="Calibri" w:hAnsi="Calibri"/>
          <w:i/>
          <w:iCs/>
        </w:rPr>
      </w:pPr>
      <w:r w:rsidRPr="005C3EC8">
        <w:rPr>
          <w:rFonts w:ascii="Calibri" w:hAnsi="Calibri"/>
          <w:i/>
          <w:iCs/>
        </w:rPr>
        <w:t>Following the EITI launch event, the UK Secretariat provided a room to enable civil society to begin the process of choosing representation for the MSG. Government officials were not present at this meeting to avoid unintentionally influencing civil society in the process. …. This meeting started a successful process where civil society was able to put forward 4 civil society representatives in time for the first MSG meeting.</w:t>
      </w:r>
    </w:p>
    <w:p w14:paraId="4DA5DC22" w14:textId="201DE179" w:rsidR="00604130" w:rsidRPr="005C3EC8" w:rsidRDefault="00604130" w:rsidP="00FB2383">
      <w:pPr>
        <w:rPr>
          <w:rFonts w:ascii="Calibri" w:hAnsi="Calibri"/>
        </w:rPr>
      </w:pPr>
      <w:r w:rsidRPr="005C3EC8">
        <w:rPr>
          <w:rFonts w:ascii="Calibri" w:hAnsi="Calibri"/>
        </w:rPr>
        <w:t xml:space="preserve">The </w:t>
      </w:r>
      <w:r w:rsidR="00133B05" w:rsidRPr="005C3EC8">
        <w:rPr>
          <w:rFonts w:ascii="Calibri" w:hAnsi="Calibri"/>
        </w:rPr>
        <w:t xml:space="preserve">candidature </w:t>
      </w:r>
      <w:r w:rsidRPr="005C3EC8">
        <w:rPr>
          <w:rFonts w:ascii="Calibri" w:hAnsi="Calibri"/>
        </w:rPr>
        <w:t>application also addressed liaison with the wider civil society constituency:</w:t>
      </w:r>
    </w:p>
    <w:p w14:paraId="784AE057" w14:textId="360DA229" w:rsidR="00604130" w:rsidRPr="005C3EC8" w:rsidRDefault="00604130" w:rsidP="00604130">
      <w:pPr>
        <w:ind w:left="720"/>
        <w:rPr>
          <w:rFonts w:ascii="Calibri" w:hAnsi="Calibri"/>
          <w:i/>
          <w:iCs/>
        </w:rPr>
      </w:pPr>
      <w:r w:rsidRPr="005C3EC8">
        <w:rPr>
          <w:rFonts w:ascii="Calibri" w:hAnsi="Calibri"/>
          <w:i/>
          <w:iCs/>
        </w:rPr>
        <w:t xml:space="preserve">Civil Society members of the MSG conduct outreach with their constituency, which consists of a network of 31 individuals. Email updates containing the minutes are distributed following each MSG meeting.  Members are also invited to meetings ahead of each MSG. Wider outreach has </w:t>
      </w:r>
      <w:r w:rsidRPr="005C3EC8">
        <w:rPr>
          <w:rFonts w:ascii="Calibri" w:hAnsi="Calibri"/>
          <w:i/>
          <w:iCs/>
        </w:rPr>
        <w:lastRenderedPageBreak/>
        <w:t>been undertaken with environmental groups and networks at national and subnational level.  This has been done through civil society participation in the UK Open Government Partnership process both in London and beyond, as well as linking into existing meetings with stakeholders, for example a meeting on UK and global energy strategy held at Global Witness.</w:t>
      </w:r>
    </w:p>
    <w:p w14:paraId="422E3BA4" w14:textId="77777777" w:rsidR="000D0B47" w:rsidRPr="005C3EC8" w:rsidRDefault="00C620A6" w:rsidP="000D0B47">
      <w:pPr>
        <w:rPr>
          <w:rFonts w:ascii="Calibri" w:hAnsi="Calibri"/>
        </w:rPr>
      </w:pPr>
      <w:r w:rsidRPr="005C3EC8">
        <w:rPr>
          <w:rFonts w:ascii="Calibri" w:hAnsi="Calibri"/>
        </w:rPr>
        <w:t xml:space="preserve">These groups </w:t>
      </w:r>
      <w:r w:rsidR="00604130" w:rsidRPr="005C3EC8">
        <w:rPr>
          <w:rFonts w:ascii="Calibri" w:hAnsi="Calibri"/>
        </w:rPr>
        <w:t xml:space="preserve">that </w:t>
      </w:r>
      <w:r w:rsidRPr="005C3EC8">
        <w:rPr>
          <w:rFonts w:ascii="Calibri" w:hAnsi="Calibri"/>
        </w:rPr>
        <w:t xml:space="preserve">represented the civil society </w:t>
      </w:r>
      <w:r w:rsidR="00604130" w:rsidRPr="005C3EC8">
        <w:rPr>
          <w:rFonts w:ascii="Calibri" w:hAnsi="Calibri"/>
        </w:rPr>
        <w:t xml:space="preserve">constituency </w:t>
      </w:r>
      <w:r w:rsidRPr="005C3EC8">
        <w:rPr>
          <w:rFonts w:ascii="Calibri" w:hAnsi="Calibri"/>
        </w:rPr>
        <w:t>when the MSG was first established</w:t>
      </w:r>
      <w:r w:rsidR="00604130" w:rsidRPr="005C3EC8">
        <w:rPr>
          <w:rFonts w:ascii="Calibri" w:hAnsi="Calibri"/>
        </w:rPr>
        <w:t xml:space="preserve"> subsequently established the </w:t>
      </w:r>
      <w:r w:rsidRPr="005C3EC8">
        <w:rPr>
          <w:rFonts w:ascii="Calibri" w:hAnsi="Calibri"/>
        </w:rPr>
        <w:t>UK</w:t>
      </w:r>
      <w:r w:rsidR="0017665E" w:rsidRPr="005C3EC8">
        <w:rPr>
          <w:rFonts w:ascii="Calibri" w:hAnsi="Calibri"/>
        </w:rPr>
        <w:t xml:space="preserve"> </w:t>
      </w:r>
      <w:r w:rsidRPr="005C3EC8">
        <w:rPr>
          <w:rFonts w:ascii="Calibri" w:hAnsi="Calibri"/>
        </w:rPr>
        <w:t>EITI Civil Society Network (CSN).</w:t>
      </w:r>
      <w:r w:rsidR="00604130" w:rsidRPr="005C3EC8">
        <w:rPr>
          <w:rFonts w:ascii="Calibri" w:hAnsi="Calibri"/>
        </w:rPr>
        <w:t xml:space="preserve"> As outlined in the previous section, in February 2016 the CSN agreed membership principles and welcomed civil society organisations to join, and individuals to become associate members. An organisation called the Extractive Industries Civil Society (EICS) subsequently challenged the nomination process led by the CSN. When efforts to agree a compromise stalled, the UK government took a decision to split the nomination role between the two groups. This led the UK EITI Civil Society Network to withdraw from the UK EITI process, a situation that persisted until the commencement of Validation. </w:t>
      </w:r>
    </w:p>
    <w:p w14:paraId="2F72F322" w14:textId="0291CC82" w:rsidR="00133B05" w:rsidRPr="005C3EC8" w:rsidRDefault="000D0B47" w:rsidP="000D0B47">
      <w:pPr>
        <w:rPr>
          <w:rFonts w:ascii="Calibri" w:hAnsi="Calibri"/>
        </w:rPr>
      </w:pPr>
      <w:r w:rsidRPr="005C3EC8">
        <w:rPr>
          <w:rFonts w:ascii="Calibri" w:hAnsi="Calibri"/>
        </w:rPr>
        <w:t xml:space="preserve">At the time of Validation, there were two </w:t>
      </w:r>
      <w:r w:rsidR="00C74ADA">
        <w:rPr>
          <w:rFonts w:ascii="Calibri" w:hAnsi="Calibri"/>
        </w:rPr>
        <w:t>c</w:t>
      </w:r>
      <w:r w:rsidRPr="005C3EC8">
        <w:rPr>
          <w:rFonts w:ascii="Calibri" w:hAnsi="Calibri"/>
        </w:rPr>
        <w:t xml:space="preserve">ivil society members, and two vacant positions. There were also two alternate members and two vacant positions. The Government has noted that: “there is an open invitation for other groups to put forward nominations, and the secretariat continues to engage with those groups to encourage them to </w:t>
      </w:r>
      <w:proofErr w:type="spellStart"/>
      <w:r w:rsidRPr="005C3EC8">
        <w:rPr>
          <w:rFonts w:ascii="Calibri" w:hAnsi="Calibri"/>
        </w:rPr>
        <w:t>rejoin</w:t>
      </w:r>
      <w:proofErr w:type="spellEnd"/>
      <w:r w:rsidRPr="005C3EC8">
        <w:rPr>
          <w:rFonts w:ascii="Calibri" w:hAnsi="Calibri"/>
        </w:rPr>
        <w:t xml:space="preserve"> the MSG”</w:t>
      </w:r>
      <w:r w:rsidRPr="005C3EC8">
        <w:rPr>
          <w:rStyle w:val="FootnoteReference"/>
          <w:rFonts w:ascii="Calibri" w:hAnsi="Calibri"/>
        </w:rPr>
        <w:footnoteReference w:id="51"/>
      </w:r>
      <w:r w:rsidRPr="005C3EC8">
        <w:rPr>
          <w:rFonts w:ascii="Calibri" w:hAnsi="Calibri"/>
        </w:rPr>
        <w:t xml:space="preserve">. </w:t>
      </w:r>
    </w:p>
    <w:p w14:paraId="1679C143" w14:textId="62E2D10C" w:rsidR="0017665E" w:rsidRPr="005C3EC8" w:rsidRDefault="0017665E" w:rsidP="0017665E">
      <w:pPr>
        <w:rPr>
          <w:rFonts w:ascii="Calibri" w:hAnsi="Calibri"/>
        </w:rPr>
      </w:pPr>
      <w:r w:rsidRPr="005C3EC8">
        <w:rPr>
          <w:rFonts w:ascii="Calibri" w:hAnsi="Calibri"/>
        </w:rPr>
        <w:t>As noted above, the dispute between the CSN and EICS has led to a situation whereby the civil society constituency is not adequately represented or engaged. The current CSO MSG members have on an individual basis sought to contribute the work of the MSG. However, by their own admission</w:t>
      </w:r>
      <w:r w:rsidR="00183758">
        <w:rPr>
          <w:rFonts w:ascii="Calibri" w:hAnsi="Calibri"/>
        </w:rPr>
        <w:t xml:space="preserve">, most of them </w:t>
      </w:r>
      <w:r w:rsidRPr="005C3EC8">
        <w:rPr>
          <w:rFonts w:ascii="Calibri" w:hAnsi="Calibri"/>
        </w:rPr>
        <w:t>are not deeply engaged in the EITI process, and have had limited interaction with other civil society organisations outside the MSG</w:t>
      </w:r>
      <w:r w:rsidR="000D0B47" w:rsidRPr="005C3EC8">
        <w:rPr>
          <w:rFonts w:ascii="Calibri" w:hAnsi="Calibri"/>
        </w:rPr>
        <w:t xml:space="preserve"> regarding the EITI</w:t>
      </w:r>
      <w:r w:rsidRPr="005C3EC8">
        <w:rPr>
          <w:rFonts w:ascii="Calibri" w:hAnsi="Calibri"/>
        </w:rPr>
        <w:t>.</w:t>
      </w:r>
    </w:p>
    <w:p w14:paraId="445AA6EA" w14:textId="477EB634" w:rsidR="006E3AD1" w:rsidRPr="005C3EC8" w:rsidRDefault="002929E0" w:rsidP="000D0B47">
      <w:pPr>
        <w:rPr>
          <w:rFonts w:ascii="Calibri" w:hAnsi="Calibri"/>
        </w:rPr>
      </w:pPr>
      <w:r w:rsidRPr="005C3EC8">
        <w:rPr>
          <w:rFonts w:ascii="Calibri" w:hAnsi="Calibri"/>
          <w:i/>
        </w:rPr>
        <w:t>Industry representation:</w:t>
      </w:r>
      <w:r w:rsidR="003A66C1">
        <w:rPr>
          <w:rFonts w:ascii="Calibri" w:hAnsi="Calibri"/>
        </w:rPr>
        <w:t xml:space="preserve"> </w:t>
      </w:r>
      <w:r w:rsidR="000D0B47" w:rsidRPr="005C3EC8">
        <w:rPr>
          <w:rFonts w:ascii="Calibri" w:hAnsi="Calibri"/>
        </w:rPr>
        <w:t>The UK candidature application notes:</w:t>
      </w:r>
      <w:r w:rsidR="006E3AD1" w:rsidRPr="005C3EC8">
        <w:rPr>
          <w:rFonts w:ascii="Calibri" w:hAnsi="Calibri"/>
        </w:rPr>
        <w:t xml:space="preserve"> </w:t>
      </w:r>
    </w:p>
    <w:p w14:paraId="7098A5D5" w14:textId="38D2E619" w:rsidR="000D0B47" w:rsidRPr="005C3EC8" w:rsidRDefault="006E3AD1" w:rsidP="006E3AD1">
      <w:pPr>
        <w:ind w:left="720"/>
        <w:rPr>
          <w:rFonts w:ascii="Calibri" w:hAnsi="Calibri"/>
          <w:i/>
          <w:iCs/>
        </w:rPr>
      </w:pPr>
      <w:r w:rsidRPr="005C3EC8">
        <w:rPr>
          <w:rFonts w:ascii="Calibri" w:hAnsi="Calibri"/>
          <w:i/>
          <w:iCs/>
        </w:rPr>
        <w:t>Within the industry constituency, Government decided to invite one mining representative and three oil and gas representatives. This reflects research that suggests that oil and gas extraction contributes to approximately 1.4% of GDP whereas coal mining contributes 0.1% and other mining (aggregates) contribute 0.2% to GDP. However, if industries choose to change the proportion of Oil &amp; Gas to Mining and Quarrying representatives on the MSG, they are free to do so.</w:t>
      </w:r>
    </w:p>
    <w:p w14:paraId="073A2EF8" w14:textId="69F2FAA2" w:rsidR="006E3AD1" w:rsidRPr="005C3EC8" w:rsidRDefault="006E3AD1" w:rsidP="006E3AD1">
      <w:pPr>
        <w:rPr>
          <w:rFonts w:ascii="Calibri" w:hAnsi="Calibri"/>
        </w:rPr>
      </w:pPr>
      <w:r w:rsidRPr="005C3EC8">
        <w:rPr>
          <w:rFonts w:ascii="Calibri" w:hAnsi="Calibri"/>
        </w:rPr>
        <w:t xml:space="preserve">The UK candidature application outlines the procedure for nominating representatives: </w:t>
      </w:r>
    </w:p>
    <w:p w14:paraId="2B1ED46A" w14:textId="4E317749" w:rsidR="000D0B47" w:rsidRPr="005C3EC8" w:rsidRDefault="00B81554" w:rsidP="000D0B47">
      <w:pPr>
        <w:ind w:left="720"/>
        <w:rPr>
          <w:rFonts w:ascii="Calibri" w:hAnsi="Calibri"/>
          <w:i/>
          <w:iCs/>
        </w:rPr>
      </w:pPr>
      <w:r w:rsidRPr="005C3EC8">
        <w:rPr>
          <w:rFonts w:ascii="Calibri" w:hAnsi="Calibri"/>
          <w:i/>
          <w:iCs/>
        </w:rPr>
        <w:t>In March 2013 Oil &amp; Gas UK agreed to coordinate the nominations for three of the industry representatives for the MSG. Oil &amp; Gas UK hosted an event in the afternoon of the EITI launch event for members to discuss and agree their MSG representation. Government representatives did not attend. … The Confederation of British Industry (CBI) agreed to nominate the fourth industry representative and contacted the Mining Association of the UK (MAUK) for a volunteer</w:t>
      </w:r>
      <w:r w:rsidR="000D0B47" w:rsidRPr="005C3EC8">
        <w:rPr>
          <w:rFonts w:ascii="Calibri" w:hAnsi="Calibri"/>
          <w:i/>
          <w:iCs/>
        </w:rPr>
        <w:t>.</w:t>
      </w:r>
    </w:p>
    <w:p w14:paraId="58C7C00C" w14:textId="483C0F42" w:rsidR="000D0B47" w:rsidRPr="005C3EC8" w:rsidRDefault="000D0B47" w:rsidP="000D0B47">
      <w:pPr>
        <w:rPr>
          <w:rFonts w:ascii="Calibri" w:hAnsi="Calibri"/>
        </w:rPr>
      </w:pPr>
      <w:r w:rsidRPr="005C3EC8">
        <w:rPr>
          <w:rFonts w:ascii="Calibri" w:hAnsi="Calibri"/>
        </w:rPr>
        <w:lastRenderedPageBreak/>
        <w:t xml:space="preserve">The candidature application also addressed liaison with the wider </w:t>
      </w:r>
      <w:r w:rsidR="006E3AD1" w:rsidRPr="005C3EC8">
        <w:rPr>
          <w:rFonts w:ascii="Calibri" w:hAnsi="Calibri"/>
        </w:rPr>
        <w:t xml:space="preserve">industry </w:t>
      </w:r>
      <w:r w:rsidRPr="005C3EC8">
        <w:rPr>
          <w:rFonts w:ascii="Calibri" w:hAnsi="Calibri"/>
        </w:rPr>
        <w:t>constituency:</w:t>
      </w:r>
    </w:p>
    <w:p w14:paraId="0AECF78E" w14:textId="77777777" w:rsidR="006E3AD1" w:rsidRPr="005C3EC8" w:rsidRDefault="006E3AD1" w:rsidP="000D0B47">
      <w:pPr>
        <w:ind w:left="720"/>
        <w:rPr>
          <w:rFonts w:ascii="Calibri" w:hAnsi="Calibri"/>
          <w:i/>
          <w:iCs/>
        </w:rPr>
      </w:pPr>
      <w:r w:rsidRPr="005C3EC8">
        <w:rPr>
          <w:rFonts w:ascii="Calibri" w:hAnsi="Calibri"/>
          <w:i/>
          <w:iCs/>
        </w:rPr>
        <w:t xml:space="preserve">Oil &amp; Gas MSG members conduct outreach with their constituency.  Oil &amp; Gas UK have an industry network of approximately 450 members which includes almost 60 operators with a direct interest in EITI. Meetings are held with interested members of the network before and after each EITI meeting.   </w:t>
      </w:r>
    </w:p>
    <w:p w14:paraId="65C3E2B1" w14:textId="7658E809" w:rsidR="006E3AD1" w:rsidRPr="005C3EC8" w:rsidRDefault="006E3AD1" w:rsidP="000D0B47">
      <w:pPr>
        <w:ind w:left="720"/>
        <w:rPr>
          <w:rFonts w:ascii="Calibri" w:hAnsi="Calibri"/>
          <w:i/>
          <w:iCs/>
        </w:rPr>
      </w:pPr>
      <w:r w:rsidRPr="005C3EC8">
        <w:rPr>
          <w:rFonts w:ascii="Calibri" w:hAnsi="Calibri"/>
          <w:i/>
          <w:iCs/>
        </w:rPr>
        <w:t xml:space="preserve">Mining and quarrying MSG representatives conduct outreach with their constituencies through trade associations such as the Mining Association of the UK (MAUK), Mineral Products Association (MPA) and the CBI Minerals Group. </w:t>
      </w:r>
    </w:p>
    <w:p w14:paraId="4E14C4DD" w14:textId="73562E39" w:rsidR="006E3AD1" w:rsidRPr="005C3EC8" w:rsidRDefault="006E3AD1" w:rsidP="006E3AD1">
      <w:pPr>
        <w:rPr>
          <w:rFonts w:ascii="Calibri" w:hAnsi="Calibri"/>
        </w:rPr>
      </w:pPr>
      <w:r w:rsidRPr="005C3EC8">
        <w:rPr>
          <w:rFonts w:ascii="Calibri" w:hAnsi="Calibri"/>
        </w:rPr>
        <w:t xml:space="preserve">At the time of Validation, there were four Industry members and four alternate members, following the balance agreed at the start of the process. </w:t>
      </w:r>
    </w:p>
    <w:p w14:paraId="1F76C062" w14:textId="1BBBC1E3" w:rsidR="00D04F22" w:rsidRPr="005C3EC8" w:rsidRDefault="002929E0" w:rsidP="00D04F22">
      <w:pPr>
        <w:rPr>
          <w:rFonts w:ascii="Calibri" w:hAnsi="Calibri"/>
        </w:rPr>
      </w:pPr>
      <w:r w:rsidRPr="005C3EC8">
        <w:rPr>
          <w:rFonts w:ascii="Calibri" w:hAnsi="Calibri"/>
          <w:i/>
        </w:rPr>
        <w:t>Government representation:</w:t>
      </w:r>
      <w:r w:rsidR="00B167E6">
        <w:rPr>
          <w:rFonts w:ascii="Calibri" w:hAnsi="Calibri"/>
        </w:rPr>
        <w:t xml:space="preserve"> </w:t>
      </w:r>
      <w:r w:rsidR="00D04F22" w:rsidRPr="005C3EC8">
        <w:rPr>
          <w:rFonts w:ascii="Calibri" w:hAnsi="Calibri"/>
        </w:rPr>
        <w:t xml:space="preserve">The UK candidature application outlines the procedure for nominating government representatives: </w:t>
      </w:r>
    </w:p>
    <w:p w14:paraId="29BF2FF7" w14:textId="1BFF99CA" w:rsidR="00D04F22" w:rsidRPr="005C3EC8" w:rsidRDefault="00D04F22" w:rsidP="00D04F22">
      <w:pPr>
        <w:ind w:left="720"/>
        <w:rPr>
          <w:rFonts w:ascii="Calibri" w:hAnsi="Calibri"/>
          <w:i/>
          <w:iCs/>
        </w:rPr>
      </w:pPr>
      <w:r w:rsidRPr="005C3EC8">
        <w:rPr>
          <w:rFonts w:ascii="Calibri" w:hAnsi="Calibri"/>
          <w:i/>
          <w:iCs/>
        </w:rPr>
        <w:t>The UK Secretariat solicited nominations in July 2013 and all four representatives were confirmed in September 2013. Nominees were asked to provide details stating why they wanted to sit on the MSG and what they hoped to bring to the discussions. UK Secretariat ensured that the most appropriate government officials representing the main Government departments were allocated a place on the MSG. This includes the Department for Energy and Climate Change, the Scottish Government, HM Revenue &amp; Customs and the Department for Business, Innovation &amp; Skills</w:t>
      </w:r>
    </w:p>
    <w:p w14:paraId="269FF1B2" w14:textId="7385BF6C" w:rsidR="00D04F22" w:rsidRPr="005C3EC8" w:rsidRDefault="00D04F22" w:rsidP="00D04F22">
      <w:pPr>
        <w:rPr>
          <w:rFonts w:ascii="Calibri" w:hAnsi="Calibri"/>
        </w:rPr>
      </w:pPr>
      <w:r w:rsidRPr="005C3EC8">
        <w:rPr>
          <w:rFonts w:ascii="Calibri" w:hAnsi="Calibri"/>
        </w:rPr>
        <w:t>The candidature application also addressed liaison within government:</w:t>
      </w:r>
    </w:p>
    <w:p w14:paraId="0B126DDF" w14:textId="5E80ED44" w:rsidR="00D04F22" w:rsidRPr="005C3EC8" w:rsidRDefault="00D04F22" w:rsidP="00D04F22">
      <w:pPr>
        <w:ind w:left="720"/>
        <w:rPr>
          <w:rFonts w:ascii="Calibri" w:hAnsi="Calibri"/>
          <w:i/>
          <w:iCs/>
        </w:rPr>
      </w:pPr>
      <w:r w:rsidRPr="005C3EC8">
        <w:rPr>
          <w:rFonts w:ascii="Calibri" w:hAnsi="Calibri"/>
          <w:i/>
          <w:iCs/>
        </w:rPr>
        <w:t>Outreach within Government takes place with official’s meetings which are organised by the UK Secretariat. These take place ahead of each MSG meeting and include officials from HM Treasury, the Department of Energy and Climate Change, HM Revenue &amp; Customs, the Foreign and Commonwealth Office, the Department for International Development, the Scottish Government, the Northern Ireland Assembly Government and BIS Legal and Economist teams.</w:t>
      </w:r>
    </w:p>
    <w:p w14:paraId="2086C572" w14:textId="1722EBB7" w:rsidR="002929E0" w:rsidRPr="005C3EC8" w:rsidRDefault="00D04F22" w:rsidP="00D04F22">
      <w:pPr>
        <w:rPr>
          <w:rFonts w:ascii="Calibri" w:hAnsi="Calibri"/>
        </w:rPr>
      </w:pPr>
      <w:r w:rsidRPr="005C3EC8">
        <w:rPr>
          <w:rFonts w:ascii="Calibri" w:hAnsi="Calibri"/>
        </w:rPr>
        <w:t xml:space="preserve">At the time of Validation, there were four government members and four alternate members. </w:t>
      </w:r>
    </w:p>
    <w:p w14:paraId="423A0600" w14:textId="47E23FBC" w:rsidR="00D04F22" w:rsidRPr="005C3EC8" w:rsidRDefault="002929E0" w:rsidP="00D04F22">
      <w:pPr>
        <w:spacing w:before="120"/>
        <w:rPr>
          <w:rFonts w:ascii="Calibri" w:hAnsi="Calibri"/>
        </w:rPr>
      </w:pPr>
      <w:r w:rsidRPr="005C3EC8">
        <w:rPr>
          <w:rFonts w:ascii="Calibri" w:hAnsi="Calibri"/>
          <w:i/>
          <w:u w:val="single"/>
        </w:rPr>
        <w:t xml:space="preserve">Terms of </w:t>
      </w:r>
      <w:r w:rsidR="00B167E6">
        <w:rPr>
          <w:rFonts w:ascii="Calibri" w:hAnsi="Calibri"/>
          <w:i/>
          <w:u w:val="single"/>
        </w:rPr>
        <w:t>R</w:t>
      </w:r>
      <w:r w:rsidRPr="005C3EC8">
        <w:rPr>
          <w:rFonts w:ascii="Calibri" w:hAnsi="Calibri"/>
          <w:i/>
          <w:u w:val="single"/>
        </w:rPr>
        <w:t>eference</w:t>
      </w:r>
      <w:r w:rsidRPr="005C3EC8">
        <w:rPr>
          <w:rFonts w:ascii="Calibri" w:hAnsi="Calibri"/>
          <w:i/>
        </w:rPr>
        <w:t>:</w:t>
      </w:r>
      <w:r w:rsidR="00B167E6">
        <w:rPr>
          <w:rFonts w:ascii="Calibri" w:hAnsi="Calibri"/>
          <w:bCs/>
        </w:rPr>
        <w:t xml:space="preserve"> </w:t>
      </w:r>
      <w:r w:rsidR="00D04F22" w:rsidRPr="005C3EC8">
        <w:rPr>
          <w:rFonts w:ascii="Calibri" w:hAnsi="Calibri"/>
          <w:bCs/>
        </w:rPr>
        <w:t>The MSG has agreed Terms of Reference “to define the scope and function of the Multi-Stakeholder Group (MSG) formed to direct implementation of the Extractive Industries Transparency Initiative (EITI) in the UK”. The Terms of Reference are available online</w:t>
      </w:r>
      <w:r w:rsidR="00D04F22" w:rsidRPr="005C3EC8">
        <w:rPr>
          <w:rStyle w:val="FootnoteReference"/>
          <w:rFonts w:ascii="Calibri" w:hAnsi="Calibri"/>
          <w:bCs/>
        </w:rPr>
        <w:footnoteReference w:id="52"/>
      </w:r>
      <w:r w:rsidR="00D04F22" w:rsidRPr="005C3EC8">
        <w:rPr>
          <w:rFonts w:ascii="Calibri" w:hAnsi="Calibri"/>
          <w:bCs/>
        </w:rPr>
        <w:t xml:space="preserve">. </w:t>
      </w:r>
      <w:r w:rsidR="0088496D" w:rsidRPr="005C3EC8">
        <w:rPr>
          <w:rFonts w:ascii="Calibri" w:hAnsi="Calibri"/>
        </w:rPr>
        <w:t>The TORs give the MSG a say over implementation, outline the role and responsibilities of MSG members and whether MSG members</w:t>
      </w:r>
      <w:r w:rsidR="00D04F22" w:rsidRPr="005C3EC8">
        <w:rPr>
          <w:rFonts w:ascii="Calibri" w:hAnsi="Calibri"/>
        </w:rPr>
        <w:t>:</w:t>
      </w:r>
    </w:p>
    <w:p w14:paraId="0C1CE8D3" w14:textId="7DE8A7A3" w:rsidR="0088496D" w:rsidRPr="005C3EC8" w:rsidRDefault="00D04F22" w:rsidP="0088496D">
      <w:pPr>
        <w:spacing w:before="120"/>
        <w:ind w:left="720"/>
        <w:rPr>
          <w:rFonts w:ascii="Calibri" w:hAnsi="Calibri"/>
        </w:rPr>
      </w:pPr>
      <w:r w:rsidRPr="005C3EC8">
        <w:rPr>
          <w:rFonts w:ascii="Calibri" w:hAnsi="Calibri"/>
        </w:rPr>
        <w:lastRenderedPageBreak/>
        <w:t>The MSG is established in order to ensure that the UK implements the EITI and gains EITI-compliance in a timely and effective manner.  The MSG is responsible for ensuring that the views of key stakeholders are taken into account in the direction and conduct of implementing EITI.  MSG members are representatives of their wider constituencies and must consult them regularly to ensure they continue to reflect the views of their constituency.</w:t>
      </w:r>
    </w:p>
    <w:p w14:paraId="61742155" w14:textId="72C72924" w:rsidR="0088496D" w:rsidRPr="005C3EC8" w:rsidRDefault="0088496D" w:rsidP="0088496D">
      <w:pPr>
        <w:spacing w:before="120"/>
        <w:rPr>
          <w:rFonts w:ascii="Calibri" w:hAnsi="Calibri"/>
        </w:rPr>
      </w:pPr>
      <w:r w:rsidRPr="005C3EC8">
        <w:rPr>
          <w:rFonts w:ascii="Calibri" w:hAnsi="Calibri"/>
        </w:rPr>
        <w:t xml:space="preserve">The </w:t>
      </w:r>
      <w:proofErr w:type="spellStart"/>
      <w:r w:rsidRPr="005C3EC8">
        <w:rPr>
          <w:rFonts w:ascii="Calibri" w:hAnsi="Calibri"/>
        </w:rPr>
        <w:t>ToRs</w:t>
      </w:r>
      <w:proofErr w:type="spellEnd"/>
      <w:r w:rsidRPr="005C3EC8">
        <w:rPr>
          <w:rFonts w:ascii="Calibri" w:hAnsi="Calibri"/>
        </w:rPr>
        <w:t xml:space="preserve"> also give the MSG a mandate to approve work</w:t>
      </w:r>
      <w:r w:rsidR="007D17CF">
        <w:rPr>
          <w:rFonts w:ascii="Calibri" w:hAnsi="Calibri"/>
        </w:rPr>
        <w:t xml:space="preserve"> </w:t>
      </w:r>
      <w:r w:rsidRPr="005C3EC8">
        <w:rPr>
          <w:rFonts w:ascii="Calibri" w:hAnsi="Calibri"/>
        </w:rPr>
        <w:t>plans, the appointment of the Independent Administrator including the Terms of Reference for the Independent Administrator’s work, EITI Reports and annual activity reports. Specifically, section 2.2 states:</w:t>
      </w:r>
    </w:p>
    <w:p w14:paraId="61240370" w14:textId="07941571" w:rsidR="0088496D" w:rsidRPr="005C3EC8" w:rsidRDefault="00D04F22" w:rsidP="0088496D">
      <w:pPr>
        <w:spacing w:before="120"/>
        <w:ind w:left="720"/>
        <w:rPr>
          <w:rFonts w:ascii="Calibri" w:hAnsi="Calibri"/>
        </w:rPr>
      </w:pPr>
      <w:r w:rsidRPr="005C3EC8">
        <w:rPr>
          <w:rFonts w:ascii="Calibri" w:hAnsi="Calibri"/>
        </w:rPr>
        <w:t>The MSG will ensure the UK EITI meets its objective of gaining candidacy followed by compliance with EITI.  It will be responsible for developing and endorsing an EITI work programme, scope of EITI, actions, sequencing, timetable, responsible parties, costs, communications and funding sources.</w:t>
      </w:r>
    </w:p>
    <w:p w14:paraId="376CB215" w14:textId="4CFB1A34" w:rsidR="002929E0" w:rsidRPr="005C3EC8" w:rsidRDefault="002929E0" w:rsidP="00E956E1">
      <w:pPr>
        <w:spacing w:before="120"/>
        <w:rPr>
          <w:rFonts w:ascii="Calibri" w:hAnsi="Calibri"/>
        </w:rPr>
      </w:pPr>
      <w:r w:rsidRPr="003B7537">
        <w:rPr>
          <w:rFonts w:ascii="Calibri" w:hAnsi="Calibri"/>
          <w:i/>
        </w:rPr>
        <w:t>Internal governance and procedures:</w:t>
      </w:r>
      <w:r w:rsidR="003E493C" w:rsidRPr="003E493C">
        <w:rPr>
          <w:rFonts w:ascii="Calibri" w:hAnsi="Calibri"/>
        </w:rPr>
        <w:t xml:space="preserve"> </w:t>
      </w:r>
      <w:r w:rsidR="0088496D" w:rsidRPr="003E493C">
        <w:rPr>
          <w:rFonts w:ascii="Calibri" w:hAnsi="Calibri"/>
        </w:rPr>
        <w:t>T</w:t>
      </w:r>
      <w:r w:rsidR="0088496D" w:rsidRPr="00182700">
        <w:rPr>
          <w:rFonts w:ascii="Calibri" w:hAnsi="Calibri"/>
        </w:rPr>
        <w:t>he</w:t>
      </w:r>
      <w:r w:rsidR="0088496D" w:rsidRPr="005C3EC8">
        <w:rPr>
          <w:rFonts w:ascii="Calibri" w:hAnsi="Calibri"/>
        </w:rPr>
        <w:t xml:space="preserve"> </w:t>
      </w:r>
      <w:proofErr w:type="spellStart"/>
      <w:r w:rsidR="0088496D" w:rsidRPr="005C3EC8">
        <w:rPr>
          <w:rFonts w:ascii="Calibri" w:hAnsi="Calibri"/>
        </w:rPr>
        <w:t>ToRs</w:t>
      </w:r>
      <w:proofErr w:type="spellEnd"/>
      <w:r w:rsidR="0088496D" w:rsidRPr="005C3EC8">
        <w:rPr>
          <w:rFonts w:ascii="Calibri" w:hAnsi="Calibri"/>
        </w:rPr>
        <w:t xml:space="preserve"> include internal governance rules and procedures in accordance with requirement 1.4.b.vi-viii, addressing attendance (section 3), terms of membership (section 4), meetings (section 5) and sub groups (section 6). </w:t>
      </w:r>
    </w:p>
    <w:p w14:paraId="6577C249" w14:textId="582922F1" w:rsidR="00050132" w:rsidRPr="005C3EC8" w:rsidRDefault="002929E0" w:rsidP="001D2A50">
      <w:pPr>
        <w:spacing w:before="120"/>
        <w:rPr>
          <w:rFonts w:ascii="Calibri" w:hAnsi="Calibri"/>
          <w:bCs/>
        </w:rPr>
      </w:pPr>
      <w:r w:rsidRPr="003B7537">
        <w:rPr>
          <w:rFonts w:ascii="Calibri" w:hAnsi="Calibri"/>
          <w:i/>
        </w:rPr>
        <w:t>Decision-making</w:t>
      </w:r>
      <w:r w:rsidRPr="003B7537">
        <w:rPr>
          <w:rFonts w:ascii="Calibri" w:hAnsi="Calibri"/>
        </w:rPr>
        <w:t xml:space="preserve">: </w:t>
      </w:r>
      <w:r w:rsidR="0088496D" w:rsidRPr="005C3EC8">
        <w:rPr>
          <w:rFonts w:ascii="Calibri" w:hAnsi="Calibri"/>
          <w:bCs/>
        </w:rPr>
        <w:t xml:space="preserve">The </w:t>
      </w:r>
      <w:proofErr w:type="spellStart"/>
      <w:r w:rsidR="0088496D" w:rsidRPr="005C3EC8">
        <w:rPr>
          <w:rFonts w:ascii="Calibri" w:hAnsi="Calibri"/>
          <w:bCs/>
        </w:rPr>
        <w:t>ToRs</w:t>
      </w:r>
      <w:proofErr w:type="spellEnd"/>
      <w:r w:rsidR="0088496D" w:rsidRPr="005C3EC8">
        <w:rPr>
          <w:rFonts w:ascii="Calibri" w:hAnsi="Calibri"/>
          <w:bCs/>
        </w:rPr>
        <w:t xml:space="preserve"> include an annex (schedule 1) “Decision Making Protocol for the EITI Multi-Stakeholder Group” addressing decision making principles and rules, specifying that:</w:t>
      </w:r>
    </w:p>
    <w:p w14:paraId="11F719AA" w14:textId="15018C51" w:rsidR="0088496D" w:rsidRPr="005C3EC8" w:rsidRDefault="0088496D" w:rsidP="0088496D">
      <w:pPr>
        <w:spacing w:before="120"/>
        <w:ind w:left="720"/>
        <w:rPr>
          <w:rFonts w:ascii="Calibri" w:hAnsi="Calibri"/>
          <w:i/>
          <w:iCs/>
        </w:rPr>
      </w:pPr>
      <w:r w:rsidRPr="005C3EC8">
        <w:rPr>
          <w:rFonts w:ascii="Calibri" w:hAnsi="Calibri"/>
          <w:i/>
          <w:iCs/>
        </w:rPr>
        <w:t>The MSG is committed to operating in the spirit of collaboration and cooperation with the aim of reaching general agreement amongst all members on all decisions. … In cases where general agreement cannot be reached, a formal vote will be taken at the discretion of the Chair and voting rules will be applied.  While consensus is not always possible, decision-making principles are designed to build the greatest possible consensus.</w:t>
      </w:r>
    </w:p>
    <w:p w14:paraId="7770C123" w14:textId="2E477998" w:rsidR="0088496D" w:rsidRPr="005C3EC8" w:rsidRDefault="0088496D" w:rsidP="0088496D">
      <w:pPr>
        <w:spacing w:before="120"/>
        <w:rPr>
          <w:rFonts w:ascii="Calibri" w:hAnsi="Calibri"/>
        </w:rPr>
      </w:pPr>
      <w:r w:rsidRPr="005C3EC8">
        <w:rPr>
          <w:rFonts w:ascii="Calibri" w:hAnsi="Calibri"/>
        </w:rPr>
        <w:t xml:space="preserve">The schedule includes rules on voting, proxies and abstention. An analysis of MSG minutes show that these procedures have been followed, </w:t>
      </w:r>
      <w:r w:rsidR="000C3729" w:rsidRPr="005C3EC8">
        <w:rPr>
          <w:rFonts w:ascii="Calibri" w:hAnsi="Calibri"/>
        </w:rPr>
        <w:t>and that decision-making is conducted in an inclusive way which treats each constituency as a partner</w:t>
      </w:r>
      <w:r w:rsidRPr="005C3EC8">
        <w:rPr>
          <w:rFonts w:ascii="Calibri" w:hAnsi="Calibri"/>
        </w:rPr>
        <w:t>.</w:t>
      </w:r>
    </w:p>
    <w:p w14:paraId="6D4D5BC8" w14:textId="4274D64E" w:rsidR="00C008D7" w:rsidRPr="005C3EC8" w:rsidRDefault="002929E0" w:rsidP="00FD013B">
      <w:pPr>
        <w:rPr>
          <w:rFonts w:ascii="Calibri" w:hAnsi="Calibri"/>
        </w:rPr>
      </w:pPr>
      <w:r w:rsidRPr="003B7537">
        <w:rPr>
          <w:rFonts w:ascii="Calibri" w:hAnsi="Calibri"/>
          <w:i/>
        </w:rPr>
        <w:t>Record-keeping</w:t>
      </w:r>
      <w:r w:rsidRPr="003B7537">
        <w:rPr>
          <w:rFonts w:ascii="Calibri" w:hAnsi="Calibri"/>
        </w:rPr>
        <w:t>:</w:t>
      </w:r>
      <w:r w:rsidR="00182700" w:rsidRPr="00182700">
        <w:rPr>
          <w:rFonts w:ascii="Calibri" w:hAnsi="Calibri"/>
        </w:rPr>
        <w:t xml:space="preserve"> </w:t>
      </w:r>
      <w:r w:rsidR="000C3729" w:rsidRPr="00182700">
        <w:rPr>
          <w:rFonts w:ascii="Calibri" w:hAnsi="Calibri"/>
        </w:rPr>
        <w:t>T</w:t>
      </w:r>
      <w:r w:rsidR="000C3729" w:rsidRPr="005C3EC8">
        <w:rPr>
          <w:rFonts w:ascii="Calibri" w:hAnsi="Calibri"/>
        </w:rPr>
        <w:t>he UK EITI Secretariat publishes minutes from each MSG meeting, and these are made publicly available</w:t>
      </w:r>
      <w:r w:rsidR="000C3729" w:rsidRPr="005C3EC8">
        <w:rPr>
          <w:rStyle w:val="FootnoteReference"/>
          <w:rFonts w:ascii="Calibri" w:hAnsi="Calibri"/>
        </w:rPr>
        <w:footnoteReference w:id="53"/>
      </w:r>
      <w:r w:rsidR="000C3729" w:rsidRPr="005C3EC8">
        <w:rPr>
          <w:rFonts w:ascii="Calibri" w:hAnsi="Calibri"/>
        </w:rPr>
        <w:t xml:space="preserve">. </w:t>
      </w:r>
    </w:p>
    <w:p w14:paraId="21A9F1C0" w14:textId="5BAB89AF" w:rsidR="002929E0" w:rsidRPr="005C3EC8" w:rsidRDefault="002929E0" w:rsidP="00CD1619">
      <w:pPr>
        <w:spacing w:before="120"/>
        <w:rPr>
          <w:rFonts w:ascii="Calibri" w:hAnsi="Calibri"/>
          <w:i/>
        </w:rPr>
      </w:pPr>
      <w:r w:rsidRPr="003B7537">
        <w:rPr>
          <w:rFonts w:ascii="Calibri" w:hAnsi="Calibri"/>
          <w:i/>
        </w:rPr>
        <w:t>Capacity</w:t>
      </w:r>
      <w:r w:rsidR="00E956E1" w:rsidRPr="003B7537">
        <w:rPr>
          <w:rFonts w:ascii="Calibri" w:hAnsi="Calibri"/>
          <w:i/>
        </w:rPr>
        <w:t xml:space="preserve"> of the MS</w:t>
      </w:r>
      <w:r w:rsidR="00CD1619" w:rsidRPr="003B7537">
        <w:rPr>
          <w:rFonts w:ascii="Calibri" w:hAnsi="Calibri"/>
          <w:i/>
        </w:rPr>
        <w:t>G</w:t>
      </w:r>
      <w:r w:rsidRPr="003B7537">
        <w:rPr>
          <w:rFonts w:ascii="Calibri" w:hAnsi="Calibri"/>
          <w:i/>
        </w:rPr>
        <w:t>:</w:t>
      </w:r>
      <w:r w:rsidR="005A031F" w:rsidRPr="005A031F">
        <w:rPr>
          <w:rFonts w:ascii="Calibri" w:hAnsi="Calibri"/>
          <w:bCs/>
        </w:rPr>
        <w:t xml:space="preserve"> </w:t>
      </w:r>
      <w:r w:rsidR="009D550F" w:rsidRPr="005A031F">
        <w:rPr>
          <w:rFonts w:ascii="Calibri" w:hAnsi="Calibri"/>
          <w:bCs/>
        </w:rPr>
        <w:t>A</w:t>
      </w:r>
      <w:r w:rsidR="009D550F" w:rsidRPr="005C3EC8">
        <w:rPr>
          <w:rFonts w:ascii="Calibri" w:hAnsi="Calibri"/>
          <w:bCs/>
        </w:rPr>
        <w:t xml:space="preserve">s noted above, the MSG was established with representatives from all three constituencies that were well placed to fulfil the mandate as outlined in the </w:t>
      </w:r>
      <w:proofErr w:type="spellStart"/>
      <w:r w:rsidR="009D550F" w:rsidRPr="005C3EC8">
        <w:rPr>
          <w:rFonts w:ascii="Calibri" w:hAnsi="Calibri"/>
          <w:bCs/>
        </w:rPr>
        <w:t>ToRs</w:t>
      </w:r>
      <w:proofErr w:type="spellEnd"/>
      <w:r w:rsidR="009D550F" w:rsidRPr="005C3EC8">
        <w:rPr>
          <w:rFonts w:ascii="Calibri" w:hAnsi="Calibri"/>
          <w:bCs/>
        </w:rPr>
        <w:t xml:space="preserve"> and the EITI Standard. However, the issues relating to civil society representation have resulted in half the CSO seats being standing vacant. </w:t>
      </w:r>
      <w:r w:rsidR="009D550F" w:rsidRPr="005C3EC8">
        <w:rPr>
          <w:rFonts w:ascii="Calibri" w:hAnsi="Calibri"/>
        </w:rPr>
        <w:t>The current CSO MSG members have on an individual basis sought to contribute the work of the MSG. However, by their own admission</w:t>
      </w:r>
      <w:r w:rsidR="00183758">
        <w:rPr>
          <w:rFonts w:ascii="Calibri" w:hAnsi="Calibri"/>
        </w:rPr>
        <w:t xml:space="preserve">, most of them </w:t>
      </w:r>
      <w:r w:rsidR="009D550F" w:rsidRPr="005C3EC8">
        <w:rPr>
          <w:rFonts w:ascii="Calibri" w:hAnsi="Calibri"/>
        </w:rPr>
        <w:t xml:space="preserve">are not deeply engaged in the EITI process and have had limited interaction with other civil society organisations outside the MSG regarding </w:t>
      </w:r>
      <w:r w:rsidR="009D550F" w:rsidRPr="005C3EC8">
        <w:rPr>
          <w:rFonts w:ascii="Calibri" w:hAnsi="Calibri"/>
        </w:rPr>
        <w:lastRenderedPageBreak/>
        <w:t>the EITI.</w:t>
      </w:r>
    </w:p>
    <w:p w14:paraId="245D8D76" w14:textId="1DE9A77B" w:rsidR="00FD013B" w:rsidRPr="005C3EC8" w:rsidRDefault="002929E0" w:rsidP="00E956E1">
      <w:pPr>
        <w:spacing w:before="120"/>
        <w:rPr>
          <w:rFonts w:ascii="Calibri" w:hAnsi="Calibri"/>
        </w:rPr>
      </w:pPr>
      <w:r w:rsidRPr="003B7537">
        <w:rPr>
          <w:rFonts w:ascii="Calibri" w:hAnsi="Calibri"/>
          <w:i/>
        </w:rPr>
        <w:t>Per diems:</w:t>
      </w:r>
      <w:r w:rsidR="005C05B0" w:rsidRPr="005C05B0">
        <w:rPr>
          <w:rFonts w:ascii="Calibri" w:hAnsi="Calibri"/>
          <w:bCs/>
        </w:rPr>
        <w:t xml:space="preserve"> </w:t>
      </w:r>
      <w:r w:rsidR="009D550F" w:rsidRPr="005C05B0">
        <w:rPr>
          <w:rFonts w:ascii="Calibri" w:hAnsi="Calibri"/>
          <w:bCs/>
        </w:rPr>
        <w:t>T</w:t>
      </w:r>
      <w:r w:rsidR="009D550F" w:rsidRPr="005C3EC8">
        <w:rPr>
          <w:rFonts w:ascii="Calibri" w:hAnsi="Calibri"/>
          <w:bCs/>
        </w:rPr>
        <w:t xml:space="preserve">here is no practice of per diem payments. The International Secretariat’s understanding is that MSG members are able to recover some costs associated with travelling to London to attend MSG meetings. </w:t>
      </w:r>
    </w:p>
    <w:p w14:paraId="20C75B08" w14:textId="187D6CE5" w:rsidR="00034884" w:rsidRPr="005C3EC8" w:rsidRDefault="002929E0" w:rsidP="00F06946">
      <w:pPr>
        <w:spacing w:before="120"/>
        <w:rPr>
          <w:rFonts w:ascii="Calibri" w:hAnsi="Calibri"/>
        </w:rPr>
      </w:pPr>
      <w:r w:rsidRPr="003B7537">
        <w:rPr>
          <w:rFonts w:ascii="Calibri" w:hAnsi="Calibri"/>
          <w:i/>
        </w:rPr>
        <w:t>Attendance</w:t>
      </w:r>
      <w:r w:rsidRPr="005C05B0">
        <w:rPr>
          <w:rFonts w:ascii="Calibri" w:hAnsi="Calibri"/>
          <w:i/>
        </w:rPr>
        <w:t>:</w:t>
      </w:r>
      <w:r w:rsidR="005C05B0" w:rsidRPr="005C05B0">
        <w:rPr>
          <w:rFonts w:ascii="Calibri" w:hAnsi="Calibri"/>
        </w:rPr>
        <w:t xml:space="preserve"> </w:t>
      </w:r>
      <w:r w:rsidR="009D550F" w:rsidRPr="005C05B0">
        <w:rPr>
          <w:rFonts w:ascii="Calibri" w:hAnsi="Calibri"/>
        </w:rPr>
        <w:t>A</w:t>
      </w:r>
      <w:r w:rsidR="009D550F" w:rsidRPr="005C3EC8">
        <w:rPr>
          <w:rFonts w:ascii="Calibri" w:hAnsi="Calibri"/>
        </w:rPr>
        <w:t>n analysis of MSG minutes show that the</w:t>
      </w:r>
      <w:r w:rsidR="00F06946" w:rsidRPr="005C3EC8">
        <w:rPr>
          <w:rFonts w:ascii="Calibri" w:hAnsi="Calibri"/>
        </w:rPr>
        <w:t xml:space="preserve"> meeting are consistent well attended and quorate, with members joining by telephone as needed. The </w:t>
      </w:r>
      <w:proofErr w:type="spellStart"/>
      <w:r w:rsidR="00F06946" w:rsidRPr="005C3EC8">
        <w:rPr>
          <w:rFonts w:ascii="Calibri" w:hAnsi="Calibri"/>
        </w:rPr>
        <w:t>ToR</w:t>
      </w:r>
      <w:r w:rsidR="005C05B0">
        <w:rPr>
          <w:rFonts w:ascii="Calibri" w:hAnsi="Calibri"/>
        </w:rPr>
        <w:t>s</w:t>
      </w:r>
      <w:proofErr w:type="spellEnd"/>
      <w:r w:rsidR="00F06946" w:rsidRPr="005C3EC8">
        <w:rPr>
          <w:rFonts w:ascii="Calibri" w:hAnsi="Calibri"/>
        </w:rPr>
        <w:t xml:space="preserve"> includes provisions for observers. As noted above, there are procedures in place for proxies and abstention if needed. </w:t>
      </w:r>
    </w:p>
    <w:p w14:paraId="537F658C" w14:textId="43C91BD8" w:rsidR="00034884" w:rsidRPr="005C3EC8" w:rsidRDefault="00CD1619" w:rsidP="00E956E1">
      <w:pPr>
        <w:spacing w:before="120"/>
        <w:rPr>
          <w:rFonts w:ascii="Calibri" w:hAnsi="Calibri"/>
        </w:rPr>
      </w:pPr>
      <w:r w:rsidRPr="005C3EC8">
        <w:rPr>
          <w:rFonts w:ascii="Calibri" w:hAnsi="Calibri"/>
          <w:i/>
          <w:u w:val="single"/>
        </w:rPr>
        <w:t>National secretariat</w:t>
      </w:r>
      <w:r w:rsidRPr="005C3EC8">
        <w:rPr>
          <w:rFonts w:ascii="Calibri" w:hAnsi="Calibri"/>
        </w:rPr>
        <w:t>:</w:t>
      </w:r>
      <w:r w:rsidR="005C05B0">
        <w:rPr>
          <w:rFonts w:ascii="Calibri" w:hAnsi="Calibri"/>
        </w:rPr>
        <w:t xml:space="preserve"> </w:t>
      </w:r>
      <w:r w:rsidR="00F06946" w:rsidRPr="005C3EC8">
        <w:rPr>
          <w:rFonts w:ascii="Calibri" w:hAnsi="Calibri"/>
        </w:rPr>
        <w:t xml:space="preserve">The UK national secretariat provides support to the MSG, including organising and supporting MSG meetings, coordinating the meetings of the government representatives, documenting MSG discussions and decisions, procurement and liaison with the </w:t>
      </w:r>
      <w:r w:rsidR="005C05B0">
        <w:rPr>
          <w:rFonts w:ascii="Calibri" w:hAnsi="Calibri"/>
        </w:rPr>
        <w:t>I</w:t>
      </w:r>
      <w:r w:rsidR="00F06946" w:rsidRPr="005C3EC8">
        <w:rPr>
          <w:rFonts w:ascii="Calibri" w:hAnsi="Calibri"/>
        </w:rPr>
        <w:t xml:space="preserve">ndependent Administrator, liaison with the EITI International Secretariat, and updating the UK website. </w:t>
      </w:r>
    </w:p>
    <w:p w14:paraId="6D0AA577" w14:textId="5FCF758D" w:rsidR="007B124A" w:rsidRPr="005C3EC8" w:rsidRDefault="002929E0">
      <w:pPr>
        <w:pStyle w:val="Heading3"/>
      </w:pPr>
      <w:r w:rsidRPr="005C3EC8">
        <w:t>St</w:t>
      </w:r>
      <w:bookmarkStart w:id="100" w:name="MSGstakeholderviews"/>
      <w:bookmarkEnd w:id="100"/>
      <w:r w:rsidRPr="005C3EC8">
        <w:t>akeholder views</w:t>
      </w:r>
    </w:p>
    <w:p w14:paraId="7E9788CC" w14:textId="153E0477" w:rsidR="004D14E9" w:rsidRPr="005C3EC8" w:rsidRDefault="003330AA" w:rsidP="003330AA">
      <w:pPr>
        <w:spacing w:before="360"/>
        <w:rPr>
          <w:rFonts w:ascii="Calibri" w:hAnsi="Calibri"/>
        </w:rPr>
      </w:pPr>
      <w:r w:rsidRPr="005C3EC8">
        <w:rPr>
          <w:rFonts w:ascii="Calibri" w:hAnsi="Calibri"/>
        </w:rPr>
        <w:t xml:space="preserve">Stakeholders consulted by the </w:t>
      </w:r>
      <w:r w:rsidR="00DF5CB1" w:rsidRPr="005C3EC8">
        <w:rPr>
          <w:rFonts w:ascii="Calibri" w:hAnsi="Calibri"/>
        </w:rPr>
        <w:t>I</w:t>
      </w:r>
      <w:r w:rsidRPr="005C3EC8">
        <w:rPr>
          <w:rFonts w:ascii="Calibri" w:hAnsi="Calibri"/>
        </w:rPr>
        <w:t xml:space="preserve">nternational </w:t>
      </w:r>
      <w:r w:rsidR="00DF5CB1" w:rsidRPr="005C3EC8">
        <w:rPr>
          <w:rFonts w:ascii="Calibri" w:hAnsi="Calibri"/>
        </w:rPr>
        <w:t>S</w:t>
      </w:r>
      <w:r w:rsidRPr="005C3EC8">
        <w:rPr>
          <w:rFonts w:ascii="Calibri" w:hAnsi="Calibri"/>
        </w:rPr>
        <w:t xml:space="preserve">ecretariat </w:t>
      </w:r>
      <w:r w:rsidR="004D14E9" w:rsidRPr="005C3EC8">
        <w:rPr>
          <w:rFonts w:ascii="Calibri" w:hAnsi="Calibri"/>
        </w:rPr>
        <w:t xml:space="preserve">highlighted the MSG had been an effective platform </w:t>
      </w:r>
      <w:r w:rsidR="00DF5CB1" w:rsidRPr="005C3EC8">
        <w:rPr>
          <w:rFonts w:ascii="Calibri" w:hAnsi="Calibri"/>
        </w:rPr>
        <w:t>for</w:t>
      </w:r>
      <w:r w:rsidR="004D14E9" w:rsidRPr="005C3EC8">
        <w:rPr>
          <w:rFonts w:ascii="Calibri" w:hAnsi="Calibri"/>
        </w:rPr>
        <w:t xml:space="preserve"> multi-stakeholder </w:t>
      </w:r>
      <w:r w:rsidR="00DF5CB1" w:rsidRPr="005C3EC8">
        <w:rPr>
          <w:rFonts w:ascii="Calibri" w:hAnsi="Calibri"/>
        </w:rPr>
        <w:t xml:space="preserve">collaboration and </w:t>
      </w:r>
      <w:r w:rsidR="004D14E9" w:rsidRPr="005C3EC8">
        <w:rPr>
          <w:rFonts w:ascii="Calibri" w:hAnsi="Calibri"/>
        </w:rPr>
        <w:t>oversight. There was agreement that the MSG had a clear mandate</w:t>
      </w:r>
      <w:r w:rsidR="00DF5CB1" w:rsidRPr="005C3EC8">
        <w:rPr>
          <w:rFonts w:ascii="Calibri" w:hAnsi="Calibri"/>
        </w:rPr>
        <w:t>,</w:t>
      </w:r>
      <w:r w:rsidR="004D14E9" w:rsidRPr="005C3EC8">
        <w:rPr>
          <w:rFonts w:ascii="Calibri" w:hAnsi="Calibri"/>
        </w:rPr>
        <w:t xml:space="preserve"> terms of reference</w:t>
      </w:r>
      <w:r w:rsidR="00DF5CB1" w:rsidRPr="005C3EC8">
        <w:rPr>
          <w:rFonts w:ascii="Calibri" w:hAnsi="Calibri"/>
        </w:rPr>
        <w:t xml:space="preserve"> and internal procedures</w:t>
      </w:r>
      <w:r w:rsidR="00657BBA">
        <w:rPr>
          <w:rFonts w:ascii="Calibri" w:hAnsi="Calibri"/>
        </w:rPr>
        <w:t xml:space="preserve"> and that these had broadly been adhered to in practice</w:t>
      </w:r>
      <w:r w:rsidR="00DF5CB1" w:rsidRPr="005C3EC8">
        <w:rPr>
          <w:rFonts w:ascii="Calibri" w:hAnsi="Calibri"/>
        </w:rPr>
        <w:t xml:space="preserve">. There was considerable </w:t>
      </w:r>
      <w:r w:rsidR="004D14E9" w:rsidRPr="005C3EC8">
        <w:rPr>
          <w:rFonts w:ascii="Calibri" w:hAnsi="Calibri"/>
        </w:rPr>
        <w:t xml:space="preserve">satisfaction that the MSG had implemented its agreed work plans, in particular </w:t>
      </w:r>
      <w:r w:rsidR="00DF5CB1" w:rsidRPr="005C3EC8">
        <w:rPr>
          <w:rFonts w:ascii="Calibri" w:hAnsi="Calibri"/>
        </w:rPr>
        <w:t xml:space="preserve">the publication of several </w:t>
      </w:r>
      <w:r w:rsidR="004D14E9" w:rsidRPr="005C3EC8">
        <w:rPr>
          <w:rFonts w:ascii="Calibri" w:hAnsi="Calibri"/>
        </w:rPr>
        <w:t>high</w:t>
      </w:r>
      <w:r w:rsidR="006771B7">
        <w:rPr>
          <w:rFonts w:ascii="Calibri" w:hAnsi="Calibri"/>
        </w:rPr>
        <w:t>-</w:t>
      </w:r>
      <w:r w:rsidR="004D14E9" w:rsidRPr="005C3EC8">
        <w:rPr>
          <w:rFonts w:ascii="Calibri" w:hAnsi="Calibri"/>
        </w:rPr>
        <w:t xml:space="preserve">quality EITI Reports. Government and industry representatives were content with their representation on the MSG, and the arrangements in place for wider collaboration with their constituencies. </w:t>
      </w:r>
    </w:p>
    <w:p w14:paraId="5BDA0DB6" w14:textId="5725FB04" w:rsidR="00DF5CB1" w:rsidRPr="005C3EC8" w:rsidRDefault="00DF5CB1" w:rsidP="004D14E9">
      <w:pPr>
        <w:spacing w:before="360"/>
        <w:rPr>
          <w:rFonts w:ascii="Calibri" w:hAnsi="Calibri"/>
        </w:rPr>
      </w:pPr>
      <w:r w:rsidRPr="005C3EC8">
        <w:rPr>
          <w:rFonts w:ascii="Calibri" w:hAnsi="Calibri"/>
        </w:rPr>
        <w:t>S</w:t>
      </w:r>
      <w:r w:rsidR="003330AA" w:rsidRPr="005C3EC8">
        <w:rPr>
          <w:rFonts w:ascii="Calibri" w:hAnsi="Calibri"/>
        </w:rPr>
        <w:t xml:space="preserve">takeholders were unanimous that the dispute regarding the nomination and representation of civil society organisations on the MSG had </w:t>
      </w:r>
      <w:r w:rsidR="004D14E9" w:rsidRPr="005C3EC8">
        <w:rPr>
          <w:rFonts w:ascii="Calibri" w:hAnsi="Calibri"/>
        </w:rPr>
        <w:t xml:space="preserve">undermined the MSG’s work and </w:t>
      </w:r>
      <w:r w:rsidR="003330AA" w:rsidRPr="005C3EC8">
        <w:rPr>
          <w:rFonts w:ascii="Calibri" w:hAnsi="Calibri"/>
        </w:rPr>
        <w:t xml:space="preserve">detracted from other aspects of implementation. </w:t>
      </w:r>
      <w:r w:rsidRPr="005C3EC8">
        <w:rPr>
          <w:rFonts w:ascii="Calibri" w:hAnsi="Calibri"/>
        </w:rPr>
        <w:t xml:space="preserve">Civil society representatives had divergent views on causes, but agreed that the solution was for </w:t>
      </w:r>
      <w:r w:rsidR="00B83EEC" w:rsidRPr="005C3EC8">
        <w:rPr>
          <w:rFonts w:ascii="Calibri" w:hAnsi="Calibri"/>
        </w:rPr>
        <w:t xml:space="preserve">the civil society constituency </w:t>
      </w:r>
      <w:r w:rsidR="00231187" w:rsidRPr="005C3EC8">
        <w:rPr>
          <w:rFonts w:ascii="Calibri" w:hAnsi="Calibri"/>
        </w:rPr>
        <w:t xml:space="preserve">to agree a revised procedure that had the support of all parties. </w:t>
      </w:r>
    </w:p>
    <w:p w14:paraId="216088C2" w14:textId="21693319" w:rsidR="0017665E" w:rsidRPr="005C3EC8" w:rsidRDefault="003330AA" w:rsidP="004D14E9">
      <w:pPr>
        <w:spacing w:before="360"/>
        <w:rPr>
          <w:rFonts w:ascii="Calibri" w:hAnsi="Calibri"/>
        </w:rPr>
      </w:pPr>
      <w:r w:rsidRPr="005C3EC8">
        <w:rPr>
          <w:rFonts w:ascii="Calibri" w:hAnsi="Calibri"/>
        </w:rPr>
        <w:t xml:space="preserve">Government and industry representatives lamented that the dispute resulted in the withdrawal of some of the most capable civil society actors. </w:t>
      </w:r>
    </w:p>
    <w:p w14:paraId="147E7DCA" w14:textId="62ADBE86" w:rsidR="002929E0" w:rsidRPr="005C3EC8" w:rsidRDefault="00027AC3">
      <w:pPr>
        <w:pStyle w:val="Heading3"/>
      </w:pPr>
      <w:r w:rsidRPr="005C3EC8">
        <w:t>Initial a</w:t>
      </w:r>
      <w:r w:rsidR="002929E0" w:rsidRPr="005C3EC8">
        <w:t>ssessment</w:t>
      </w:r>
    </w:p>
    <w:p w14:paraId="5D76A4B1" w14:textId="77777777" w:rsidR="00ED51DF" w:rsidRPr="005C3EC8" w:rsidRDefault="00A55B8D" w:rsidP="00ED51DF">
      <w:pPr>
        <w:rPr>
          <w:rFonts w:ascii="Calibri" w:hAnsi="Calibri"/>
        </w:rPr>
      </w:pPr>
      <w:r w:rsidRPr="005C3EC8">
        <w:rPr>
          <w:rFonts w:ascii="Calibri" w:hAnsi="Calibri"/>
        </w:rPr>
        <w:t xml:space="preserve">The International Secretariat’s initial assessment is that the UK has made </w:t>
      </w:r>
      <w:r w:rsidRPr="003B7537">
        <w:rPr>
          <w:rFonts w:ascii="Calibri" w:hAnsi="Calibri"/>
          <w:bCs/>
        </w:rPr>
        <w:t>meaning</w:t>
      </w:r>
      <w:r w:rsidR="00CF3F01" w:rsidRPr="003B7537">
        <w:rPr>
          <w:rFonts w:ascii="Calibri" w:hAnsi="Calibri"/>
          <w:bCs/>
        </w:rPr>
        <w:t>ful</w:t>
      </w:r>
      <w:r w:rsidRPr="003B7537">
        <w:rPr>
          <w:rFonts w:ascii="Calibri" w:hAnsi="Calibri"/>
          <w:bCs/>
        </w:rPr>
        <w:t xml:space="preserve"> progress</w:t>
      </w:r>
      <w:r w:rsidRPr="005C3EC8">
        <w:rPr>
          <w:rFonts w:ascii="Calibri" w:hAnsi="Calibri"/>
        </w:rPr>
        <w:t xml:space="preserve"> in meeting this requirement. </w:t>
      </w:r>
      <w:r w:rsidR="00CF3F01" w:rsidRPr="005C3EC8">
        <w:rPr>
          <w:rFonts w:ascii="Calibri" w:hAnsi="Calibri"/>
        </w:rPr>
        <w:t xml:space="preserve">The Government is committed to working with civil society and </w:t>
      </w:r>
      <w:r w:rsidR="00ED51DF" w:rsidRPr="005C3EC8">
        <w:rPr>
          <w:rFonts w:ascii="Calibri" w:hAnsi="Calibri"/>
        </w:rPr>
        <w:t xml:space="preserve">industry. The Government has </w:t>
      </w:r>
      <w:r w:rsidR="00CF3F01" w:rsidRPr="005C3EC8">
        <w:rPr>
          <w:rFonts w:ascii="Calibri" w:hAnsi="Calibri"/>
        </w:rPr>
        <w:t xml:space="preserve">established </w:t>
      </w:r>
      <w:r w:rsidR="00ED51DF" w:rsidRPr="005C3EC8">
        <w:rPr>
          <w:rFonts w:ascii="Calibri" w:hAnsi="Calibri"/>
        </w:rPr>
        <w:t>a</w:t>
      </w:r>
      <w:r w:rsidR="00CF3F01" w:rsidRPr="005C3EC8">
        <w:rPr>
          <w:rFonts w:ascii="Calibri" w:hAnsi="Calibri"/>
        </w:rPr>
        <w:t xml:space="preserve"> MSG</w:t>
      </w:r>
      <w:r w:rsidR="00ED51DF" w:rsidRPr="005C3EC8">
        <w:rPr>
          <w:rFonts w:ascii="Calibri" w:hAnsi="Calibri"/>
        </w:rPr>
        <w:t xml:space="preserve">, ensuring that the invitation to participate was open and transparent. Initially, government, industry and civil society stakeholders were adequately represented. </w:t>
      </w:r>
      <w:r w:rsidR="00CF3F01" w:rsidRPr="005C3EC8">
        <w:rPr>
          <w:rFonts w:ascii="Calibri" w:hAnsi="Calibri"/>
        </w:rPr>
        <w:t xml:space="preserve">The role, responsibilities and rights of the MSG </w:t>
      </w:r>
      <w:r w:rsidR="00ED51DF" w:rsidRPr="005C3EC8">
        <w:rPr>
          <w:rFonts w:ascii="Calibri" w:hAnsi="Calibri"/>
        </w:rPr>
        <w:t>we</w:t>
      </w:r>
      <w:r w:rsidR="00CF3F01" w:rsidRPr="005C3EC8">
        <w:rPr>
          <w:rFonts w:ascii="Calibri" w:hAnsi="Calibri"/>
        </w:rPr>
        <w:t xml:space="preserve">re clear, with appropriate internal governance rules and procedures. </w:t>
      </w:r>
    </w:p>
    <w:p w14:paraId="47047980" w14:textId="06679395" w:rsidR="00ED51DF" w:rsidRPr="005C3EC8" w:rsidRDefault="00ED51DF" w:rsidP="00ED51DF">
      <w:pPr>
        <w:rPr>
          <w:rFonts w:ascii="Calibri" w:hAnsi="Calibri"/>
        </w:rPr>
      </w:pPr>
      <w:r w:rsidRPr="005C3EC8">
        <w:rPr>
          <w:rFonts w:ascii="Calibri" w:hAnsi="Calibri"/>
        </w:rPr>
        <w:t xml:space="preserve">However, the MSG has encountered a debilitating crisis regarding how civil society representatives to the </w:t>
      </w:r>
      <w:r w:rsidRPr="005C3EC8">
        <w:rPr>
          <w:rFonts w:ascii="Calibri" w:hAnsi="Calibri"/>
        </w:rPr>
        <w:lastRenderedPageBreak/>
        <w:t xml:space="preserve">MSG should be selected. The EITI Standard requires that “each stakeholder group must have the right to appoint its own representatives, bearing in mind the desirability of pluralistic and diverse representation”. When efforts to agree a compromise stalled, the UK government took a decision to split the nomination role between two groups. This led the UK EITI Civil Society Network to withdraw from the UK EITI process, a situation that has persisted until the commencement of Validation. The result is that the civil society constituency is not adequately engaged or representative. </w:t>
      </w:r>
    </w:p>
    <w:p w14:paraId="032D8EDE" w14:textId="43C095AC" w:rsidR="00DA431E" w:rsidRDefault="00DA431E" w:rsidP="00DA431E">
      <w:pPr>
        <w:rPr>
          <w:rFonts w:ascii="Calibri" w:hAnsi="Calibri"/>
        </w:rPr>
      </w:pPr>
      <w:r w:rsidRPr="005C3EC8">
        <w:rPr>
          <w:rFonts w:ascii="Calibri" w:hAnsi="Calibri"/>
        </w:rPr>
        <w:t>All stakeholders consulted by the International Secretariat agree that it is for the civil society constituency to resolve the matter of their representation on the MSG. At the time of writing, there had been some constructive discussions about resolving the situation. The procedure adopted at the international level in seeking civil society representatives for the EITI International Board through an open and transparent selection process managed by an independent civil society advisory group (CSAG) with the support of an independent organization (IO)</w:t>
      </w:r>
      <w:r w:rsidRPr="005C3EC8">
        <w:rPr>
          <w:rStyle w:val="FootnoteReference"/>
          <w:rFonts w:ascii="Calibri" w:hAnsi="Calibri"/>
        </w:rPr>
        <w:footnoteReference w:id="54"/>
      </w:r>
      <w:r w:rsidRPr="005C3EC8">
        <w:rPr>
          <w:rFonts w:ascii="Calibri" w:hAnsi="Calibri"/>
        </w:rPr>
        <w:t xml:space="preserve"> could be replicated at the national level. The civil society constituency could consider seeking government support in this regard. </w:t>
      </w:r>
    </w:p>
    <w:p w14:paraId="4E3AC96A" w14:textId="710B420C" w:rsidR="00AD03EE" w:rsidRPr="005C3EC8" w:rsidRDefault="00AD03EE" w:rsidP="00DA431E">
      <w:pPr>
        <w:rPr>
          <w:rFonts w:ascii="Calibri" w:hAnsi="Calibri"/>
        </w:rPr>
      </w:pPr>
      <w:r w:rsidRPr="00AD03EE">
        <w:rPr>
          <w:rFonts w:ascii="Calibri" w:hAnsi="Calibri"/>
        </w:rPr>
        <w:t xml:space="preserve">In accordance with </w:t>
      </w:r>
      <w:r>
        <w:rPr>
          <w:rFonts w:ascii="Calibri" w:hAnsi="Calibri"/>
        </w:rPr>
        <w:t>R</w:t>
      </w:r>
      <w:r w:rsidRPr="00AD03EE">
        <w:rPr>
          <w:rFonts w:ascii="Calibri" w:hAnsi="Calibri"/>
        </w:rPr>
        <w:t>equirement 1.4.a.ii, the MSG should ensure that the civil society constituency is adequately represented, and that the civil society constituency appoints its own representatives, bearing in mind the desirability of pluralistic and diverse representation.</w:t>
      </w:r>
    </w:p>
    <w:p w14:paraId="199FEAA9" w14:textId="29ADCA5C" w:rsidR="002929E0" w:rsidRPr="005C3EC8" w:rsidRDefault="002929E0" w:rsidP="0097728B">
      <w:pPr>
        <w:pStyle w:val="Heading2"/>
      </w:pPr>
      <w:bookmarkStart w:id="101" w:name="_Toc459133090"/>
      <w:bookmarkStart w:id="102" w:name="_Toc461803039"/>
      <w:bookmarkStart w:id="103" w:name="_Toc461787320"/>
      <w:bookmarkStart w:id="104" w:name="_Toc461795832"/>
      <w:bookmarkStart w:id="105" w:name="_Toc462149179"/>
      <w:r w:rsidRPr="005C3EC8">
        <w:t>Work</w:t>
      </w:r>
      <w:r w:rsidR="00256372" w:rsidRPr="005C3EC8">
        <w:t xml:space="preserve"> </w:t>
      </w:r>
      <w:r w:rsidRPr="005C3EC8">
        <w:t>plan (#1.5)</w:t>
      </w:r>
      <w:bookmarkEnd w:id="101"/>
      <w:bookmarkEnd w:id="102"/>
      <w:bookmarkEnd w:id="103"/>
      <w:bookmarkEnd w:id="104"/>
      <w:bookmarkEnd w:id="105"/>
      <w:r w:rsidRPr="005C3EC8">
        <w:t xml:space="preserve"> </w:t>
      </w:r>
    </w:p>
    <w:p w14:paraId="5EABAFD3" w14:textId="77777777" w:rsidR="0091418B" w:rsidRPr="005C3EC8" w:rsidRDefault="002929E0" w:rsidP="0097728B">
      <w:pPr>
        <w:pStyle w:val="Heading3"/>
      </w:pPr>
      <w:r w:rsidRPr="005C3EC8">
        <w:t>Documentation of progress</w:t>
      </w:r>
      <w:r w:rsidR="00ED7496" w:rsidRPr="005C3EC8">
        <w:t xml:space="preserve"> </w:t>
      </w:r>
    </w:p>
    <w:p w14:paraId="2F04D000" w14:textId="77777777" w:rsidR="00231187" w:rsidRPr="005C3EC8" w:rsidRDefault="00231187" w:rsidP="00231187">
      <w:pPr>
        <w:spacing w:before="120"/>
        <w:rPr>
          <w:rFonts w:ascii="Calibri" w:hAnsi="Calibri"/>
        </w:rPr>
      </w:pPr>
      <w:r w:rsidRPr="005C3EC8">
        <w:rPr>
          <w:rFonts w:ascii="Calibri" w:hAnsi="Calibri"/>
        </w:rPr>
        <w:t xml:space="preserve">The UK EITI objectives were initially agreed in May 2014. A sub-group met twice and agreed draft objectives but following consultation with wider stakeholders, these were rejected. An extraordinary meeting of the MSG was convened. Each constituency consulted with their constituencies in advance of this meeting and agreement was reached at this point. </w:t>
      </w:r>
      <w:r w:rsidR="00D332A8" w:rsidRPr="005C3EC8">
        <w:rPr>
          <w:rFonts w:ascii="Calibri" w:hAnsi="Calibri"/>
        </w:rPr>
        <w:t xml:space="preserve">The </w:t>
      </w:r>
      <w:r w:rsidR="00D332A8" w:rsidRPr="005C3EC8">
        <w:rPr>
          <w:rFonts w:ascii="Calibri" w:hAnsi="Calibri"/>
          <w:u w:val="single"/>
        </w:rPr>
        <w:t>agreed objectives</w:t>
      </w:r>
      <w:r w:rsidR="00D332A8" w:rsidRPr="005C3EC8">
        <w:rPr>
          <w:rFonts w:ascii="Calibri" w:hAnsi="Calibri"/>
        </w:rPr>
        <w:t xml:space="preserve"> </w:t>
      </w:r>
      <w:r w:rsidRPr="005C3EC8">
        <w:rPr>
          <w:rFonts w:ascii="Calibri" w:hAnsi="Calibri"/>
        </w:rPr>
        <w:t>we</w:t>
      </w:r>
      <w:r w:rsidR="00D332A8" w:rsidRPr="005C3EC8">
        <w:rPr>
          <w:rFonts w:ascii="Calibri" w:hAnsi="Calibri"/>
        </w:rPr>
        <w:t xml:space="preserve">re: </w:t>
      </w:r>
    </w:p>
    <w:p w14:paraId="58CA9567" w14:textId="77777777" w:rsidR="00231187" w:rsidRPr="005C3EC8" w:rsidRDefault="00D332A8" w:rsidP="008200F5">
      <w:pPr>
        <w:pStyle w:val="ListParagraph"/>
        <w:numPr>
          <w:ilvl w:val="0"/>
          <w:numId w:val="37"/>
        </w:numPr>
      </w:pPr>
      <w:r w:rsidRPr="005C3EC8">
        <w:t>Recognise and support the principles set out in the 2013 EITI Standard</w:t>
      </w:r>
    </w:p>
    <w:p w14:paraId="39A3713B" w14:textId="77777777" w:rsidR="00231187" w:rsidRPr="005C3EC8" w:rsidRDefault="00D332A8" w:rsidP="008200F5">
      <w:pPr>
        <w:pStyle w:val="ListParagraph"/>
        <w:numPr>
          <w:ilvl w:val="0"/>
          <w:numId w:val="37"/>
        </w:numPr>
      </w:pPr>
      <w:r w:rsidRPr="005C3EC8">
        <w:t xml:space="preserve">Enhance accountability to the UK public on the revenues from the UK’s extractive industries. </w:t>
      </w:r>
    </w:p>
    <w:p w14:paraId="29B6521E" w14:textId="77777777" w:rsidR="00231187" w:rsidRPr="005C3EC8" w:rsidRDefault="00D332A8" w:rsidP="008200F5">
      <w:pPr>
        <w:pStyle w:val="ListParagraph"/>
        <w:numPr>
          <w:ilvl w:val="0"/>
          <w:numId w:val="37"/>
        </w:numPr>
      </w:pPr>
      <w:r w:rsidRPr="005C3EC8">
        <w:t xml:space="preserve">Increase public understanding of the social and economic impacts of the UK’s extractive industries and enrich public debate on the governance and stewardship of the UK’s oil, gas and mineral resources. </w:t>
      </w:r>
    </w:p>
    <w:p w14:paraId="3AF5DB8E" w14:textId="77777777" w:rsidR="00231187" w:rsidRPr="005C3EC8" w:rsidRDefault="00D332A8" w:rsidP="008200F5">
      <w:pPr>
        <w:pStyle w:val="ListParagraph"/>
        <w:numPr>
          <w:ilvl w:val="0"/>
          <w:numId w:val="37"/>
        </w:numPr>
      </w:pPr>
      <w:r w:rsidRPr="005C3EC8">
        <w:t xml:space="preserve">Ensure information is readily accessible and presented to the public in a clear manner. </w:t>
      </w:r>
    </w:p>
    <w:p w14:paraId="0E6B2CA4" w14:textId="77777777" w:rsidR="00231187" w:rsidRPr="005C3EC8" w:rsidRDefault="00D332A8" w:rsidP="008200F5">
      <w:pPr>
        <w:pStyle w:val="ListParagraph"/>
        <w:numPr>
          <w:ilvl w:val="0"/>
          <w:numId w:val="37"/>
        </w:numPr>
      </w:pPr>
      <w:r w:rsidRPr="005C3EC8">
        <w:t xml:space="preserve">Support moves towards common global reporting standards in oil, gas and mining and promote a level playing field for business in the UK and internationally. </w:t>
      </w:r>
    </w:p>
    <w:p w14:paraId="5C8CDBCF" w14:textId="3BB44942" w:rsidR="00D332A8" w:rsidRPr="005C3EC8" w:rsidRDefault="00D332A8" w:rsidP="008200F5">
      <w:pPr>
        <w:pStyle w:val="ListParagraph"/>
        <w:numPr>
          <w:ilvl w:val="0"/>
          <w:numId w:val="37"/>
        </w:numPr>
      </w:pPr>
      <w:r w:rsidRPr="005C3EC8">
        <w:t xml:space="preserve">Support the UK government’s championing of extractives transparency and open government. </w:t>
      </w:r>
    </w:p>
    <w:p w14:paraId="21F5A3CE" w14:textId="5D8235F9" w:rsidR="00231187" w:rsidRPr="005C3EC8" w:rsidRDefault="00231187" w:rsidP="00231187">
      <w:r w:rsidRPr="005C3EC8">
        <w:t>The objectives of EITI implementation were subsequently refined</w:t>
      </w:r>
      <w:r w:rsidR="00D462DC" w:rsidRPr="005C3EC8">
        <w:t xml:space="preserve"> in the June 2015 work</w:t>
      </w:r>
      <w:r w:rsidR="007D17CF">
        <w:t xml:space="preserve"> </w:t>
      </w:r>
      <w:r w:rsidR="00D462DC" w:rsidRPr="005C3EC8">
        <w:t>plan</w:t>
      </w:r>
      <w:r w:rsidR="00D462DC" w:rsidRPr="005C3EC8">
        <w:rPr>
          <w:rStyle w:val="FootnoteReference"/>
        </w:rPr>
        <w:footnoteReference w:id="55"/>
      </w:r>
      <w:r w:rsidR="00D462DC" w:rsidRPr="005C3EC8">
        <w:t xml:space="preserve"> and the </w:t>
      </w:r>
      <w:r w:rsidR="00D462DC" w:rsidRPr="005C3EC8">
        <w:lastRenderedPageBreak/>
        <w:t>June 2018 work plan</w:t>
      </w:r>
      <w:r w:rsidR="00D462DC" w:rsidRPr="005C3EC8">
        <w:rPr>
          <w:rStyle w:val="FootnoteReference"/>
        </w:rPr>
        <w:footnoteReference w:id="56"/>
      </w:r>
      <w:r w:rsidR="00D462DC" w:rsidRPr="005C3EC8">
        <w:t xml:space="preserve">. </w:t>
      </w:r>
      <w:r w:rsidRPr="005C3EC8">
        <w:t>The</w:t>
      </w:r>
      <w:r w:rsidR="00EA53C9" w:rsidRPr="005C3EC8">
        <w:t xml:space="preserve"> latest</w:t>
      </w:r>
      <w:r w:rsidRPr="005C3EC8">
        <w:t xml:space="preserve"> </w:t>
      </w:r>
      <w:r w:rsidR="00D462DC" w:rsidRPr="005C3EC8">
        <w:t>work</w:t>
      </w:r>
      <w:r w:rsidR="007D17CF">
        <w:t xml:space="preserve"> </w:t>
      </w:r>
      <w:r w:rsidR="00D462DC" w:rsidRPr="005C3EC8">
        <w:t xml:space="preserve">plan objectives </w:t>
      </w:r>
      <w:r w:rsidR="00EA53C9" w:rsidRPr="005C3EC8">
        <w:t>are</w:t>
      </w:r>
      <w:r w:rsidRPr="005C3EC8">
        <w:t>:</w:t>
      </w:r>
    </w:p>
    <w:p w14:paraId="0D77D183" w14:textId="77777777" w:rsidR="00231187" w:rsidRPr="005C3EC8" w:rsidRDefault="00231187" w:rsidP="008200F5">
      <w:pPr>
        <w:pStyle w:val="ListParagraph"/>
        <w:numPr>
          <w:ilvl w:val="0"/>
          <w:numId w:val="38"/>
        </w:numPr>
      </w:pPr>
      <w:r w:rsidRPr="005C3EC8">
        <w:t>Increase public understanding of the social and economic impacts of the UK's extractive industries and enrich public debate on the governance and stewardship of the UK's oil, gas and mineral resources.</w:t>
      </w:r>
    </w:p>
    <w:p w14:paraId="6020038B" w14:textId="77777777" w:rsidR="00231187" w:rsidRPr="005C3EC8" w:rsidRDefault="00231187" w:rsidP="008200F5">
      <w:pPr>
        <w:pStyle w:val="ListParagraph"/>
        <w:numPr>
          <w:ilvl w:val="0"/>
          <w:numId w:val="38"/>
        </w:numPr>
      </w:pPr>
      <w:r w:rsidRPr="005C3EC8">
        <w:t>Ensure information is readily accessible and presented to the public in a clear manner.</w:t>
      </w:r>
    </w:p>
    <w:p w14:paraId="189027ED" w14:textId="57EA44A8" w:rsidR="00231187" w:rsidRPr="005C3EC8" w:rsidRDefault="00231187" w:rsidP="008200F5">
      <w:pPr>
        <w:pStyle w:val="ListParagraph"/>
        <w:numPr>
          <w:ilvl w:val="0"/>
          <w:numId w:val="38"/>
        </w:numPr>
      </w:pPr>
      <w:r w:rsidRPr="005C3EC8">
        <w:t xml:space="preserve">Support the UK government’s championing of extractives transparency and open government. </w:t>
      </w:r>
    </w:p>
    <w:p w14:paraId="5158C6C8" w14:textId="675D80E0" w:rsidR="001B59B6" w:rsidRPr="005C3EC8" w:rsidRDefault="00D462DC" w:rsidP="00EA53C9">
      <w:r w:rsidRPr="005C3EC8">
        <w:t>Under each objective, the work</w:t>
      </w:r>
      <w:r w:rsidR="007D17CF">
        <w:t xml:space="preserve"> </w:t>
      </w:r>
      <w:r w:rsidRPr="005C3EC8">
        <w:t>plan outlines preconditions and risks and capacity constraints. The</w:t>
      </w:r>
      <w:r w:rsidR="00EA53C9" w:rsidRPr="005C3EC8">
        <w:t xml:space="preserve"> following section reference the applicable EITI requirements. Thereafter, the work</w:t>
      </w:r>
      <w:r w:rsidR="007D17CF">
        <w:t xml:space="preserve"> </w:t>
      </w:r>
      <w:r w:rsidR="00EA53C9" w:rsidRPr="005C3EC8">
        <w:t>plan list the planned a</w:t>
      </w:r>
      <w:r w:rsidRPr="005C3EC8">
        <w:t>ctivities</w:t>
      </w:r>
      <w:r w:rsidR="00EA53C9" w:rsidRPr="005C3EC8">
        <w:t>, e</w:t>
      </w:r>
      <w:r w:rsidRPr="005C3EC8">
        <w:t xml:space="preserve">xpected </w:t>
      </w:r>
      <w:r w:rsidR="00EA53C9" w:rsidRPr="005C3EC8">
        <w:t>o</w:t>
      </w:r>
      <w:r w:rsidRPr="005C3EC8">
        <w:t>utput</w:t>
      </w:r>
      <w:r w:rsidR="00EA53C9" w:rsidRPr="005C3EC8">
        <w:t>s and e</w:t>
      </w:r>
      <w:r w:rsidRPr="005C3EC8">
        <w:t xml:space="preserve">xpected </w:t>
      </w:r>
      <w:r w:rsidR="00EA53C9" w:rsidRPr="005C3EC8">
        <w:t>o</w:t>
      </w:r>
      <w:r w:rsidRPr="005C3EC8">
        <w:t>utcome</w:t>
      </w:r>
      <w:r w:rsidR="00EA53C9" w:rsidRPr="005C3EC8">
        <w:t>. In each case, the r</w:t>
      </w:r>
      <w:r w:rsidRPr="005C3EC8">
        <w:t xml:space="preserve">esponsible </w:t>
      </w:r>
      <w:r w:rsidR="00EA53C9" w:rsidRPr="005C3EC8">
        <w:t>e</w:t>
      </w:r>
      <w:r w:rsidRPr="005C3EC8">
        <w:t>ntity</w:t>
      </w:r>
      <w:r w:rsidR="00EA53C9" w:rsidRPr="005C3EC8">
        <w:t xml:space="preserve"> is listed together with a t</w:t>
      </w:r>
      <w:r w:rsidRPr="005C3EC8">
        <w:t>imeline</w:t>
      </w:r>
      <w:r w:rsidR="00EA53C9" w:rsidRPr="005C3EC8">
        <w:t xml:space="preserve">, costing and current status. </w:t>
      </w:r>
    </w:p>
    <w:p w14:paraId="08460976" w14:textId="4BDB0B10" w:rsidR="00231187" w:rsidRPr="005C3EC8" w:rsidRDefault="00EA53C9" w:rsidP="005C3EC8">
      <w:pPr>
        <w:spacing w:before="120"/>
        <w:rPr>
          <w:rFonts w:ascii="Calibri" w:hAnsi="Calibri"/>
        </w:rPr>
      </w:pPr>
      <w:r w:rsidRPr="005C3EC8">
        <w:rPr>
          <w:rFonts w:ascii="Calibri" w:hAnsi="Calibri"/>
        </w:rPr>
        <w:t>The 2018 work</w:t>
      </w:r>
      <w:r w:rsidR="007D17CF">
        <w:rPr>
          <w:rFonts w:ascii="Calibri" w:hAnsi="Calibri"/>
        </w:rPr>
        <w:t xml:space="preserve"> </w:t>
      </w:r>
      <w:r w:rsidRPr="005C3EC8">
        <w:rPr>
          <w:rFonts w:ascii="Calibri" w:hAnsi="Calibri"/>
        </w:rPr>
        <w:t>plan</w:t>
      </w:r>
      <w:r w:rsidR="005C3EC8">
        <w:rPr>
          <w:rFonts w:ascii="Calibri" w:hAnsi="Calibri"/>
        </w:rPr>
        <w:t xml:space="preserve"> </w:t>
      </w:r>
      <w:r w:rsidR="005C3EC8" w:rsidRPr="005C3EC8">
        <w:rPr>
          <w:rFonts w:ascii="Calibri" w:hAnsi="Calibri"/>
        </w:rPr>
        <w:t>is publicly accessible</w:t>
      </w:r>
      <w:r w:rsidR="005C3EC8">
        <w:rPr>
          <w:rFonts w:ascii="Calibri" w:hAnsi="Calibri"/>
        </w:rPr>
        <w:t xml:space="preserve"> and</w:t>
      </w:r>
      <w:r w:rsidR="005C3EC8" w:rsidRPr="005C3EC8">
        <w:rPr>
          <w:rFonts w:ascii="Calibri" w:hAnsi="Calibri"/>
        </w:rPr>
        <w:t xml:space="preserve"> </w:t>
      </w:r>
      <w:r w:rsidR="005C3EC8">
        <w:rPr>
          <w:rFonts w:ascii="Calibri" w:hAnsi="Calibri"/>
        </w:rPr>
        <w:t xml:space="preserve">reflects the contributions and views of stakeholders. It </w:t>
      </w:r>
      <w:r w:rsidRPr="005C3EC8">
        <w:rPr>
          <w:rFonts w:ascii="Calibri" w:hAnsi="Calibri"/>
        </w:rPr>
        <w:t>includes measurable and time bound activities to achieve the agreed objectives</w:t>
      </w:r>
      <w:r w:rsidR="005C3EC8">
        <w:rPr>
          <w:rFonts w:ascii="Calibri" w:hAnsi="Calibri"/>
        </w:rPr>
        <w:t xml:space="preserve">, </w:t>
      </w:r>
      <w:r w:rsidRPr="005C3EC8">
        <w:rPr>
          <w:rFonts w:ascii="Calibri" w:hAnsi="Calibri"/>
        </w:rPr>
        <w:t>outlines plans to address any potential capacity constraints</w:t>
      </w:r>
      <w:r w:rsidR="005C3EC8">
        <w:rPr>
          <w:rFonts w:ascii="Calibri" w:hAnsi="Calibri"/>
        </w:rPr>
        <w:t xml:space="preserve">, </w:t>
      </w:r>
      <w:r w:rsidRPr="005C3EC8">
        <w:rPr>
          <w:rFonts w:ascii="Calibri" w:hAnsi="Calibri"/>
        </w:rPr>
        <w:t xml:space="preserve">addresses the scope of EITI reporting and outlines plans to address legal </w:t>
      </w:r>
      <w:r w:rsidR="005C3EC8">
        <w:rPr>
          <w:rFonts w:ascii="Calibri" w:hAnsi="Calibri"/>
        </w:rPr>
        <w:t>and</w:t>
      </w:r>
      <w:r w:rsidRPr="005C3EC8">
        <w:rPr>
          <w:rFonts w:ascii="Calibri" w:hAnsi="Calibri"/>
        </w:rPr>
        <w:t xml:space="preserve"> regulatory obstacles to EITI implementation. </w:t>
      </w:r>
      <w:r w:rsidR="00231187" w:rsidRPr="005C3EC8">
        <w:rPr>
          <w:rFonts w:ascii="Calibri" w:hAnsi="Calibri"/>
        </w:rPr>
        <w:t>The work</w:t>
      </w:r>
      <w:r w:rsidR="007D17CF">
        <w:rPr>
          <w:rFonts w:ascii="Calibri" w:hAnsi="Calibri"/>
        </w:rPr>
        <w:t xml:space="preserve"> </w:t>
      </w:r>
      <w:r w:rsidR="00231187" w:rsidRPr="005C3EC8">
        <w:rPr>
          <w:rFonts w:ascii="Calibri" w:hAnsi="Calibri"/>
        </w:rPr>
        <w:t>plan identifies the sources of funding and support needed to ensure timely implementation of the agreed work</w:t>
      </w:r>
      <w:r w:rsidR="007D17CF">
        <w:rPr>
          <w:rFonts w:ascii="Calibri" w:hAnsi="Calibri"/>
        </w:rPr>
        <w:t xml:space="preserve"> </w:t>
      </w:r>
      <w:r w:rsidR="00231187" w:rsidRPr="005C3EC8">
        <w:rPr>
          <w:rFonts w:ascii="Calibri" w:hAnsi="Calibri"/>
        </w:rPr>
        <w:t xml:space="preserve">plan. The work plan foresees all funding to come from the government. The main cost, for the independent administrator, is not given so as not to indicate a budget for potential bidders for the tender. </w:t>
      </w:r>
    </w:p>
    <w:p w14:paraId="7A381A87" w14:textId="618EB86C" w:rsidR="002929E0" w:rsidRPr="005C3EC8" w:rsidRDefault="002929E0">
      <w:pPr>
        <w:pStyle w:val="Heading3"/>
      </w:pPr>
      <w:r w:rsidRPr="005C3EC8">
        <w:t>St</w:t>
      </w:r>
      <w:bookmarkStart w:id="106" w:name="workplanstakeholderviews"/>
      <w:bookmarkEnd w:id="106"/>
      <w:r w:rsidRPr="005C3EC8">
        <w:t>akeholder views</w:t>
      </w:r>
    </w:p>
    <w:p w14:paraId="791D6061" w14:textId="17C443EB" w:rsidR="008E7B0D" w:rsidRDefault="008E7B0D" w:rsidP="00487088">
      <w:pPr>
        <w:spacing w:before="120"/>
        <w:rPr>
          <w:rFonts w:ascii="Calibri" w:hAnsi="Calibri"/>
        </w:rPr>
      </w:pPr>
      <w:r w:rsidRPr="005C3EC8">
        <w:rPr>
          <w:rFonts w:ascii="Calibri" w:hAnsi="Calibri"/>
        </w:rPr>
        <w:t xml:space="preserve">Stakeholders consulted by the International Secretariat </w:t>
      </w:r>
      <w:r w:rsidR="00877166">
        <w:rPr>
          <w:rFonts w:ascii="Calibri" w:hAnsi="Calibri"/>
        </w:rPr>
        <w:t xml:space="preserve">argued that </w:t>
      </w:r>
      <w:r w:rsidRPr="005C3EC8">
        <w:rPr>
          <w:rFonts w:ascii="Calibri" w:hAnsi="Calibri"/>
        </w:rPr>
        <w:t xml:space="preserve">the </w:t>
      </w:r>
      <w:r>
        <w:rPr>
          <w:rFonts w:ascii="Calibri" w:hAnsi="Calibri"/>
        </w:rPr>
        <w:t xml:space="preserve">work plan had been an effective tool for the MSG in overseeing EITI implementation. There was continuing support for the overall objectives, and for the step by step approach outlined. </w:t>
      </w:r>
    </w:p>
    <w:p w14:paraId="2E26EC5E" w14:textId="053036D8" w:rsidR="006F3F2D" w:rsidRPr="005C3EC8" w:rsidRDefault="008E7B0D" w:rsidP="00877166">
      <w:pPr>
        <w:spacing w:before="120"/>
        <w:rPr>
          <w:rFonts w:ascii="Calibri" w:hAnsi="Calibri"/>
        </w:rPr>
      </w:pPr>
      <w:r>
        <w:rPr>
          <w:rFonts w:ascii="Calibri" w:hAnsi="Calibri"/>
        </w:rPr>
        <w:t>S</w:t>
      </w:r>
      <w:r w:rsidR="006F3F2D" w:rsidRPr="005C3EC8">
        <w:rPr>
          <w:rFonts w:ascii="Calibri" w:hAnsi="Calibri"/>
        </w:rPr>
        <w:t xml:space="preserve">everal stakeholders noted that public interest in the EITI was limited, and that there were opportunities for the government to increase the relevance of the EITI to national debates and to provide further leadership in the EITI internationally. </w:t>
      </w:r>
      <w:r w:rsidR="00877166">
        <w:rPr>
          <w:rFonts w:ascii="Calibri" w:hAnsi="Calibri"/>
        </w:rPr>
        <w:t>The Standard calls for “o</w:t>
      </w:r>
      <w:r w:rsidR="00877166" w:rsidRPr="006F3F2D">
        <w:rPr>
          <w:rFonts w:ascii="Calibri" w:hAnsi="Calibri"/>
        </w:rPr>
        <w:t>bjectives for implementation that are linked to the EITI principles and reflect national priorities for the extractive industries</w:t>
      </w:r>
      <w:r w:rsidR="00877166">
        <w:rPr>
          <w:rFonts w:ascii="Calibri" w:hAnsi="Calibri"/>
        </w:rPr>
        <w:t>” and notes that “MSGs</w:t>
      </w:r>
      <w:r w:rsidR="00877166" w:rsidRPr="00877166">
        <w:rPr>
          <w:rFonts w:ascii="Calibri" w:hAnsi="Calibri"/>
        </w:rPr>
        <w:t xml:space="preserve"> are encouraged to explore innovative approaches to extending EITI implementation to increase the comprehensiveness of EITI reporting and public understanding of revenues and encourage high standards of transparency and accountability in public life, government operations and in business</w:t>
      </w:r>
      <w:r w:rsidR="00877166">
        <w:rPr>
          <w:rFonts w:ascii="Calibri" w:hAnsi="Calibri"/>
        </w:rPr>
        <w:t>”</w:t>
      </w:r>
      <w:r w:rsidR="00877166" w:rsidRPr="006F3F2D">
        <w:rPr>
          <w:rFonts w:ascii="Calibri" w:hAnsi="Calibri"/>
        </w:rPr>
        <w:t xml:space="preserve"> (</w:t>
      </w:r>
      <w:r w:rsidR="00877166">
        <w:rPr>
          <w:rFonts w:ascii="Calibri" w:hAnsi="Calibri"/>
        </w:rPr>
        <w:t xml:space="preserve">Requirement </w:t>
      </w:r>
      <w:r w:rsidR="00877166" w:rsidRPr="006F3F2D">
        <w:rPr>
          <w:rFonts w:ascii="Calibri" w:hAnsi="Calibri"/>
        </w:rPr>
        <w:t>1.5.a).</w:t>
      </w:r>
      <w:r w:rsidR="00877166">
        <w:rPr>
          <w:rFonts w:ascii="Calibri" w:hAnsi="Calibri"/>
        </w:rPr>
        <w:t xml:space="preserve"> </w:t>
      </w:r>
      <w:r w:rsidR="006F3F2D" w:rsidRPr="005C3EC8">
        <w:rPr>
          <w:rFonts w:ascii="Calibri" w:hAnsi="Calibri"/>
        </w:rPr>
        <w:t xml:space="preserve">Stakeholders highlighted several opportunities to link the EITI more closely to national debates, including drawing on EITI data to information discussions about the fiscal consequences of devolution, the costs and financial implications of decommissioning in the North Sea, and the licensing and impact of hydraulic fracking. </w:t>
      </w:r>
      <w:r w:rsidR="00877166" w:rsidRPr="005C3EC8">
        <w:rPr>
          <w:rFonts w:ascii="Calibri" w:hAnsi="Calibri"/>
        </w:rPr>
        <w:t xml:space="preserve">The UK’s work on beneficial ownership disclosure was highlighted by several stakeholders as an example of how the UK was setting an example for other EITI implementing countries. </w:t>
      </w:r>
      <w:r w:rsidR="006F3F2D" w:rsidRPr="005C3EC8">
        <w:rPr>
          <w:rFonts w:ascii="Calibri" w:hAnsi="Calibri"/>
        </w:rPr>
        <w:t>Several stakeholders countered that these issues should be considered once the UK had achieved i</w:t>
      </w:r>
      <w:r w:rsidR="00E75DAA">
        <w:rPr>
          <w:rFonts w:ascii="Calibri" w:hAnsi="Calibri"/>
        </w:rPr>
        <w:t>t</w:t>
      </w:r>
      <w:r w:rsidR="006F3F2D" w:rsidRPr="005C3EC8">
        <w:rPr>
          <w:rFonts w:ascii="Calibri" w:hAnsi="Calibri"/>
        </w:rPr>
        <w:t xml:space="preserve">s initial goal of achieving compliance with the EITI Standard. </w:t>
      </w:r>
    </w:p>
    <w:p w14:paraId="79AC1232" w14:textId="18879FEF" w:rsidR="002929E0" w:rsidRPr="005C3EC8" w:rsidRDefault="004828D2">
      <w:pPr>
        <w:pStyle w:val="Heading3"/>
      </w:pPr>
      <w:r w:rsidRPr="005C3EC8">
        <w:lastRenderedPageBreak/>
        <w:t>Initial a</w:t>
      </w:r>
      <w:r w:rsidR="002929E0" w:rsidRPr="005C3EC8">
        <w:t>ssessment</w:t>
      </w:r>
    </w:p>
    <w:p w14:paraId="5AFDE420" w14:textId="5F3831CC" w:rsidR="005C3EC8" w:rsidRPr="005C3EC8" w:rsidRDefault="005C3EC8" w:rsidP="005C3EC8">
      <w:pPr>
        <w:spacing w:before="120"/>
        <w:rPr>
          <w:rFonts w:ascii="Calibri" w:hAnsi="Calibri"/>
          <w:color w:val="000000" w:themeColor="text1"/>
          <w:lang w:eastAsia="x-none"/>
        </w:rPr>
      </w:pPr>
      <w:r w:rsidRPr="005C3EC8">
        <w:rPr>
          <w:rFonts w:ascii="Calibri" w:hAnsi="Calibri"/>
          <w:color w:val="000000" w:themeColor="text1"/>
          <w:lang w:eastAsia="x-none"/>
        </w:rPr>
        <w:t xml:space="preserve">The International Secretariat’s initial assessment is that </w:t>
      </w:r>
      <w:r w:rsidRPr="005C3EC8">
        <w:rPr>
          <w:rFonts w:ascii="Calibri" w:hAnsi="Calibri"/>
          <w:bCs/>
        </w:rPr>
        <w:t>the UK</w:t>
      </w:r>
      <w:r w:rsidRPr="005C3EC8">
        <w:rPr>
          <w:rFonts w:ascii="Calibri" w:hAnsi="Calibri"/>
          <w:color w:val="000000" w:themeColor="text1"/>
          <w:lang w:eastAsia="x-none"/>
        </w:rPr>
        <w:t xml:space="preserve"> has made </w:t>
      </w:r>
      <w:r w:rsidRPr="003B7537">
        <w:rPr>
          <w:rFonts w:ascii="Calibri" w:hAnsi="Calibri"/>
        </w:rPr>
        <w:t>satisfactory</w:t>
      </w:r>
      <w:r w:rsidRPr="003B7537">
        <w:rPr>
          <w:rFonts w:ascii="Calibri" w:hAnsi="Calibri"/>
          <w:color w:val="000000" w:themeColor="text1"/>
          <w:lang w:eastAsia="x-none"/>
        </w:rPr>
        <w:t xml:space="preserve"> progress</w:t>
      </w:r>
      <w:r w:rsidRPr="005C3EC8">
        <w:rPr>
          <w:rFonts w:ascii="Calibri" w:hAnsi="Calibri"/>
          <w:color w:val="000000" w:themeColor="text1"/>
          <w:lang w:eastAsia="x-none"/>
        </w:rPr>
        <w:t xml:space="preserve"> towards meeting this requirement. </w:t>
      </w:r>
    </w:p>
    <w:p w14:paraId="3779E974" w14:textId="3137FAE8" w:rsidR="005C3EC8" w:rsidRDefault="001F45EB" w:rsidP="001F45EB">
      <w:pPr>
        <w:spacing w:before="120"/>
        <w:rPr>
          <w:rFonts w:ascii="Calibri" w:hAnsi="Calibri"/>
          <w:color w:val="000000" w:themeColor="text1"/>
          <w:lang w:eastAsia="x-none"/>
        </w:rPr>
      </w:pPr>
      <w:r>
        <w:rPr>
          <w:rFonts w:ascii="Calibri" w:hAnsi="Calibri"/>
          <w:color w:val="000000" w:themeColor="text1"/>
          <w:lang w:eastAsia="x-none"/>
        </w:rPr>
        <w:t>In accordance with the EITI Standard, the 2018 work</w:t>
      </w:r>
      <w:r w:rsidR="007D17CF">
        <w:rPr>
          <w:rFonts w:ascii="Calibri" w:hAnsi="Calibri"/>
          <w:color w:val="000000" w:themeColor="text1"/>
          <w:lang w:eastAsia="x-none"/>
        </w:rPr>
        <w:t xml:space="preserve"> </w:t>
      </w:r>
      <w:r>
        <w:rPr>
          <w:rFonts w:ascii="Calibri" w:hAnsi="Calibri"/>
          <w:color w:val="000000" w:themeColor="text1"/>
          <w:lang w:eastAsia="x-none"/>
        </w:rPr>
        <w:t xml:space="preserve">plan </w:t>
      </w:r>
      <w:r w:rsidRPr="001F45EB">
        <w:rPr>
          <w:rFonts w:ascii="Calibri" w:hAnsi="Calibri"/>
          <w:color w:val="000000" w:themeColor="text1"/>
          <w:lang w:eastAsia="x-none"/>
        </w:rPr>
        <w:t>has been agreed by the MSG</w:t>
      </w:r>
      <w:r>
        <w:rPr>
          <w:rFonts w:ascii="Calibri" w:hAnsi="Calibri"/>
          <w:color w:val="000000" w:themeColor="text1"/>
          <w:lang w:eastAsia="x-none"/>
        </w:rPr>
        <w:t xml:space="preserve"> and made publicly available. It includes o</w:t>
      </w:r>
      <w:r w:rsidRPr="001F45EB">
        <w:rPr>
          <w:rFonts w:ascii="Calibri" w:hAnsi="Calibri"/>
          <w:color w:val="000000" w:themeColor="text1"/>
          <w:lang w:eastAsia="x-none"/>
        </w:rPr>
        <w:t>bjectives for implementation that are linked to the EITI principles and reflect national priorities for the extractive industries</w:t>
      </w:r>
      <w:r>
        <w:rPr>
          <w:rFonts w:ascii="Calibri" w:hAnsi="Calibri"/>
          <w:color w:val="000000" w:themeColor="text1"/>
          <w:lang w:eastAsia="x-none"/>
        </w:rPr>
        <w:t>. It includes m</w:t>
      </w:r>
      <w:r w:rsidRPr="001F45EB">
        <w:rPr>
          <w:rFonts w:ascii="Calibri" w:hAnsi="Calibri"/>
          <w:color w:val="000000" w:themeColor="text1"/>
          <w:lang w:eastAsia="x-none"/>
        </w:rPr>
        <w:t xml:space="preserve">easurable and time-bound activities to achieve the agreed objectives </w:t>
      </w:r>
      <w:r>
        <w:rPr>
          <w:rFonts w:ascii="Calibri" w:hAnsi="Calibri"/>
          <w:color w:val="000000" w:themeColor="text1"/>
          <w:lang w:eastAsia="x-none"/>
        </w:rPr>
        <w:t xml:space="preserve">and addresses identified </w:t>
      </w:r>
      <w:r w:rsidRPr="001F45EB">
        <w:rPr>
          <w:rFonts w:ascii="Calibri" w:hAnsi="Calibri"/>
          <w:color w:val="000000" w:themeColor="text1"/>
          <w:lang w:eastAsia="x-none"/>
        </w:rPr>
        <w:t>capacity constraints</w:t>
      </w:r>
      <w:r>
        <w:rPr>
          <w:rFonts w:ascii="Calibri" w:hAnsi="Calibri"/>
          <w:color w:val="000000" w:themeColor="text1"/>
          <w:lang w:eastAsia="x-none"/>
        </w:rPr>
        <w:t>. It also address</w:t>
      </w:r>
      <w:r w:rsidR="00F97B1A">
        <w:rPr>
          <w:rFonts w:ascii="Calibri" w:hAnsi="Calibri"/>
          <w:color w:val="000000" w:themeColor="text1"/>
          <w:lang w:eastAsia="x-none"/>
        </w:rPr>
        <w:t>es</w:t>
      </w:r>
      <w:r>
        <w:rPr>
          <w:rFonts w:ascii="Calibri" w:hAnsi="Calibri"/>
          <w:color w:val="000000" w:themeColor="text1"/>
          <w:lang w:eastAsia="x-none"/>
        </w:rPr>
        <w:t xml:space="preserve"> the </w:t>
      </w:r>
      <w:r w:rsidRPr="001F45EB">
        <w:rPr>
          <w:rFonts w:ascii="Calibri" w:hAnsi="Calibri"/>
          <w:color w:val="000000" w:themeColor="text1"/>
          <w:lang w:eastAsia="x-none"/>
        </w:rPr>
        <w:t>scope of EITI reporting</w:t>
      </w:r>
      <w:r>
        <w:rPr>
          <w:rFonts w:ascii="Calibri" w:hAnsi="Calibri"/>
          <w:color w:val="000000" w:themeColor="text1"/>
          <w:lang w:eastAsia="x-none"/>
        </w:rPr>
        <w:t xml:space="preserve">, </w:t>
      </w:r>
      <w:r w:rsidRPr="001F45EB">
        <w:rPr>
          <w:rFonts w:ascii="Calibri" w:hAnsi="Calibri"/>
          <w:color w:val="000000" w:themeColor="text1"/>
          <w:lang w:eastAsia="x-none"/>
        </w:rPr>
        <w:t>legal or regulatory obstacles</w:t>
      </w:r>
      <w:r>
        <w:rPr>
          <w:rFonts w:ascii="Calibri" w:hAnsi="Calibri"/>
          <w:color w:val="000000" w:themeColor="text1"/>
          <w:lang w:eastAsia="x-none"/>
        </w:rPr>
        <w:t>, and p</w:t>
      </w:r>
      <w:r w:rsidRPr="001F45EB">
        <w:rPr>
          <w:rFonts w:ascii="Calibri" w:hAnsi="Calibri"/>
          <w:color w:val="000000" w:themeColor="text1"/>
          <w:lang w:eastAsia="x-none"/>
        </w:rPr>
        <w:t>lans for implementing the recommendations from EITI reporting</w:t>
      </w:r>
      <w:r>
        <w:rPr>
          <w:rFonts w:ascii="Calibri" w:hAnsi="Calibri"/>
          <w:color w:val="000000" w:themeColor="text1"/>
          <w:lang w:eastAsia="x-none"/>
        </w:rPr>
        <w:t xml:space="preserve">. The work plan is costed and includes a detailed </w:t>
      </w:r>
      <w:r w:rsidRPr="001F45EB">
        <w:rPr>
          <w:rFonts w:ascii="Calibri" w:hAnsi="Calibri"/>
          <w:color w:val="000000" w:themeColor="text1"/>
          <w:lang w:eastAsia="x-none"/>
        </w:rPr>
        <w:t>timetable for implementation</w:t>
      </w:r>
      <w:r>
        <w:rPr>
          <w:rFonts w:ascii="Calibri" w:hAnsi="Calibri"/>
          <w:color w:val="000000" w:themeColor="text1"/>
          <w:lang w:eastAsia="x-none"/>
        </w:rPr>
        <w:t>. O</w:t>
      </w:r>
      <w:r w:rsidRPr="001F45EB">
        <w:rPr>
          <w:rFonts w:ascii="Calibri" w:hAnsi="Calibri"/>
          <w:color w:val="000000" w:themeColor="text1"/>
          <w:lang w:eastAsia="x-none"/>
        </w:rPr>
        <w:t>verall progress in implementing the work</w:t>
      </w:r>
      <w:r w:rsidR="007D17CF">
        <w:rPr>
          <w:rFonts w:ascii="Calibri" w:hAnsi="Calibri"/>
          <w:color w:val="000000" w:themeColor="text1"/>
          <w:lang w:eastAsia="x-none"/>
        </w:rPr>
        <w:t xml:space="preserve"> </w:t>
      </w:r>
      <w:r w:rsidRPr="001F45EB">
        <w:rPr>
          <w:rFonts w:ascii="Calibri" w:hAnsi="Calibri"/>
          <w:color w:val="000000" w:themeColor="text1"/>
          <w:lang w:eastAsia="x-none"/>
        </w:rPr>
        <w:t>plan</w:t>
      </w:r>
      <w:r>
        <w:rPr>
          <w:rFonts w:ascii="Calibri" w:hAnsi="Calibri"/>
          <w:color w:val="000000" w:themeColor="text1"/>
          <w:lang w:eastAsia="x-none"/>
        </w:rPr>
        <w:t xml:space="preserve"> has been satisfactory. </w:t>
      </w:r>
    </w:p>
    <w:p w14:paraId="015D6650" w14:textId="1B6BBA91" w:rsidR="001F45EB" w:rsidRPr="001F45EB" w:rsidRDefault="001F45EB" w:rsidP="001F45EB">
      <w:pPr>
        <w:rPr>
          <w:rFonts w:ascii="Calibri" w:hAnsi="Calibri"/>
        </w:rPr>
      </w:pPr>
      <w:r>
        <w:rPr>
          <w:rFonts w:ascii="Calibri" w:hAnsi="Calibri"/>
        </w:rPr>
        <w:t>It is recommended that a</w:t>
      </w:r>
      <w:r w:rsidRPr="005C3EC8">
        <w:rPr>
          <w:rFonts w:ascii="Calibri" w:hAnsi="Calibri"/>
        </w:rPr>
        <w:t xml:space="preserve"> reconstituted MSG, with the full, active and effective engagement of civil society</w:t>
      </w:r>
      <w:r>
        <w:rPr>
          <w:rFonts w:ascii="Calibri" w:hAnsi="Calibri"/>
        </w:rPr>
        <w:t xml:space="preserve">, reviews </w:t>
      </w:r>
      <w:r w:rsidRPr="005C3EC8">
        <w:rPr>
          <w:rFonts w:ascii="Calibri" w:hAnsi="Calibri"/>
        </w:rPr>
        <w:t>the impact of the first five years of EITI implementation and explore</w:t>
      </w:r>
      <w:r>
        <w:rPr>
          <w:rFonts w:ascii="Calibri" w:hAnsi="Calibri"/>
        </w:rPr>
        <w:t>s</w:t>
      </w:r>
      <w:r w:rsidRPr="005C3EC8">
        <w:rPr>
          <w:rFonts w:ascii="Calibri" w:hAnsi="Calibri"/>
        </w:rPr>
        <w:t xml:space="preserve"> the opportunities to further leverage the EITI platform to enrich public debate on the governance and stewardship of the UK's oil, gas and mineral resources.</w:t>
      </w:r>
    </w:p>
    <w:p w14:paraId="622A91FC" w14:textId="1FB11099" w:rsidR="002929E0" w:rsidRPr="005C3EC8" w:rsidRDefault="002C0263" w:rsidP="007906D4">
      <w:pPr>
        <w:pStyle w:val="Caption"/>
        <w:rPr>
          <w:rFonts w:ascii="Calibri" w:hAnsi="Calibri"/>
          <w:i/>
          <w:color w:val="000000"/>
        </w:rPr>
      </w:pPr>
      <w:r w:rsidRPr="005C3EC8">
        <w:rPr>
          <w:color w:val="FF0000"/>
          <w:lang w:eastAsia="x-none"/>
        </w:rPr>
        <w:br w:type="column"/>
      </w:r>
      <w:bookmarkStart w:id="107" w:name="_Toc485385502"/>
      <w:r w:rsidR="00034884" w:rsidRPr="005C3EC8">
        <w:lastRenderedPageBreak/>
        <w:t xml:space="preserve">Table </w:t>
      </w:r>
      <w:r w:rsidR="000047B5">
        <w:fldChar w:fldCharType="begin"/>
      </w:r>
      <w:r w:rsidR="000047B5">
        <w:instrText xml:space="preserve"> SEQ Table \* ARABIC </w:instrText>
      </w:r>
      <w:r w:rsidR="000047B5">
        <w:fldChar w:fldCharType="separate"/>
      </w:r>
      <w:r w:rsidR="0083320D" w:rsidRPr="005C3EC8">
        <w:t>1</w:t>
      </w:r>
      <w:r w:rsidR="000047B5">
        <w:fldChar w:fldCharType="end"/>
      </w:r>
      <w:r w:rsidR="002929E0" w:rsidRPr="005C3EC8">
        <w:rPr>
          <w:color w:val="000000"/>
        </w:rPr>
        <w:t xml:space="preserve"> </w:t>
      </w:r>
      <w:r w:rsidR="00AA364B" w:rsidRPr="005C3EC8">
        <w:rPr>
          <w:color w:val="000000"/>
        </w:rPr>
        <w:t>–</w:t>
      </w:r>
      <w:r w:rsidR="002929E0" w:rsidRPr="005C3EC8">
        <w:rPr>
          <w:color w:val="000000"/>
        </w:rPr>
        <w:t xml:space="preserve"> </w:t>
      </w:r>
      <w:r w:rsidR="002929E0" w:rsidRPr="005C3EC8">
        <w:rPr>
          <w:rFonts w:eastAsia="Calibri"/>
        </w:rPr>
        <w:t>Summary</w:t>
      </w:r>
      <w:r w:rsidR="00AA364B" w:rsidRPr="005C3EC8">
        <w:rPr>
          <w:rFonts w:eastAsia="Calibri"/>
        </w:rPr>
        <w:t xml:space="preserve"> initial</w:t>
      </w:r>
      <w:r w:rsidR="002929E0" w:rsidRPr="005C3EC8">
        <w:rPr>
          <w:rFonts w:eastAsia="Calibri"/>
        </w:rPr>
        <w:t xml:space="preserve"> assessment table: MSG oversight</w:t>
      </w:r>
      <w:bookmarkEnd w:id="10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466"/>
        <w:gridCol w:w="3228"/>
      </w:tblGrid>
      <w:tr w:rsidR="00601017" w:rsidRPr="005C3EC8" w14:paraId="71530B9B" w14:textId="77777777" w:rsidTr="0091418B">
        <w:trPr>
          <w:trHeight w:val="675"/>
        </w:trPr>
        <w:tc>
          <w:tcPr>
            <w:tcW w:w="2645" w:type="dxa"/>
            <w:shd w:val="clear" w:color="auto" w:fill="D9D9D9"/>
            <w:vAlign w:val="center"/>
          </w:tcPr>
          <w:p w14:paraId="162F51CF" w14:textId="77777777" w:rsidR="00601017" w:rsidRPr="005C3EC8" w:rsidRDefault="00601017" w:rsidP="00E03D03">
            <w:pPr>
              <w:pStyle w:val="Tabletext"/>
              <w:rPr>
                <w:b/>
                <w:lang w:val="en-GB"/>
              </w:rPr>
            </w:pPr>
            <w:r w:rsidRPr="005C3EC8">
              <w:rPr>
                <w:b/>
                <w:lang w:val="en-GB"/>
              </w:rPr>
              <w:t>EITI provisions</w:t>
            </w:r>
          </w:p>
        </w:tc>
        <w:tc>
          <w:tcPr>
            <w:tcW w:w="3263" w:type="dxa"/>
            <w:shd w:val="clear" w:color="auto" w:fill="D9D9D9"/>
            <w:vAlign w:val="center"/>
          </w:tcPr>
          <w:p w14:paraId="30621CD6" w14:textId="77777777" w:rsidR="00601017" w:rsidRPr="005C3EC8" w:rsidRDefault="00601017" w:rsidP="00E03D03">
            <w:pPr>
              <w:pStyle w:val="Tabletext"/>
              <w:rPr>
                <w:b/>
                <w:lang w:val="en-GB"/>
              </w:rPr>
            </w:pPr>
            <w:r w:rsidRPr="005C3EC8">
              <w:rPr>
                <w:b/>
                <w:lang w:val="en-GB"/>
              </w:rPr>
              <w:t>Summary of main findings</w:t>
            </w:r>
          </w:p>
        </w:tc>
        <w:tc>
          <w:tcPr>
            <w:tcW w:w="3469" w:type="dxa"/>
            <w:shd w:val="clear" w:color="auto" w:fill="D9D9D9"/>
            <w:vAlign w:val="center"/>
          </w:tcPr>
          <w:p w14:paraId="3EF8FEC8" w14:textId="4B4B219D" w:rsidR="00601017" w:rsidRPr="005C3EC8" w:rsidRDefault="00601017" w:rsidP="00E03D03">
            <w:pPr>
              <w:pStyle w:val="Tabletext"/>
              <w:rPr>
                <w:b/>
                <w:lang w:val="en-GB"/>
              </w:rPr>
            </w:pPr>
            <w:r w:rsidRPr="005C3EC8">
              <w:rPr>
                <w:b/>
                <w:lang w:val="en-GB"/>
              </w:rPr>
              <w:t>International Secretariat’s initial assessment of progress with the EITI provisions (to be completed for ‘required’ provisions)</w:t>
            </w:r>
          </w:p>
        </w:tc>
      </w:tr>
      <w:tr w:rsidR="00B149DB" w:rsidRPr="005C3EC8" w14:paraId="33E287B2" w14:textId="77777777" w:rsidTr="00E03D03">
        <w:tc>
          <w:tcPr>
            <w:tcW w:w="2645" w:type="dxa"/>
            <w:shd w:val="clear" w:color="auto" w:fill="auto"/>
            <w:vAlign w:val="center"/>
          </w:tcPr>
          <w:p w14:paraId="19F1280E" w14:textId="77777777" w:rsidR="002929E0" w:rsidRPr="005C3EC8" w:rsidRDefault="002929E0" w:rsidP="00E03D03">
            <w:pPr>
              <w:pStyle w:val="Tabletext"/>
              <w:rPr>
                <w:lang w:val="en-GB"/>
              </w:rPr>
            </w:pPr>
            <w:r w:rsidRPr="005C3EC8">
              <w:rPr>
                <w:lang w:val="en-GB"/>
              </w:rPr>
              <w:t>Government oversight of the EITI process (#1.1)</w:t>
            </w:r>
          </w:p>
        </w:tc>
        <w:tc>
          <w:tcPr>
            <w:tcW w:w="3263" w:type="dxa"/>
            <w:shd w:val="clear" w:color="auto" w:fill="auto"/>
            <w:vAlign w:val="center"/>
          </w:tcPr>
          <w:p w14:paraId="539A668B" w14:textId="1DF7E877" w:rsidR="002929E0" w:rsidRPr="005C3EC8" w:rsidRDefault="00553C74" w:rsidP="00E03D03">
            <w:pPr>
              <w:pStyle w:val="Tabletext"/>
              <w:rPr>
                <w:lang w:val="en-GB"/>
              </w:rPr>
            </w:pPr>
            <w:r w:rsidRPr="005C3EC8">
              <w:rPr>
                <w:lang w:val="en-GB"/>
              </w:rPr>
              <w:t>The government is fully, actively and effectively engaged in EITI implementation. While the formal role of EITI Champion is currently vacant, government leadership and oversight of the EITI implementation and the MSG has been consistently strong. Government agencies participate actively in the MSG’s work and have actively supported EITI implementation, overcoming barriers to comprehensive reporting. The government has demonstrated strong leadership of the multi-stakeholder group and ensured adequate funding for EITI implementation.</w:t>
            </w:r>
          </w:p>
        </w:tc>
        <w:tc>
          <w:tcPr>
            <w:tcW w:w="3469" w:type="dxa"/>
            <w:vAlign w:val="center"/>
          </w:tcPr>
          <w:p w14:paraId="655CCAF2" w14:textId="57DE1A0C" w:rsidR="002929E0" w:rsidRPr="005C3EC8" w:rsidRDefault="00553C74" w:rsidP="00E03D03">
            <w:pPr>
              <w:pStyle w:val="Tabletext"/>
              <w:rPr>
                <w:lang w:val="en-GB"/>
              </w:rPr>
            </w:pPr>
            <w:r w:rsidRPr="005C3EC8">
              <w:rPr>
                <w:lang w:val="en-GB"/>
              </w:rPr>
              <w:t>Satisfactory progress</w:t>
            </w:r>
          </w:p>
        </w:tc>
      </w:tr>
      <w:tr w:rsidR="00B37B8F" w:rsidRPr="005C3EC8" w14:paraId="3AD83E28" w14:textId="77777777" w:rsidTr="00E03D03">
        <w:tc>
          <w:tcPr>
            <w:tcW w:w="2645" w:type="dxa"/>
            <w:shd w:val="clear" w:color="auto" w:fill="auto"/>
            <w:vAlign w:val="center"/>
          </w:tcPr>
          <w:p w14:paraId="015BA6BA" w14:textId="6A7BA6C1" w:rsidR="00B37B8F" w:rsidRPr="005C3EC8" w:rsidRDefault="00B37B8F" w:rsidP="00B37B8F">
            <w:pPr>
              <w:pStyle w:val="Tabletext"/>
              <w:rPr>
                <w:lang w:val="en-GB"/>
              </w:rPr>
            </w:pPr>
            <w:r w:rsidRPr="005C3EC8">
              <w:rPr>
                <w:lang w:val="en-GB"/>
              </w:rPr>
              <w:t>Company engagement (#1.2)</w:t>
            </w:r>
          </w:p>
        </w:tc>
        <w:tc>
          <w:tcPr>
            <w:tcW w:w="3263" w:type="dxa"/>
            <w:shd w:val="clear" w:color="auto" w:fill="auto"/>
            <w:vAlign w:val="center"/>
          </w:tcPr>
          <w:p w14:paraId="3417D4E9" w14:textId="19501DAB" w:rsidR="00B37B8F" w:rsidRPr="005C3EC8" w:rsidRDefault="00B37B8F" w:rsidP="00B37B8F">
            <w:pPr>
              <w:pStyle w:val="Tabletext"/>
              <w:rPr>
                <w:lang w:val="en-GB"/>
              </w:rPr>
            </w:pPr>
            <w:r w:rsidRPr="005C3EC8">
              <w:rPr>
                <w:lang w:val="en-GB"/>
              </w:rPr>
              <w:t>There are no obstacles to industry participation in the EITI process and company participation in the reporting process has been consistently high.</w:t>
            </w:r>
          </w:p>
        </w:tc>
        <w:tc>
          <w:tcPr>
            <w:tcW w:w="3469" w:type="dxa"/>
            <w:vAlign w:val="center"/>
          </w:tcPr>
          <w:p w14:paraId="114FBB7C" w14:textId="0CC4572B" w:rsidR="00B37B8F" w:rsidRPr="005C3EC8" w:rsidRDefault="00B37B8F" w:rsidP="00B37B8F">
            <w:pPr>
              <w:pStyle w:val="Tabletext"/>
              <w:rPr>
                <w:lang w:val="en-GB"/>
              </w:rPr>
            </w:pPr>
            <w:r w:rsidRPr="005C3EC8">
              <w:rPr>
                <w:lang w:val="en-GB"/>
              </w:rPr>
              <w:t>Satisfactory progress</w:t>
            </w:r>
          </w:p>
        </w:tc>
      </w:tr>
      <w:tr w:rsidR="00B37B8F" w:rsidRPr="005C3EC8" w14:paraId="4CDE6F61" w14:textId="77777777" w:rsidTr="00E03D03">
        <w:tc>
          <w:tcPr>
            <w:tcW w:w="2645" w:type="dxa"/>
            <w:shd w:val="clear" w:color="auto" w:fill="auto"/>
            <w:vAlign w:val="center"/>
          </w:tcPr>
          <w:p w14:paraId="147C9314" w14:textId="71A44C44" w:rsidR="00B37B8F" w:rsidRPr="005C3EC8" w:rsidRDefault="00B37B8F" w:rsidP="00B37B8F">
            <w:pPr>
              <w:pStyle w:val="Tabletext"/>
              <w:rPr>
                <w:lang w:val="en-GB"/>
              </w:rPr>
            </w:pPr>
            <w:r w:rsidRPr="005C3EC8">
              <w:rPr>
                <w:lang w:val="en-GB"/>
              </w:rPr>
              <w:t>Civil society engagement (#1.3)</w:t>
            </w:r>
          </w:p>
        </w:tc>
        <w:tc>
          <w:tcPr>
            <w:tcW w:w="3263" w:type="dxa"/>
            <w:shd w:val="clear" w:color="auto" w:fill="auto"/>
            <w:vAlign w:val="center"/>
          </w:tcPr>
          <w:p w14:paraId="0A2330D3" w14:textId="656A30CE" w:rsidR="00B37B8F" w:rsidRPr="005C3EC8" w:rsidRDefault="0071081B" w:rsidP="00B37B8F">
            <w:pPr>
              <w:pStyle w:val="Tabletext"/>
              <w:rPr>
                <w:lang w:val="en-GB"/>
              </w:rPr>
            </w:pPr>
            <w:r w:rsidRPr="005C3EC8">
              <w:rPr>
                <w:lang w:val="en-GB"/>
              </w:rPr>
              <w:t xml:space="preserve">As of 1 July 2018, the civil society constituency was not “fully, actively and effectively engaged in the EITI process” (requirement 1.3). There is no evidence of any legal, regulatory or practical barriers to civil society’s ability to engage in EITI. There are no barriers to freely operating, communicating and cooperating with the broader constituency. However, the dispute between the CSN and EICS has led to a situation whereby the civil society constituency is not adequately represented or engaged. The current CSO MSG members have on an individual basis sought to </w:t>
            </w:r>
            <w:r w:rsidRPr="005C3EC8">
              <w:rPr>
                <w:lang w:val="en-GB"/>
              </w:rPr>
              <w:lastRenderedPageBreak/>
              <w:t>contribute the work of the MSG. However, by their own admission</w:t>
            </w:r>
            <w:r w:rsidR="00183758">
              <w:rPr>
                <w:lang w:val="en-GB"/>
              </w:rPr>
              <w:t xml:space="preserve">, </w:t>
            </w:r>
            <w:proofErr w:type="spellStart"/>
            <w:r w:rsidR="00183758">
              <w:rPr>
                <w:lang w:val="en-GB"/>
              </w:rPr>
              <w:t>mots</w:t>
            </w:r>
            <w:proofErr w:type="spellEnd"/>
            <w:r w:rsidR="00183758">
              <w:rPr>
                <w:lang w:val="en-GB"/>
              </w:rPr>
              <w:t xml:space="preserve"> of them </w:t>
            </w:r>
            <w:r w:rsidRPr="005C3EC8">
              <w:rPr>
                <w:lang w:val="en-GB"/>
              </w:rPr>
              <w:t>are not deeply engaged in the EITI process, and have had limited interaction with other civil society organisations outside the MSG.</w:t>
            </w:r>
          </w:p>
        </w:tc>
        <w:tc>
          <w:tcPr>
            <w:tcW w:w="3469" w:type="dxa"/>
            <w:vAlign w:val="center"/>
          </w:tcPr>
          <w:p w14:paraId="0314B7DE" w14:textId="3EA046EB" w:rsidR="00B37B8F" w:rsidRPr="005C3EC8" w:rsidRDefault="0071081B" w:rsidP="00B37B8F">
            <w:pPr>
              <w:pStyle w:val="Tabletext"/>
              <w:rPr>
                <w:lang w:val="en-GB"/>
              </w:rPr>
            </w:pPr>
            <w:r w:rsidRPr="005C3EC8">
              <w:rPr>
                <w:lang w:val="en-GB"/>
              </w:rPr>
              <w:lastRenderedPageBreak/>
              <w:t>Meaningful progress</w:t>
            </w:r>
          </w:p>
        </w:tc>
      </w:tr>
      <w:tr w:rsidR="00B37B8F" w:rsidRPr="005C3EC8" w14:paraId="494917CE" w14:textId="77777777" w:rsidTr="00E03D03">
        <w:tc>
          <w:tcPr>
            <w:tcW w:w="2645" w:type="dxa"/>
            <w:shd w:val="clear" w:color="auto" w:fill="auto"/>
            <w:vAlign w:val="center"/>
          </w:tcPr>
          <w:p w14:paraId="0C63AAC5" w14:textId="77777777" w:rsidR="00B37B8F" w:rsidRPr="005C3EC8" w:rsidRDefault="00B37B8F" w:rsidP="00B37B8F">
            <w:pPr>
              <w:pStyle w:val="Tabletext"/>
              <w:rPr>
                <w:lang w:val="en-GB"/>
              </w:rPr>
            </w:pPr>
            <w:r w:rsidRPr="005C3EC8">
              <w:rPr>
                <w:lang w:val="en-GB"/>
              </w:rPr>
              <w:t>MSG governance and functioning (#1.4)</w:t>
            </w:r>
          </w:p>
        </w:tc>
        <w:tc>
          <w:tcPr>
            <w:tcW w:w="3263" w:type="dxa"/>
            <w:shd w:val="clear" w:color="auto" w:fill="auto"/>
            <w:vAlign w:val="center"/>
          </w:tcPr>
          <w:p w14:paraId="669AF977" w14:textId="23D7A50E" w:rsidR="004C4B23" w:rsidRPr="005C3EC8" w:rsidRDefault="004C4B23" w:rsidP="004C4B23">
            <w:pPr>
              <w:pStyle w:val="Tabletext"/>
              <w:rPr>
                <w:lang w:val="en-GB"/>
              </w:rPr>
            </w:pPr>
            <w:r w:rsidRPr="005C3EC8">
              <w:rPr>
                <w:lang w:val="en-GB"/>
              </w:rPr>
              <w:t>The Government has established a MSG, ensuring that the invitation to participate was open and transparent. Initially, government, industry and civil society stakeholders were adequately represented. The role, responsibilities and rights of the MSG were clear, with appropriate internal governance rules and procedures. However, the MSG has encountered a debilitating crisis regarding how civil society representatives to the MSG should be selected. The result is that the civil society constituency is not adequately engaged or representative.</w:t>
            </w:r>
          </w:p>
        </w:tc>
        <w:tc>
          <w:tcPr>
            <w:tcW w:w="3469" w:type="dxa"/>
            <w:vAlign w:val="center"/>
          </w:tcPr>
          <w:p w14:paraId="62614962" w14:textId="1ABF2CEE" w:rsidR="00B37B8F" w:rsidRPr="005C3EC8" w:rsidRDefault="004C4B23" w:rsidP="00B37B8F">
            <w:pPr>
              <w:pStyle w:val="Tabletext"/>
              <w:rPr>
                <w:lang w:val="en-GB"/>
              </w:rPr>
            </w:pPr>
            <w:r w:rsidRPr="005C3EC8">
              <w:rPr>
                <w:lang w:val="en-GB"/>
              </w:rPr>
              <w:t>Meaningful progress</w:t>
            </w:r>
          </w:p>
        </w:tc>
      </w:tr>
      <w:tr w:rsidR="00B37B8F" w:rsidRPr="005C3EC8" w14:paraId="34F1B914" w14:textId="77777777" w:rsidTr="00E03D03">
        <w:tc>
          <w:tcPr>
            <w:tcW w:w="2645" w:type="dxa"/>
            <w:shd w:val="clear" w:color="auto" w:fill="auto"/>
            <w:vAlign w:val="center"/>
          </w:tcPr>
          <w:p w14:paraId="1423268F" w14:textId="77777777" w:rsidR="00B37B8F" w:rsidRPr="005C3EC8" w:rsidRDefault="00B37B8F" w:rsidP="00B37B8F">
            <w:pPr>
              <w:pStyle w:val="Tabletext"/>
              <w:rPr>
                <w:lang w:val="en-GB"/>
              </w:rPr>
            </w:pPr>
            <w:r w:rsidRPr="005C3EC8">
              <w:rPr>
                <w:lang w:val="en-GB"/>
              </w:rPr>
              <w:t>Work plan (#1.5)</w:t>
            </w:r>
          </w:p>
        </w:tc>
        <w:tc>
          <w:tcPr>
            <w:tcW w:w="3263" w:type="dxa"/>
            <w:shd w:val="clear" w:color="auto" w:fill="auto"/>
            <w:vAlign w:val="center"/>
          </w:tcPr>
          <w:p w14:paraId="238B04EE" w14:textId="08C7C46C" w:rsidR="00B37B8F" w:rsidRPr="005C3EC8" w:rsidRDefault="001F45EB" w:rsidP="00B37B8F">
            <w:pPr>
              <w:pStyle w:val="Tabletext"/>
              <w:rPr>
                <w:lang w:val="en-GB"/>
              </w:rPr>
            </w:pPr>
            <w:r>
              <w:rPr>
                <w:color w:val="000000" w:themeColor="text1"/>
                <w:lang w:eastAsia="x-none"/>
              </w:rPr>
              <w:t>The 2018 work</w:t>
            </w:r>
            <w:r w:rsidR="007D17CF">
              <w:rPr>
                <w:color w:val="000000" w:themeColor="text1"/>
                <w:lang w:eastAsia="x-none"/>
              </w:rPr>
              <w:t xml:space="preserve"> </w:t>
            </w:r>
            <w:r>
              <w:rPr>
                <w:color w:val="000000" w:themeColor="text1"/>
                <w:lang w:eastAsia="x-none"/>
              </w:rPr>
              <w:t xml:space="preserve">plan </w:t>
            </w:r>
            <w:r w:rsidRPr="001F45EB">
              <w:rPr>
                <w:color w:val="000000" w:themeColor="text1"/>
                <w:lang w:eastAsia="x-none"/>
              </w:rPr>
              <w:t>has been agreed by the MSG</w:t>
            </w:r>
            <w:r>
              <w:rPr>
                <w:color w:val="000000" w:themeColor="text1"/>
                <w:lang w:eastAsia="x-none"/>
              </w:rPr>
              <w:t xml:space="preserve"> and made publicly available. It includes o</w:t>
            </w:r>
            <w:r w:rsidRPr="001F45EB">
              <w:rPr>
                <w:color w:val="000000" w:themeColor="text1"/>
                <w:lang w:eastAsia="x-none"/>
              </w:rPr>
              <w:t>bjectives for implementation that are linked to the EITI principles and reflect national priorities for the extractive industries</w:t>
            </w:r>
            <w:r>
              <w:rPr>
                <w:color w:val="000000" w:themeColor="text1"/>
                <w:lang w:eastAsia="x-none"/>
              </w:rPr>
              <w:t>. It includes m</w:t>
            </w:r>
            <w:r w:rsidRPr="001F45EB">
              <w:rPr>
                <w:color w:val="000000" w:themeColor="text1"/>
                <w:lang w:eastAsia="x-none"/>
              </w:rPr>
              <w:t xml:space="preserve">easurable and time-bound activities to achieve the agreed objectives </w:t>
            </w:r>
            <w:r>
              <w:rPr>
                <w:color w:val="000000" w:themeColor="text1"/>
                <w:lang w:eastAsia="x-none"/>
              </w:rPr>
              <w:t xml:space="preserve">and addresses identified </w:t>
            </w:r>
            <w:r w:rsidRPr="001F45EB">
              <w:rPr>
                <w:color w:val="000000" w:themeColor="text1"/>
                <w:lang w:eastAsia="x-none"/>
              </w:rPr>
              <w:t>capacity constraints</w:t>
            </w:r>
            <w:r>
              <w:rPr>
                <w:color w:val="000000" w:themeColor="text1"/>
                <w:lang w:eastAsia="x-none"/>
              </w:rPr>
              <w:t>. It also address</w:t>
            </w:r>
            <w:r w:rsidR="00E21135">
              <w:rPr>
                <w:color w:val="000000" w:themeColor="text1"/>
                <w:lang w:eastAsia="x-none"/>
              </w:rPr>
              <w:t>es</w:t>
            </w:r>
            <w:r>
              <w:rPr>
                <w:color w:val="000000" w:themeColor="text1"/>
                <w:lang w:eastAsia="x-none"/>
              </w:rPr>
              <w:t xml:space="preserve"> the </w:t>
            </w:r>
            <w:r w:rsidRPr="001F45EB">
              <w:rPr>
                <w:color w:val="000000" w:themeColor="text1"/>
                <w:lang w:eastAsia="x-none"/>
              </w:rPr>
              <w:t>scope of EITI reporting</w:t>
            </w:r>
            <w:r>
              <w:rPr>
                <w:color w:val="000000" w:themeColor="text1"/>
                <w:lang w:eastAsia="x-none"/>
              </w:rPr>
              <w:t xml:space="preserve">, </w:t>
            </w:r>
            <w:r w:rsidRPr="001F45EB">
              <w:rPr>
                <w:color w:val="000000" w:themeColor="text1"/>
                <w:lang w:eastAsia="x-none"/>
              </w:rPr>
              <w:t>legal or regulatory obstacles</w:t>
            </w:r>
            <w:r>
              <w:rPr>
                <w:color w:val="000000" w:themeColor="text1"/>
                <w:lang w:eastAsia="x-none"/>
              </w:rPr>
              <w:t>, and p</w:t>
            </w:r>
            <w:r w:rsidRPr="001F45EB">
              <w:rPr>
                <w:color w:val="000000" w:themeColor="text1"/>
                <w:lang w:eastAsia="x-none"/>
              </w:rPr>
              <w:t>lans for implementing the recommendations from EITI reporting</w:t>
            </w:r>
            <w:r>
              <w:rPr>
                <w:color w:val="000000" w:themeColor="text1"/>
                <w:lang w:eastAsia="x-none"/>
              </w:rPr>
              <w:t xml:space="preserve">. The work plan is costed and includes a detailed </w:t>
            </w:r>
            <w:r w:rsidRPr="001F45EB">
              <w:rPr>
                <w:color w:val="000000" w:themeColor="text1"/>
                <w:lang w:eastAsia="x-none"/>
              </w:rPr>
              <w:t>timetable for implementation</w:t>
            </w:r>
            <w:r>
              <w:rPr>
                <w:color w:val="000000" w:themeColor="text1"/>
                <w:lang w:eastAsia="x-none"/>
              </w:rPr>
              <w:t>. O</w:t>
            </w:r>
            <w:r w:rsidRPr="001F45EB">
              <w:rPr>
                <w:color w:val="000000" w:themeColor="text1"/>
                <w:lang w:eastAsia="x-none"/>
              </w:rPr>
              <w:t>verall progress in implementing the work</w:t>
            </w:r>
            <w:r w:rsidR="007D17CF">
              <w:rPr>
                <w:color w:val="000000" w:themeColor="text1"/>
                <w:lang w:eastAsia="x-none"/>
              </w:rPr>
              <w:t xml:space="preserve"> </w:t>
            </w:r>
            <w:r w:rsidRPr="001F45EB">
              <w:rPr>
                <w:color w:val="000000" w:themeColor="text1"/>
                <w:lang w:eastAsia="x-none"/>
              </w:rPr>
              <w:t>plan</w:t>
            </w:r>
            <w:r>
              <w:rPr>
                <w:color w:val="000000" w:themeColor="text1"/>
                <w:lang w:eastAsia="x-none"/>
              </w:rPr>
              <w:t xml:space="preserve"> has been satisfactory.</w:t>
            </w:r>
          </w:p>
        </w:tc>
        <w:tc>
          <w:tcPr>
            <w:tcW w:w="3469" w:type="dxa"/>
            <w:vAlign w:val="center"/>
          </w:tcPr>
          <w:p w14:paraId="2748F528" w14:textId="6C3A9684" w:rsidR="00B37B8F" w:rsidRPr="005C3EC8" w:rsidRDefault="004576F2" w:rsidP="00B37B8F">
            <w:pPr>
              <w:pStyle w:val="Tabletext"/>
              <w:rPr>
                <w:lang w:val="en-GB"/>
              </w:rPr>
            </w:pPr>
            <w:r w:rsidRPr="005C3EC8">
              <w:rPr>
                <w:lang w:val="en-GB"/>
              </w:rPr>
              <w:t>Satisfactory progress</w:t>
            </w:r>
          </w:p>
        </w:tc>
      </w:tr>
      <w:tr w:rsidR="00B37B8F" w:rsidRPr="005C3EC8" w14:paraId="22E519CD" w14:textId="77777777" w:rsidTr="00622985">
        <w:tc>
          <w:tcPr>
            <w:tcW w:w="0" w:type="auto"/>
            <w:gridSpan w:val="3"/>
            <w:shd w:val="clear" w:color="auto" w:fill="FFFFFF"/>
          </w:tcPr>
          <w:p w14:paraId="2B36E9BE" w14:textId="2BA8CF69" w:rsidR="00B37B8F" w:rsidRPr="005C3EC8" w:rsidRDefault="00B37B8F" w:rsidP="00B37B8F">
            <w:pPr>
              <w:pStyle w:val="Tabletext"/>
              <w:rPr>
                <w:lang w:val="en-GB"/>
              </w:rPr>
            </w:pPr>
            <w:r w:rsidRPr="005C3EC8">
              <w:rPr>
                <w:lang w:val="en-GB"/>
              </w:rPr>
              <w:lastRenderedPageBreak/>
              <w:t>Secretariat’s recommendations:</w:t>
            </w:r>
          </w:p>
          <w:p w14:paraId="25E5BB41" w14:textId="073DF84A" w:rsidR="004576F2" w:rsidRPr="005C3EC8" w:rsidRDefault="004576F2" w:rsidP="008200F5">
            <w:pPr>
              <w:pStyle w:val="ListParagraph"/>
              <w:numPr>
                <w:ilvl w:val="0"/>
                <w:numId w:val="6"/>
              </w:numPr>
              <w:rPr>
                <w:rFonts w:eastAsia="Calibri"/>
              </w:rPr>
            </w:pPr>
            <w:r w:rsidRPr="005C3EC8">
              <w:rPr>
                <w:rFonts w:eastAsia="Calibri"/>
              </w:rPr>
              <w:t xml:space="preserve">In accordance with </w:t>
            </w:r>
            <w:r w:rsidR="00AD6CEE">
              <w:rPr>
                <w:rFonts w:eastAsia="Calibri"/>
              </w:rPr>
              <w:t>R</w:t>
            </w:r>
            <w:r w:rsidRPr="005C3EC8">
              <w:rPr>
                <w:rFonts w:eastAsia="Calibri"/>
              </w:rPr>
              <w:t xml:space="preserve">equirement 1.3.a, the civil society constituency should demonstrate that they are fully, actively and effectively engaged in the EITI process. Specifically, civil society should ensure that they are able to fully contribute and provide input to the EITI process by ensuring that the constituency is adequately represented on the MSG, with agreed mechanisms for wider constituency engagement. </w:t>
            </w:r>
          </w:p>
          <w:p w14:paraId="1F516B53" w14:textId="6F6AE50E" w:rsidR="00B37B8F" w:rsidRPr="005C3EC8" w:rsidDel="00F96D88" w:rsidRDefault="004576F2" w:rsidP="008200F5">
            <w:pPr>
              <w:pStyle w:val="ListParagraph"/>
              <w:numPr>
                <w:ilvl w:val="0"/>
                <w:numId w:val="6"/>
              </w:numPr>
              <w:rPr>
                <w:rFonts w:eastAsia="Calibri"/>
              </w:rPr>
            </w:pPr>
            <w:r w:rsidRPr="005C3EC8">
              <w:rPr>
                <w:rFonts w:eastAsia="Calibri"/>
              </w:rPr>
              <w:t xml:space="preserve">In accordance with </w:t>
            </w:r>
            <w:r w:rsidR="00AD6CEE">
              <w:rPr>
                <w:rFonts w:eastAsia="Calibri"/>
              </w:rPr>
              <w:t>R</w:t>
            </w:r>
            <w:r w:rsidRPr="005C3EC8">
              <w:rPr>
                <w:rFonts w:eastAsia="Calibri"/>
              </w:rPr>
              <w:t>equirement 1.4.a.ii, the MSG should ensure that the civil society constituency is adequately represented, and that the civil society constituency appoints its own representatives, bearing in mind the desirability of pluralistic and diverse representation.</w:t>
            </w:r>
          </w:p>
        </w:tc>
      </w:tr>
    </w:tbl>
    <w:p w14:paraId="4A1B9720" w14:textId="2EAB3D6F" w:rsidR="00FA3B01" w:rsidRPr="005C3EC8" w:rsidRDefault="00FA3B01" w:rsidP="00E03D03">
      <w:pPr>
        <w:rPr>
          <w:rFonts w:ascii="Calibri" w:hAnsi="Calibri"/>
        </w:rPr>
      </w:pPr>
    </w:p>
    <w:p w14:paraId="7A6091FA" w14:textId="77777777" w:rsidR="00FA3B01" w:rsidRPr="005C3EC8" w:rsidRDefault="00FA3B01">
      <w:pPr>
        <w:widowControl/>
        <w:suppressAutoHyphens w:val="0"/>
        <w:spacing w:after="0" w:line="240" w:lineRule="auto"/>
        <w:rPr>
          <w:rFonts w:ascii="Calibri" w:hAnsi="Calibri"/>
          <w:bCs/>
          <w:color w:val="365F91"/>
          <w:sz w:val="32"/>
        </w:rPr>
      </w:pPr>
      <w:r w:rsidRPr="005C3EC8">
        <w:rPr>
          <w:rFonts w:ascii="Calibri" w:hAnsi="Calibri"/>
        </w:rPr>
        <w:br w:type="page"/>
      </w:r>
    </w:p>
    <w:p w14:paraId="6E3440DD" w14:textId="45D75CFE" w:rsidR="00A441F1" w:rsidRPr="005C3EC8" w:rsidRDefault="00A441F1" w:rsidP="00764C60">
      <w:pPr>
        <w:pStyle w:val="Heading1"/>
      </w:pPr>
      <w:bookmarkStart w:id="108" w:name="_Toc452707649"/>
      <w:bookmarkStart w:id="109" w:name="_Toc459133091"/>
      <w:bookmarkStart w:id="110" w:name="_Toc461803040"/>
      <w:bookmarkStart w:id="111" w:name="_Toc461787321"/>
      <w:bookmarkStart w:id="112" w:name="_Toc461795833"/>
      <w:bookmarkStart w:id="113" w:name="_Toc462149180"/>
      <w:r w:rsidRPr="005C3EC8">
        <w:lastRenderedPageBreak/>
        <w:t>Part I</w:t>
      </w:r>
      <w:r w:rsidR="008912F5" w:rsidRPr="005C3EC8">
        <w:t>I</w:t>
      </w:r>
      <w:r w:rsidRPr="005C3EC8">
        <w:t xml:space="preserve"> – EITI Disclosures</w:t>
      </w:r>
      <w:bookmarkEnd w:id="108"/>
      <w:bookmarkEnd w:id="109"/>
      <w:bookmarkEnd w:id="110"/>
      <w:bookmarkEnd w:id="111"/>
      <w:bookmarkEnd w:id="112"/>
      <w:bookmarkEnd w:id="113"/>
    </w:p>
    <w:p w14:paraId="65A94409" w14:textId="134710C2" w:rsidR="00A441F1" w:rsidRPr="005C3EC8" w:rsidRDefault="009F5C43" w:rsidP="0097728B">
      <w:pPr>
        <w:pStyle w:val="Heading2"/>
      </w:pPr>
      <w:bookmarkStart w:id="114" w:name="_Toc458773220"/>
      <w:bookmarkStart w:id="115" w:name="_Toc458780318"/>
      <w:bookmarkStart w:id="116" w:name="_Toc459133092"/>
      <w:bookmarkStart w:id="117" w:name="_Toc461803041"/>
      <w:bookmarkStart w:id="118" w:name="_Toc461787322"/>
      <w:bookmarkStart w:id="119" w:name="_Toc461795834"/>
      <w:bookmarkStart w:id="120" w:name="_Toc462149181"/>
      <w:bookmarkEnd w:id="114"/>
      <w:bookmarkEnd w:id="115"/>
      <w:r w:rsidRPr="005C3EC8">
        <w:t xml:space="preserve">2. </w:t>
      </w:r>
      <w:r w:rsidR="00A441F1" w:rsidRPr="005C3EC8">
        <w:t>Award of contracts and licenses</w:t>
      </w:r>
      <w:bookmarkEnd w:id="116"/>
      <w:bookmarkEnd w:id="117"/>
      <w:bookmarkEnd w:id="118"/>
      <w:bookmarkEnd w:id="119"/>
      <w:bookmarkEnd w:id="120"/>
      <w:r w:rsidR="00A441F1" w:rsidRPr="005C3EC8">
        <w:t xml:space="preserve"> </w:t>
      </w:r>
    </w:p>
    <w:p w14:paraId="29A400E3" w14:textId="5B57704C" w:rsidR="0048579D" w:rsidRPr="005C3EC8" w:rsidRDefault="009F5C43">
      <w:pPr>
        <w:pStyle w:val="Heading2notindexed"/>
      </w:pPr>
      <w:bookmarkStart w:id="121" w:name="_Toc459133093"/>
      <w:bookmarkStart w:id="122" w:name="_Toc461803042"/>
      <w:bookmarkStart w:id="123" w:name="_Toc461787323"/>
      <w:bookmarkStart w:id="124" w:name="_Toc461795835"/>
      <w:r w:rsidRPr="005C3EC8">
        <w:t xml:space="preserve">2.1 </w:t>
      </w:r>
      <w:r w:rsidR="00A441F1" w:rsidRPr="005C3EC8">
        <w:t>Overview</w:t>
      </w:r>
      <w:bookmarkEnd w:id="121"/>
      <w:bookmarkEnd w:id="122"/>
      <w:bookmarkEnd w:id="123"/>
      <w:bookmarkEnd w:id="124"/>
    </w:p>
    <w:p w14:paraId="13C2C25C" w14:textId="77777777" w:rsidR="003E42CB" w:rsidRPr="005C3EC8" w:rsidRDefault="003E42CB" w:rsidP="008D7517">
      <w:pPr>
        <w:rPr>
          <w:rFonts w:ascii="Calibri" w:hAnsi="Calibri"/>
        </w:rPr>
      </w:pPr>
      <w:r w:rsidRPr="005C3EC8">
        <w:rPr>
          <w:rFonts w:ascii="Calibri" w:hAnsi="Calibri"/>
        </w:rPr>
        <w:t>This section provides details on the implementation of the EITI requirements related to the legal framework for the extractive sector, licensing activities, contracts, beneficial ownership and state</w:t>
      </w:r>
      <w:r w:rsidR="00F425D1" w:rsidRPr="005C3EC8">
        <w:rPr>
          <w:rFonts w:ascii="Calibri" w:hAnsi="Calibri"/>
        </w:rPr>
        <w:t xml:space="preserve"> </w:t>
      </w:r>
      <w:r w:rsidRPr="005C3EC8">
        <w:rPr>
          <w:rFonts w:ascii="Calibri" w:hAnsi="Calibri"/>
        </w:rPr>
        <w:t>participation.</w:t>
      </w:r>
    </w:p>
    <w:p w14:paraId="31A6F83F" w14:textId="020ED45B" w:rsidR="00A441F1" w:rsidRPr="005C3EC8" w:rsidRDefault="00FA3C70" w:rsidP="0097728B">
      <w:pPr>
        <w:pStyle w:val="Heading2"/>
      </w:pPr>
      <w:bookmarkStart w:id="125" w:name="_Toc459133094"/>
      <w:bookmarkStart w:id="126" w:name="_Toc461803043"/>
      <w:bookmarkStart w:id="127" w:name="_Toc461787324"/>
      <w:bookmarkStart w:id="128" w:name="_Toc461795836"/>
      <w:r w:rsidRPr="005C3EC8">
        <w:t xml:space="preserve">2.2 </w:t>
      </w:r>
      <w:r w:rsidR="00A441F1" w:rsidRPr="005C3EC8">
        <w:t>Assessment</w:t>
      </w:r>
      <w:bookmarkEnd w:id="125"/>
      <w:bookmarkEnd w:id="126"/>
      <w:bookmarkEnd w:id="127"/>
      <w:bookmarkEnd w:id="128"/>
    </w:p>
    <w:p w14:paraId="6D8E64E5" w14:textId="78908CB9" w:rsidR="00A441F1" w:rsidRPr="005C3EC8" w:rsidRDefault="00A441F1" w:rsidP="0097728B">
      <w:pPr>
        <w:pStyle w:val="Heading2"/>
      </w:pPr>
      <w:bookmarkStart w:id="129" w:name="_Toc459133095"/>
      <w:bookmarkStart w:id="130" w:name="_Toc461803044"/>
      <w:bookmarkStart w:id="131" w:name="_Toc461787325"/>
      <w:bookmarkStart w:id="132" w:name="_Toc461795837"/>
      <w:bookmarkStart w:id="133" w:name="_Toc462149182"/>
      <w:r w:rsidRPr="005C3EC8">
        <w:t>Legal framework (#</w:t>
      </w:r>
      <w:r w:rsidR="00EE25D1" w:rsidRPr="005C3EC8">
        <w:t>2</w:t>
      </w:r>
      <w:r w:rsidRPr="005C3EC8">
        <w:t>.</w:t>
      </w:r>
      <w:r w:rsidR="00EE25D1" w:rsidRPr="005C3EC8">
        <w:t>1</w:t>
      </w:r>
      <w:r w:rsidRPr="005C3EC8">
        <w:t>)</w:t>
      </w:r>
      <w:bookmarkEnd w:id="129"/>
      <w:bookmarkEnd w:id="130"/>
      <w:bookmarkEnd w:id="131"/>
      <w:bookmarkEnd w:id="132"/>
      <w:bookmarkEnd w:id="133"/>
    </w:p>
    <w:p w14:paraId="7EBF2000" w14:textId="5FD91EBB" w:rsidR="002103DA" w:rsidRPr="005C3EC8" w:rsidRDefault="00F425D1" w:rsidP="0097728B">
      <w:pPr>
        <w:pStyle w:val="Heading3"/>
      </w:pPr>
      <w:r w:rsidRPr="005C3EC8">
        <w:t>Documentation of progress</w:t>
      </w:r>
    </w:p>
    <w:p w14:paraId="7199A3F6" w14:textId="77777777" w:rsidR="00227FB0" w:rsidRPr="005C3EC8" w:rsidRDefault="00F425D1" w:rsidP="00696784">
      <w:pPr>
        <w:spacing w:before="120"/>
        <w:rPr>
          <w:rFonts w:ascii="Calibri" w:hAnsi="Calibri"/>
          <w:b/>
          <w:u w:val="single"/>
        </w:rPr>
      </w:pPr>
      <w:r w:rsidRPr="005C3EC8">
        <w:rPr>
          <w:rFonts w:ascii="Calibri" w:hAnsi="Calibri"/>
          <w:b/>
          <w:i/>
          <w:u w:val="single"/>
        </w:rPr>
        <w:t>Legal framework</w:t>
      </w:r>
      <w:r w:rsidRPr="005C3EC8">
        <w:rPr>
          <w:rFonts w:ascii="Calibri" w:hAnsi="Calibri"/>
          <w:b/>
          <w:u w:val="single"/>
        </w:rPr>
        <w:t xml:space="preserve"> </w:t>
      </w:r>
    </w:p>
    <w:p w14:paraId="4E4C298D" w14:textId="1EC0F9E4" w:rsidR="00CB6B68" w:rsidRPr="005C3EC8" w:rsidRDefault="00227FB0" w:rsidP="00696784">
      <w:pPr>
        <w:spacing w:before="120"/>
        <w:rPr>
          <w:rFonts w:ascii="Calibri" w:hAnsi="Calibri"/>
        </w:rPr>
      </w:pPr>
      <w:r w:rsidRPr="005C3EC8">
        <w:rPr>
          <w:rFonts w:ascii="Calibri" w:hAnsi="Calibri"/>
          <w:b/>
          <w:i/>
        </w:rPr>
        <w:t>Systematic disclosures:</w:t>
      </w:r>
      <w:r w:rsidRPr="005C3EC8">
        <w:rPr>
          <w:rFonts w:ascii="Calibri" w:hAnsi="Calibri"/>
          <w:b/>
        </w:rPr>
        <w:t xml:space="preserve"> </w:t>
      </w:r>
      <w:r w:rsidR="00CB6B68" w:rsidRPr="005C3EC8">
        <w:rPr>
          <w:rFonts w:ascii="Calibri" w:hAnsi="Calibri"/>
        </w:rPr>
        <w:t>The full-text of relevant legislation is publicly-accessible on the legislation.gov.uk site of the National Archives, including the 1998 Petroleum Act</w:t>
      </w:r>
      <w:r w:rsidR="00CB6B68" w:rsidRPr="005C3EC8">
        <w:rPr>
          <w:rStyle w:val="FootnoteReference"/>
          <w:rFonts w:ascii="Calibri" w:hAnsi="Calibri"/>
        </w:rPr>
        <w:footnoteReference w:id="57"/>
      </w:r>
      <w:r w:rsidR="00B949B4" w:rsidRPr="005C3EC8">
        <w:rPr>
          <w:rFonts w:ascii="Calibri" w:hAnsi="Calibri"/>
        </w:rPr>
        <w:t>,</w:t>
      </w:r>
      <w:r w:rsidR="00CB6B68" w:rsidRPr="005C3EC8">
        <w:rPr>
          <w:rFonts w:ascii="Calibri" w:hAnsi="Calibri"/>
        </w:rPr>
        <w:t xml:space="preserve"> the 1964 Petroleum (Production) Act (Northern Ireland)</w:t>
      </w:r>
      <w:r w:rsidR="00CB6B68" w:rsidRPr="005C3EC8">
        <w:rPr>
          <w:rStyle w:val="FootnoteReference"/>
          <w:rFonts w:ascii="Calibri" w:hAnsi="Calibri"/>
        </w:rPr>
        <w:footnoteReference w:id="58"/>
      </w:r>
      <w:r w:rsidR="00B949B4" w:rsidRPr="005C3EC8">
        <w:rPr>
          <w:rFonts w:ascii="Calibri" w:hAnsi="Calibri"/>
        </w:rPr>
        <w:t xml:space="preserve"> and the 1969 Mineral Development Act (Northern Ireland).</w:t>
      </w:r>
      <w:r w:rsidR="00B949B4" w:rsidRPr="005C3EC8">
        <w:rPr>
          <w:rStyle w:val="FootnoteReference"/>
          <w:rFonts w:ascii="Calibri" w:hAnsi="Calibri"/>
        </w:rPr>
        <w:footnoteReference w:id="59"/>
      </w:r>
      <w:r w:rsidR="00CB6B68" w:rsidRPr="005C3EC8">
        <w:rPr>
          <w:rFonts w:ascii="Calibri" w:hAnsi="Calibri"/>
        </w:rPr>
        <w:t xml:space="preserve"> </w:t>
      </w:r>
      <w:r w:rsidR="0049516F" w:rsidRPr="005C3EC8">
        <w:rPr>
          <w:rFonts w:ascii="Calibri" w:hAnsi="Calibri"/>
        </w:rPr>
        <w:t>The Oil &amp; Gas Authority website provides comprehensive information on the legal and regulatory framework for oil and gas</w:t>
      </w:r>
      <w:r w:rsidR="009A5D34" w:rsidRPr="005C3EC8">
        <w:rPr>
          <w:rFonts w:ascii="Calibri" w:hAnsi="Calibri"/>
        </w:rPr>
        <w:t>.</w:t>
      </w:r>
      <w:r w:rsidR="0049516F" w:rsidRPr="005C3EC8">
        <w:rPr>
          <w:rStyle w:val="FootnoteReference"/>
          <w:rFonts w:ascii="Calibri" w:hAnsi="Calibri"/>
        </w:rPr>
        <w:footnoteReference w:id="60"/>
      </w:r>
      <w:r w:rsidR="009A5D34" w:rsidRPr="005C3EC8">
        <w:rPr>
          <w:rFonts w:ascii="Calibri" w:hAnsi="Calibri"/>
        </w:rPr>
        <w:t xml:space="preserve"> The British Geological Survey website provides comprehensive information on legislation and policy for mining and quarrying.</w:t>
      </w:r>
      <w:r w:rsidR="009A5D34" w:rsidRPr="005C3EC8">
        <w:rPr>
          <w:rStyle w:val="FootnoteReference"/>
          <w:rFonts w:ascii="Calibri" w:hAnsi="Calibri"/>
        </w:rPr>
        <w:footnoteReference w:id="61"/>
      </w:r>
      <w:r w:rsidR="009A5D34" w:rsidRPr="005C3EC8">
        <w:rPr>
          <w:rFonts w:ascii="Calibri" w:hAnsi="Calibri"/>
        </w:rPr>
        <w:t xml:space="preserve"> The relevant mineral policies are accessible on the respective government websites for England</w:t>
      </w:r>
      <w:r w:rsidR="009A5D34" w:rsidRPr="005C3EC8">
        <w:rPr>
          <w:rStyle w:val="FootnoteReference"/>
          <w:rFonts w:ascii="Calibri" w:hAnsi="Calibri"/>
        </w:rPr>
        <w:footnoteReference w:id="62"/>
      </w:r>
      <w:r w:rsidR="009A5D34" w:rsidRPr="005C3EC8">
        <w:rPr>
          <w:rFonts w:ascii="Calibri" w:hAnsi="Calibri"/>
        </w:rPr>
        <w:t>, Northern Ireland</w:t>
      </w:r>
      <w:r w:rsidR="009A5D34" w:rsidRPr="005C3EC8">
        <w:rPr>
          <w:rStyle w:val="FootnoteReference"/>
          <w:rFonts w:ascii="Calibri" w:hAnsi="Calibri"/>
        </w:rPr>
        <w:footnoteReference w:id="63"/>
      </w:r>
      <w:r w:rsidR="009A5D34" w:rsidRPr="005C3EC8">
        <w:rPr>
          <w:rFonts w:ascii="Calibri" w:hAnsi="Calibri"/>
        </w:rPr>
        <w:t>, Scotland</w:t>
      </w:r>
      <w:r w:rsidR="009A5D34" w:rsidRPr="005C3EC8">
        <w:rPr>
          <w:rStyle w:val="FootnoteReference"/>
          <w:rFonts w:ascii="Calibri" w:hAnsi="Calibri"/>
        </w:rPr>
        <w:footnoteReference w:id="64"/>
      </w:r>
      <w:r w:rsidR="009A5D34" w:rsidRPr="005C3EC8">
        <w:rPr>
          <w:rFonts w:ascii="Calibri" w:hAnsi="Calibri"/>
        </w:rPr>
        <w:t xml:space="preserve"> and Wales.</w:t>
      </w:r>
      <w:r w:rsidR="00852238" w:rsidRPr="005C3EC8">
        <w:rPr>
          <w:rStyle w:val="FootnoteReference"/>
          <w:rFonts w:ascii="Calibri" w:hAnsi="Calibri"/>
        </w:rPr>
        <w:footnoteReference w:id="65"/>
      </w:r>
      <w:r w:rsidR="00A03CC1" w:rsidRPr="005C3EC8">
        <w:rPr>
          <w:rFonts w:ascii="Calibri" w:hAnsi="Calibri"/>
        </w:rPr>
        <w:t xml:space="preserve"> For Northern Ireland specifically, information on minerals planning is accessible on the Department of Infrastructure website</w:t>
      </w:r>
      <w:r w:rsidR="00E91EA0" w:rsidRPr="005C3EC8">
        <w:rPr>
          <w:rFonts w:ascii="Calibri" w:hAnsi="Calibri"/>
        </w:rPr>
        <w:t>.</w:t>
      </w:r>
      <w:r w:rsidR="00A03CC1" w:rsidRPr="005C3EC8">
        <w:rPr>
          <w:rStyle w:val="FootnoteReference"/>
          <w:rFonts w:ascii="Calibri" w:hAnsi="Calibri"/>
        </w:rPr>
        <w:footnoteReference w:id="66"/>
      </w:r>
      <w:r w:rsidR="00E91EA0" w:rsidRPr="005C3EC8">
        <w:rPr>
          <w:rFonts w:ascii="Calibri" w:hAnsi="Calibri"/>
        </w:rPr>
        <w:t xml:space="preserve"> </w:t>
      </w:r>
    </w:p>
    <w:p w14:paraId="0AFD51B5" w14:textId="02B2104B" w:rsidR="00C93C93" w:rsidRPr="005C3EC8" w:rsidRDefault="00AC1ECB" w:rsidP="00696784">
      <w:pPr>
        <w:spacing w:before="120"/>
        <w:rPr>
          <w:rFonts w:ascii="Calibri" w:hAnsi="Calibri"/>
        </w:rPr>
      </w:pPr>
      <w:r w:rsidRPr="005C3EC8">
        <w:rPr>
          <w:rFonts w:ascii="Calibri" w:hAnsi="Calibri"/>
          <w:b/>
          <w:i/>
        </w:rPr>
        <w:t xml:space="preserve">2016 </w:t>
      </w:r>
      <w:r w:rsidR="00227FB0" w:rsidRPr="005C3EC8">
        <w:rPr>
          <w:rFonts w:ascii="Calibri" w:hAnsi="Calibri"/>
          <w:b/>
          <w:i/>
        </w:rPr>
        <w:t>EITI Report:</w:t>
      </w:r>
      <w:r w:rsidR="00227FB0" w:rsidRPr="005C3EC8">
        <w:rPr>
          <w:rFonts w:ascii="Calibri" w:hAnsi="Calibri"/>
          <w:b/>
        </w:rPr>
        <w:t xml:space="preserve"> </w:t>
      </w:r>
      <w:r w:rsidR="00E007FA" w:rsidRPr="005C3EC8">
        <w:rPr>
          <w:rFonts w:ascii="Calibri" w:hAnsi="Calibri"/>
        </w:rPr>
        <w:t xml:space="preserve">The </w:t>
      </w:r>
      <w:r w:rsidR="00C46F55" w:rsidRPr="005C3EC8">
        <w:rPr>
          <w:rFonts w:ascii="Calibri" w:hAnsi="Calibri"/>
        </w:rPr>
        <w:t>r</w:t>
      </w:r>
      <w:r w:rsidR="00E007FA" w:rsidRPr="005C3EC8">
        <w:rPr>
          <w:rFonts w:ascii="Calibri" w:hAnsi="Calibri"/>
        </w:rPr>
        <w:t xml:space="preserve">eport </w:t>
      </w:r>
      <w:r w:rsidR="00C93C93" w:rsidRPr="005C3EC8">
        <w:rPr>
          <w:rFonts w:ascii="Calibri" w:hAnsi="Calibri"/>
        </w:rPr>
        <w:t>provides</w:t>
      </w:r>
      <w:r w:rsidR="00CB6B68" w:rsidRPr="005C3EC8">
        <w:rPr>
          <w:rFonts w:ascii="Calibri" w:hAnsi="Calibri"/>
        </w:rPr>
        <w:t xml:space="preserve"> references to this publicly-available information in</w:t>
      </w:r>
      <w:r w:rsidR="00C93C93" w:rsidRPr="005C3EC8">
        <w:rPr>
          <w:rFonts w:ascii="Calibri" w:hAnsi="Calibri"/>
        </w:rPr>
        <w:t xml:space="preserve"> </w:t>
      </w:r>
      <w:r w:rsidR="00CB6B68" w:rsidRPr="005C3EC8">
        <w:rPr>
          <w:rFonts w:ascii="Calibri" w:hAnsi="Calibri"/>
        </w:rPr>
        <w:t xml:space="preserve">the </w:t>
      </w:r>
      <w:r w:rsidR="00C93C93" w:rsidRPr="005C3EC8">
        <w:rPr>
          <w:rFonts w:ascii="Calibri" w:hAnsi="Calibri"/>
        </w:rPr>
        <w:t>overview</w:t>
      </w:r>
      <w:r w:rsidR="00CB6B68" w:rsidRPr="005C3EC8">
        <w:rPr>
          <w:rFonts w:ascii="Calibri" w:hAnsi="Calibri"/>
        </w:rPr>
        <w:t>s</w:t>
      </w:r>
      <w:r w:rsidR="00C93C93" w:rsidRPr="005C3EC8">
        <w:rPr>
          <w:rFonts w:ascii="Calibri" w:hAnsi="Calibri"/>
        </w:rPr>
        <w:t xml:space="preserve"> of the legal framework</w:t>
      </w:r>
      <w:r w:rsidR="00CB6B68" w:rsidRPr="005C3EC8">
        <w:rPr>
          <w:rFonts w:ascii="Calibri" w:hAnsi="Calibri"/>
        </w:rPr>
        <w:t>s</w:t>
      </w:r>
      <w:r w:rsidR="00C93C93" w:rsidRPr="005C3EC8">
        <w:rPr>
          <w:rFonts w:ascii="Calibri" w:hAnsi="Calibri"/>
        </w:rPr>
        <w:t xml:space="preserve"> for oil and gas (pp.39-40</w:t>
      </w:r>
      <w:r w:rsidR="00203E0F" w:rsidRPr="005C3EC8">
        <w:rPr>
          <w:rStyle w:val="FootnoteReference"/>
          <w:rFonts w:ascii="Calibri" w:hAnsi="Calibri"/>
        </w:rPr>
        <w:footnoteReference w:id="67"/>
      </w:r>
      <w:r w:rsidR="00C93C93" w:rsidRPr="005C3EC8">
        <w:rPr>
          <w:rFonts w:ascii="Calibri" w:hAnsi="Calibri"/>
        </w:rPr>
        <w:t>)</w:t>
      </w:r>
      <w:r w:rsidR="00696784" w:rsidRPr="005C3EC8">
        <w:rPr>
          <w:rFonts w:ascii="Calibri" w:hAnsi="Calibri"/>
        </w:rPr>
        <w:t xml:space="preserve"> and </w:t>
      </w:r>
      <w:r w:rsidR="00CB6B68" w:rsidRPr="005C3EC8">
        <w:rPr>
          <w:rFonts w:ascii="Calibri" w:hAnsi="Calibri"/>
        </w:rPr>
        <w:t xml:space="preserve">for </w:t>
      </w:r>
      <w:r w:rsidR="00C93C93" w:rsidRPr="005C3EC8">
        <w:rPr>
          <w:rFonts w:ascii="Calibri" w:hAnsi="Calibri"/>
        </w:rPr>
        <w:t>mining and quarrying</w:t>
      </w:r>
      <w:r w:rsidR="00F4434F" w:rsidRPr="005C3EC8">
        <w:rPr>
          <w:rFonts w:ascii="Calibri" w:hAnsi="Calibri"/>
        </w:rPr>
        <w:t xml:space="preserve"> (pp.55-57</w:t>
      </w:r>
      <w:r w:rsidR="00696784" w:rsidRPr="005C3EC8">
        <w:rPr>
          <w:rFonts w:ascii="Calibri" w:hAnsi="Calibri"/>
        </w:rPr>
        <w:t xml:space="preserve">), </w:t>
      </w:r>
      <w:r w:rsidR="00AF088A" w:rsidRPr="005C3EC8">
        <w:rPr>
          <w:rFonts w:ascii="Calibri" w:hAnsi="Calibri"/>
        </w:rPr>
        <w:t>which include</w:t>
      </w:r>
      <w:r w:rsidR="00696784" w:rsidRPr="005C3EC8">
        <w:rPr>
          <w:rFonts w:ascii="Calibri" w:hAnsi="Calibri"/>
        </w:rPr>
        <w:t xml:space="preserve"> overview</w:t>
      </w:r>
      <w:r w:rsidR="00AF088A" w:rsidRPr="005C3EC8">
        <w:rPr>
          <w:rFonts w:ascii="Calibri" w:hAnsi="Calibri"/>
        </w:rPr>
        <w:t>s</w:t>
      </w:r>
      <w:r w:rsidR="00696784" w:rsidRPr="005C3EC8">
        <w:rPr>
          <w:rFonts w:ascii="Calibri" w:hAnsi="Calibri"/>
        </w:rPr>
        <w:t xml:space="preserve"> of key laws, policies and regulations. </w:t>
      </w:r>
      <w:r w:rsidR="00C93C93" w:rsidRPr="005C3EC8">
        <w:rPr>
          <w:rFonts w:ascii="Calibri" w:hAnsi="Calibri"/>
        </w:rPr>
        <w:t xml:space="preserve"> </w:t>
      </w:r>
    </w:p>
    <w:p w14:paraId="34345398" w14:textId="77777777" w:rsidR="00227FB0" w:rsidRPr="005C3EC8" w:rsidRDefault="00F425D1" w:rsidP="00F425D1">
      <w:pPr>
        <w:spacing w:before="120"/>
        <w:rPr>
          <w:rFonts w:ascii="Calibri" w:hAnsi="Calibri"/>
          <w:b/>
          <w:u w:val="single"/>
        </w:rPr>
      </w:pPr>
      <w:r w:rsidRPr="005C3EC8">
        <w:rPr>
          <w:rFonts w:ascii="Calibri" w:hAnsi="Calibri"/>
          <w:b/>
          <w:i/>
          <w:u w:val="single"/>
        </w:rPr>
        <w:lastRenderedPageBreak/>
        <w:t>Government agencies’ roles</w:t>
      </w:r>
      <w:r w:rsidR="00696784" w:rsidRPr="005C3EC8">
        <w:rPr>
          <w:rFonts w:ascii="Calibri" w:hAnsi="Calibri"/>
          <w:b/>
          <w:u w:val="single"/>
        </w:rPr>
        <w:t xml:space="preserve"> </w:t>
      </w:r>
    </w:p>
    <w:p w14:paraId="36101941" w14:textId="4BE3DD63" w:rsidR="00E91EA0" w:rsidRPr="005C3EC8" w:rsidRDefault="00227FB0" w:rsidP="00F425D1">
      <w:pPr>
        <w:spacing w:before="120"/>
        <w:rPr>
          <w:rFonts w:ascii="Calibri" w:hAnsi="Calibri"/>
        </w:rPr>
      </w:pPr>
      <w:r w:rsidRPr="005C3EC8">
        <w:rPr>
          <w:rFonts w:ascii="Calibri" w:hAnsi="Calibri"/>
          <w:b/>
          <w:i/>
        </w:rPr>
        <w:t>Systematic disclosures:</w:t>
      </w:r>
      <w:r w:rsidRPr="005C3EC8">
        <w:rPr>
          <w:rFonts w:ascii="Calibri" w:hAnsi="Calibri"/>
          <w:i/>
        </w:rPr>
        <w:t xml:space="preserve"> </w:t>
      </w:r>
      <w:r w:rsidR="00CD405F" w:rsidRPr="005C3EC8">
        <w:rPr>
          <w:rFonts w:ascii="Calibri" w:hAnsi="Calibri"/>
        </w:rPr>
        <w:t>In oil and gas, information about the roles and responsibilities of regulators is publicly accessible on the relevant agencies’ websites for the Oil &amp; Gas Authority</w:t>
      </w:r>
      <w:r w:rsidR="00CD405F" w:rsidRPr="005C3EC8">
        <w:rPr>
          <w:rStyle w:val="FootnoteReference"/>
          <w:rFonts w:ascii="Calibri" w:hAnsi="Calibri"/>
        </w:rPr>
        <w:footnoteReference w:id="68"/>
      </w:r>
      <w:r w:rsidR="00CD405F" w:rsidRPr="005C3EC8">
        <w:rPr>
          <w:rFonts w:ascii="Calibri" w:hAnsi="Calibri"/>
        </w:rPr>
        <w:t xml:space="preserve"> and Northern Ireland’s Department for the Economy.</w:t>
      </w:r>
      <w:r w:rsidR="00CD405F" w:rsidRPr="005C3EC8">
        <w:rPr>
          <w:rStyle w:val="FootnoteReference"/>
          <w:rFonts w:ascii="Calibri" w:hAnsi="Calibri"/>
        </w:rPr>
        <w:footnoteReference w:id="69"/>
      </w:r>
      <w:r w:rsidR="005F5AD1" w:rsidRPr="005C3EC8">
        <w:rPr>
          <w:rFonts w:ascii="Calibri" w:hAnsi="Calibri"/>
        </w:rPr>
        <w:t xml:space="preserve"> In mining and quarrying, </w:t>
      </w:r>
      <w:r w:rsidR="00F20B5B" w:rsidRPr="005C3EC8">
        <w:rPr>
          <w:rFonts w:ascii="Calibri" w:hAnsi="Calibri"/>
        </w:rPr>
        <w:t>information about the roles and responsibilities of relevant government agencies is publicly accessible on each entity’s website, including the British Geological Survey</w:t>
      </w:r>
      <w:r w:rsidR="00927DAA" w:rsidRPr="005C3EC8">
        <w:rPr>
          <w:rStyle w:val="FootnoteReference"/>
          <w:rFonts w:ascii="Calibri" w:hAnsi="Calibri"/>
        </w:rPr>
        <w:footnoteReference w:id="70"/>
      </w:r>
      <w:r w:rsidR="00F20B5B" w:rsidRPr="005C3EC8">
        <w:rPr>
          <w:rFonts w:ascii="Calibri" w:hAnsi="Calibri"/>
        </w:rPr>
        <w:t xml:space="preserve">, </w:t>
      </w:r>
      <w:r w:rsidR="00E079C1" w:rsidRPr="005C3EC8">
        <w:rPr>
          <w:rFonts w:ascii="Calibri" w:hAnsi="Calibri"/>
        </w:rPr>
        <w:t>the Coal Authority</w:t>
      </w:r>
      <w:r w:rsidR="00E079C1" w:rsidRPr="005C3EC8">
        <w:rPr>
          <w:rStyle w:val="FootnoteReference"/>
          <w:rFonts w:ascii="Calibri" w:hAnsi="Calibri"/>
        </w:rPr>
        <w:footnoteReference w:id="71"/>
      </w:r>
      <w:r w:rsidR="00E079C1" w:rsidRPr="005C3EC8">
        <w:rPr>
          <w:rFonts w:ascii="Calibri" w:hAnsi="Calibri"/>
        </w:rPr>
        <w:t xml:space="preserve">, </w:t>
      </w:r>
      <w:r w:rsidR="00F61773" w:rsidRPr="005C3EC8">
        <w:rPr>
          <w:rFonts w:ascii="Calibri" w:hAnsi="Calibri"/>
        </w:rPr>
        <w:t>the Crown Estate</w:t>
      </w:r>
      <w:r w:rsidR="00F61773" w:rsidRPr="005C3EC8">
        <w:rPr>
          <w:rStyle w:val="FootnoteReference"/>
          <w:rFonts w:ascii="Calibri" w:hAnsi="Calibri"/>
        </w:rPr>
        <w:footnoteReference w:id="72"/>
      </w:r>
      <w:r w:rsidR="00F61773" w:rsidRPr="005C3EC8">
        <w:rPr>
          <w:rFonts w:ascii="Calibri" w:hAnsi="Calibri"/>
        </w:rPr>
        <w:t xml:space="preserve">, </w:t>
      </w:r>
      <w:r w:rsidR="00F20B5B" w:rsidRPr="005C3EC8">
        <w:rPr>
          <w:rFonts w:ascii="Calibri" w:hAnsi="Calibri"/>
        </w:rPr>
        <w:t xml:space="preserve">the </w:t>
      </w:r>
      <w:r w:rsidR="00927DAA" w:rsidRPr="005C3EC8">
        <w:rPr>
          <w:rFonts w:ascii="Calibri" w:hAnsi="Calibri"/>
        </w:rPr>
        <w:t>Northern Ireland Department of Infrastructure</w:t>
      </w:r>
      <w:r w:rsidR="00927DAA" w:rsidRPr="005C3EC8">
        <w:rPr>
          <w:rStyle w:val="FootnoteReference"/>
          <w:rFonts w:ascii="Calibri" w:hAnsi="Calibri"/>
        </w:rPr>
        <w:footnoteReference w:id="73"/>
      </w:r>
      <w:r w:rsidR="00927DAA" w:rsidRPr="005C3EC8">
        <w:rPr>
          <w:rFonts w:ascii="Calibri" w:hAnsi="Calibri"/>
        </w:rPr>
        <w:t xml:space="preserve"> and Department for the Economy</w:t>
      </w:r>
      <w:r w:rsidR="00927DAA" w:rsidRPr="005C3EC8">
        <w:rPr>
          <w:rStyle w:val="FootnoteReference"/>
          <w:rFonts w:ascii="Calibri" w:hAnsi="Calibri"/>
        </w:rPr>
        <w:footnoteReference w:id="74"/>
      </w:r>
      <w:r w:rsidR="00927DAA" w:rsidRPr="005C3EC8">
        <w:rPr>
          <w:rFonts w:ascii="Calibri" w:hAnsi="Calibri"/>
        </w:rPr>
        <w:t>, the Scottish Government</w:t>
      </w:r>
      <w:r w:rsidR="00B714AC" w:rsidRPr="005C3EC8">
        <w:rPr>
          <w:rStyle w:val="FootnoteReference"/>
          <w:rFonts w:ascii="Calibri" w:hAnsi="Calibri"/>
        </w:rPr>
        <w:footnoteReference w:id="75"/>
      </w:r>
      <w:r w:rsidR="00927DAA" w:rsidRPr="005C3EC8">
        <w:rPr>
          <w:rFonts w:ascii="Calibri" w:hAnsi="Calibri"/>
        </w:rPr>
        <w:t xml:space="preserve"> and the Welsh Government.</w:t>
      </w:r>
      <w:r w:rsidR="00B714AC" w:rsidRPr="005C3EC8">
        <w:rPr>
          <w:rStyle w:val="FootnoteReference"/>
          <w:rFonts w:ascii="Calibri" w:hAnsi="Calibri"/>
        </w:rPr>
        <w:footnoteReference w:id="76"/>
      </w:r>
    </w:p>
    <w:p w14:paraId="1DE70937" w14:textId="05443D6F" w:rsidR="00C93C93" w:rsidRPr="005C3EC8" w:rsidRDefault="00AC1ECB" w:rsidP="00F425D1">
      <w:pPr>
        <w:spacing w:before="120"/>
        <w:rPr>
          <w:rFonts w:ascii="Calibri" w:hAnsi="Calibri"/>
          <w:bCs/>
        </w:rPr>
      </w:pPr>
      <w:r w:rsidRPr="005C3EC8">
        <w:rPr>
          <w:rFonts w:ascii="Calibri" w:hAnsi="Calibri"/>
          <w:b/>
          <w:i/>
        </w:rPr>
        <w:t xml:space="preserve">2016 </w:t>
      </w:r>
      <w:r w:rsidR="00227FB0" w:rsidRPr="005C3EC8">
        <w:rPr>
          <w:rFonts w:ascii="Calibri" w:hAnsi="Calibri"/>
          <w:b/>
          <w:i/>
        </w:rPr>
        <w:t xml:space="preserve">EITI Report: </w:t>
      </w:r>
      <w:r w:rsidR="00E91EA0" w:rsidRPr="005C3EC8">
        <w:rPr>
          <w:rFonts w:ascii="Calibri" w:hAnsi="Calibri"/>
        </w:rPr>
        <w:t xml:space="preserve">The </w:t>
      </w:r>
      <w:r w:rsidR="00C46F55" w:rsidRPr="005C3EC8">
        <w:rPr>
          <w:rFonts w:ascii="Calibri" w:hAnsi="Calibri"/>
        </w:rPr>
        <w:t>r</w:t>
      </w:r>
      <w:r w:rsidR="00E91EA0" w:rsidRPr="005C3EC8">
        <w:rPr>
          <w:rFonts w:ascii="Calibri" w:hAnsi="Calibri"/>
        </w:rPr>
        <w:t xml:space="preserve">eport </w:t>
      </w:r>
      <w:r w:rsidR="00C93C93" w:rsidRPr="005C3EC8">
        <w:rPr>
          <w:rFonts w:ascii="Calibri" w:hAnsi="Calibri"/>
        </w:rPr>
        <w:t xml:space="preserve">provides an overview of the </w:t>
      </w:r>
      <w:r w:rsidR="00696784" w:rsidRPr="005C3EC8">
        <w:rPr>
          <w:rFonts w:ascii="Calibri" w:hAnsi="Calibri"/>
        </w:rPr>
        <w:t xml:space="preserve">roles and responsibilities of </w:t>
      </w:r>
      <w:r w:rsidR="00C93C93" w:rsidRPr="005C3EC8">
        <w:rPr>
          <w:rFonts w:ascii="Calibri" w:hAnsi="Calibri"/>
        </w:rPr>
        <w:t xml:space="preserve">key government entities </w:t>
      </w:r>
      <w:r w:rsidR="00696784" w:rsidRPr="005C3EC8">
        <w:rPr>
          <w:rFonts w:ascii="Calibri" w:hAnsi="Calibri"/>
        </w:rPr>
        <w:t>in oil and gas (pp.39-40) and mining and quarrying (pp.55-62)</w:t>
      </w:r>
      <w:r w:rsidR="00E42E62" w:rsidRPr="005C3EC8">
        <w:rPr>
          <w:rFonts w:ascii="Calibri" w:hAnsi="Calibri"/>
        </w:rPr>
        <w:t>, including links to the publicly-available information listed above</w:t>
      </w:r>
      <w:r w:rsidR="00696784" w:rsidRPr="005C3EC8">
        <w:rPr>
          <w:rFonts w:ascii="Calibri" w:hAnsi="Calibri"/>
        </w:rPr>
        <w:t xml:space="preserve">. </w:t>
      </w:r>
    </w:p>
    <w:p w14:paraId="46568534" w14:textId="7441641F" w:rsidR="00227FB0" w:rsidRPr="005C3EC8" w:rsidRDefault="00F425D1" w:rsidP="0055005F">
      <w:pPr>
        <w:spacing w:before="120"/>
        <w:rPr>
          <w:rFonts w:ascii="Calibri" w:hAnsi="Calibri"/>
          <w:b/>
          <w:u w:val="single"/>
        </w:rPr>
      </w:pPr>
      <w:r w:rsidRPr="005C3EC8">
        <w:rPr>
          <w:rFonts w:ascii="Calibri" w:hAnsi="Calibri"/>
          <w:b/>
          <w:i/>
          <w:u w:val="single"/>
        </w:rPr>
        <w:t>Fiscal regime</w:t>
      </w:r>
    </w:p>
    <w:p w14:paraId="432B37ED" w14:textId="55316ED9" w:rsidR="00E91EA0" w:rsidRPr="005C3EC8" w:rsidRDefault="00227FB0" w:rsidP="0055005F">
      <w:pPr>
        <w:spacing w:before="120"/>
        <w:rPr>
          <w:rFonts w:ascii="Calibri" w:hAnsi="Calibri"/>
        </w:rPr>
      </w:pPr>
      <w:r w:rsidRPr="005C3EC8">
        <w:rPr>
          <w:rFonts w:ascii="Calibri" w:hAnsi="Calibri"/>
          <w:b/>
          <w:i/>
        </w:rPr>
        <w:t>Systematic disclosures:</w:t>
      </w:r>
      <w:r w:rsidRPr="005C3EC8">
        <w:rPr>
          <w:rFonts w:ascii="Calibri" w:hAnsi="Calibri"/>
          <w:i/>
        </w:rPr>
        <w:t xml:space="preserve"> </w:t>
      </w:r>
      <w:r w:rsidR="00EF4AA1" w:rsidRPr="005C3EC8">
        <w:rPr>
          <w:rFonts w:ascii="Calibri" w:hAnsi="Calibri"/>
        </w:rPr>
        <w:t xml:space="preserve">Information on the fiscal regime </w:t>
      </w:r>
      <w:r w:rsidR="000178B6" w:rsidRPr="005C3EC8">
        <w:rPr>
          <w:rFonts w:ascii="Calibri" w:hAnsi="Calibri"/>
        </w:rPr>
        <w:t>for oil and gas is publicly accessible, including the 1975 Oil Taxation Act</w:t>
      </w:r>
      <w:r w:rsidR="000178B6" w:rsidRPr="005C3EC8">
        <w:rPr>
          <w:rStyle w:val="FootnoteReference"/>
          <w:rFonts w:ascii="Calibri" w:hAnsi="Calibri"/>
        </w:rPr>
        <w:footnoteReference w:id="77"/>
      </w:r>
      <w:r w:rsidR="000178B6" w:rsidRPr="005C3EC8">
        <w:rPr>
          <w:rFonts w:ascii="Calibri" w:hAnsi="Calibri"/>
        </w:rPr>
        <w:t>, the 1993 Finance Act that dis-applied Petroleum Revenue Tax (PRT)</w:t>
      </w:r>
      <w:r w:rsidR="000178B6" w:rsidRPr="005C3EC8">
        <w:rPr>
          <w:rStyle w:val="FootnoteReference"/>
          <w:rFonts w:ascii="Calibri" w:hAnsi="Calibri"/>
        </w:rPr>
        <w:footnoteReference w:id="78"/>
      </w:r>
      <w:r w:rsidR="000178B6" w:rsidRPr="005C3EC8">
        <w:rPr>
          <w:rFonts w:ascii="Calibri" w:hAnsi="Calibri"/>
        </w:rPr>
        <w:t xml:space="preserve"> and the 2016 Budget that zero-rated PRT.</w:t>
      </w:r>
      <w:r w:rsidR="000178B6" w:rsidRPr="005C3EC8">
        <w:rPr>
          <w:rStyle w:val="FootnoteReference"/>
          <w:rFonts w:ascii="Calibri" w:hAnsi="Calibri"/>
        </w:rPr>
        <w:footnoteReference w:id="79"/>
      </w:r>
      <w:r w:rsidR="00402DB1" w:rsidRPr="005C3EC8">
        <w:rPr>
          <w:rFonts w:ascii="Calibri" w:hAnsi="Calibri"/>
        </w:rPr>
        <w:t xml:space="preserve"> The UK Government website provides an overview of all fiscal terms applicable to oil and gas.</w:t>
      </w:r>
      <w:r w:rsidR="00402DB1" w:rsidRPr="005C3EC8">
        <w:rPr>
          <w:rStyle w:val="FootnoteReference"/>
          <w:rFonts w:ascii="Calibri" w:hAnsi="Calibri"/>
        </w:rPr>
        <w:footnoteReference w:id="80"/>
      </w:r>
      <w:r w:rsidR="00402DB1" w:rsidRPr="005C3EC8">
        <w:rPr>
          <w:rFonts w:ascii="Calibri" w:hAnsi="Calibri"/>
        </w:rPr>
        <w:t xml:space="preserve"> </w:t>
      </w:r>
      <w:r w:rsidR="001E3EC2" w:rsidRPr="005C3EC8">
        <w:rPr>
          <w:rFonts w:ascii="Calibri" w:hAnsi="Calibri"/>
        </w:rPr>
        <w:t>T</w:t>
      </w:r>
      <w:r w:rsidR="00F61773" w:rsidRPr="005C3EC8">
        <w:rPr>
          <w:rFonts w:ascii="Calibri" w:hAnsi="Calibri"/>
        </w:rPr>
        <w:t>he fiscal regime for mining and quarrying is not distinct from other activities, with rates and allowances for Corporation Tax accessible on the HMRC website</w:t>
      </w:r>
      <w:r w:rsidR="001E3EC2" w:rsidRPr="005C3EC8">
        <w:rPr>
          <w:rFonts w:ascii="Calibri" w:hAnsi="Calibri"/>
        </w:rPr>
        <w:t>.</w:t>
      </w:r>
      <w:r w:rsidR="00F61773" w:rsidRPr="005C3EC8">
        <w:rPr>
          <w:rStyle w:val="FootnoteReference"/>
          <w:rFonts w:ascii="Calibri" w:hAnsi="Calibri"/>
        </w:rPr>
        <w:footnoteReference w:id="81"/>
      </w:r>
      <w:r w:rsidR="001E3EC2" w:rsidRPr="005C3EC8">
        <w:rPr>
          <w:rFonts w:ascii="Calibri" w:hAnsi="Calibri"/>
        </w:rPr>
        <w:t xml:space="preserve"> </w:t>
      </w:r>
      <w:r w:rsidR="00D11D73" w:rsidRPr="005C3EC8">
        <w:rPr>
          <w:rFonts w:ascii="Calibri" w:hAnsi="Calibri"/>
        </w:rPr>
        <w:t>For coal, information on licensing charges is accessible on the Coal Authority website.</w:t>
      </w:r>
      <w:r w:rsidR="00D11D73" w:rsidRPr="005C3EC8">
        <w:rPr>
          <w:rStyle w:val="FootnoteReference"/>
          <w:rFonts w:ascii="Calibri" w:hAnsi="Calibri"/>
        </w:rPr>
        <w:footnoteReference w:id="82"/>
      </w:r>
      <w:r w:rsidR="00D11D73" w:rsidRPr="005C3EC8">
        <w:rPr>
          <w:rFonts w:ascii="Calibri" w:hAnsi="Calibri"/>
        </w:rPr>
        <w:t xml:space="preserve"> </w:t>
      </w:r>
      <w:r w:rsidR="001E3EC2" w:rsidRPr="005C3EC8">
        <w:rPr>
          <w:rFonts w:ascii="Calibri" w:hAnsi="Calibri"/>
        </w:rPr>
        <w:t>Fees for (mineral planning and environment) permitting by the UK’s devolved authorities are publicly-accessible (</w:t>
      </w:r>
      <w:r w:rsidR="001E3EC2" w:rsidRPr="005C3EC8">
        <w:rPr>
          <w:rFonts w:ascii="Calibri" w:hAnsi="Calibri"/>
          <w:i/>
        </w:rPr>
        <w:t>see Requirement 2.2</w:t>
      </w:r>
      <w:r w:rsidR="001E3EC2" w:rsidRPr="005C3EC8">
        <w:rPr>
          <w:rFonts w:ascii="Calibri" w:hAnsi="Calibri"/>
        </w:rPr>
        <w:t xml:space="preserve">). </w:t>
      </w:r>
    </w:p>
    <w:p w14:paraId="0A71628A" w14:textId="5872389D" w:rsidR="00C93C93" w:rsidRPr="005C3EC8" w:rsidRDefault="00AC1ECB" w:rsidP="0055005F">
      <w:pPr>
        <w:spacing w:before="120"/>
        <w:rPr>
          <w:rFonts w:ascii="Calibri" w:hAnsi="Calibri"/>
        </w:rPr>
      </w:pPr>
      <w:r w:rsidRPr="005C3EC8">
        <w:rPr>
          <w:rFonts w:ascii="Calibri" w:hAnsi="Calibri"/>
          <w:b/>
          <w:i/>
        </w:rPr>
        <w:t xml:space="preserve">2016 </w:t>
      </w:r>
      <w:r w:rsidR="00227FB0" w:rsidRPr="005C3EC8">
        <w:rPr>
          <w:rFonts w:ascii="Calibri" w:hAnsi="Calibri"/>
          <w:b/>
          <w:i/>
        </w:rPr>
        <w:t>EITI Report:</w:t>
      </w:r>
      <w:r w:rsidR="00227FB0" w:rsidRPr="005C3EC8">
        <w:rPr>
          <w:rFonts w:ascii="Calibri" w:hAnsi="Calibri"/>
          <w:b/>
        </w:rPr>
        <w:t xml:space="preserve"> </w:t>
      </w:r>
      <w:r w:rsidR="00E91EA0" w:rsidRPr="005C3EC8">
        <w:rPr>
          <w:rFonts w:ascii="Calibri" w:hAnsi="Calibri"/>
        </w:rPr>
        <w:t xml:space="preserve">The </w:t>
      </w:r>
      <w:r w:rsidR="00C46F55" w:rsidRPr="005C3EC8">
        <w:rPr>
          <w:rFonts w:ascii="Calibri" w:hAnsi="Calibri"/>
        </w:rPr>
        <w:t>r</w:t>
      </w:r>
      <w:r w:rsidR="00E91EA0" w:rsidRPr="005C3EC8">
        <w:rPr>
          <w:rFonts w:ascii="Calibri" w:hAnsi="Calibri"/>
        </w:rPr>
        <w:t xml:space="preserve">eport </w:t>
      </w:r>
      <w:r w:rsidR="00C93C93" w:rsidRPr="005C3EC8">
        <w:rPr>
          <w:rFonts w:ascii="Calibri" w:hAnsi="Calibri"/>
        </w:rPr>
        <w:t>provides an overview of fiscal terms for oil and gas (pp.</w:t>
      </w:r>
      <w:r w:rsidR="00696784" w:rsidRPr="005C3EC8">
        <w:rPr>
          <w:rFonts w:ascii="Calibri" w:hAnsi="Calibri"/>
        </w:rPr>
        <w:t xml:space="preserve">41,42-51) and for mining and quarrying (pp.59-62), </w:t>
      </w:r>
      <w:r w:rsidR="00C93C93" w:rsidRPr="005C3EC8">
        <w:rPr>
          <w:rFonts w:ascii="Calibri" w:hAnsi="Calibri"/>
        </w:rPr>
        <w:t>including rates</w:t>
      </w:r>
      <w:r w:rsidR="00696784" w:rsidRPr="005C3EC8">
        <w:rPr>
          <w:rFonts w:ascii="Calibri" w:hAnsi="Calibri"/>
        </w:rPr>
        <w:t xml:space="preserve"> where applicable</w:t>
      </w:r>
      <w:r w:rsidR="00E079C1" w:rsidRPr="005C3EC8">
        <w:rPr>
          <w:rFonts w:ascii="Calibri" w:hAnsi="Calibri"/>
        </w:rPr>
        <w:t xml:space="preserve"> and links to publicly-accessible information listed above</w:t>
      </w:r>
      <w:r w:rsidR="00C93C93" w:rsidRPr="005C3EC8">
        <w:rPr>
          <w:rFonts w:ascii="Calibri" w:hAnsi="Calibri"/>
        </w:rPr>
        <w:t>.</w:t>
      </w:r>
    </w:p>
    <w:p w14:paraId="2D474BC4" w14:textId="4EAA5D84" w:rsidR="00227FB0" w:rsidRPr="005C3EC8" w:rsidRDefault="002728AA" w:rsidP="00766A06">
      <w:pPr>
        <w:spacing w:before="120"/>
        <w:rPr>
          <w:rFonts w:ascii="Calibri" w:hAnsi="Calibri"/>
          <w:b/>
          <w:u w:val="single"/>
        </w:rPr>
      </w:pPr>
      <w:r w:rsidRPr="005C3EC8">
        <w:rPr>
          <w:rFonts w:ascii="Calibri" w:hAnsi="Calibri"/>
          <w:b/>
          <w:i/>
          <w:u w:val="single"/>
        </w:rPr>
        <w:t>F</w:t>
      </w:r>
      <w:r w:rsidR="00F425D1" w:rsidRPr="005C3EC8">
        <w:rPr>
          <w:rFonts w:ascii="Calibri" w:hAnsi="Calibri"/>
          <w:b/>
          <w:i/>
          <w:u w:val="single"/>
        </w:rPr>
        <w:t>iscal devolution</w:t>
      </w:r>
    </w:p>
    <w:p w14:paraId="634766EF" w14:textId="5E293E39" w:rsidR="00E91EA0" w:rsidRPr="005C3EC8" w:rsidRDefault="00227FB0" w:rsidP="00766A06">
      <w:pPr>
        <w:spacing w:before="120"/>
        <w:rPr>
          <w:rFonts w:ascii="Calibri" w:hAnsi="Calibri"/>
        </w:rPr>
      </w:pPr>
      <w:r w:rsidRPr="005C3EC8">
        <w:rPr>
          <w:rFonts w:ascii="Calibri" w:hAnsi="Calibri"/>
          <w:b/>
          <w:i/>
        </w:rPr>
        <w:t>Systematic disclosures:</w:t>
      </w:r>
      <w:r w:rsidRPr="005C3EC8">
        <w:rPr>
          <w:rFonts w:ascii="Calibri" w:hAnsi="Calibri"/>
        </w:rPr>
        <w:t xml:space="preserve"> The degree of fiscal devolution is described in detail on the respective websites of </w:t>
      </w:r>
      <w:r w:rsidRPr="005C3EC8">
        <w:rPr>
          <w:rFonts w:ascii="Calibri" w:hAnsi="Calibri"/>
        </w:rPr>
        <w:lastRenderedPageBreak/>
        <w:t>the UK’s devolved authorities, including the Northern Ireland Department for the Economy</w:t>
      </w:r>
      <w:r w:rsidRPr="005C3EC8">
        <w:rPr>
          <w:rStyle w:val="FootnoteReference"/>
          <w:rFonts w:ascii="Calibri" w:hAnsi="Calibri"/>
        </w:rPr>
        <w:footnoteReference w:id="83"/>
      </w:r>
      <w:r w:rsidRPr="005C3EC8">
        <w:rPr>
          <w:rFonts w:ascii="Calibri" w:hAnsi="Calibri"/>
        </w:rPr>
        <w:t>, the Scottish Government</w:t>
      </w:r>
      <w:r w:rsidRPr="005C3EC8">
        <w:rPr>
          <w:rStyle w:val="FootnoteReference"/>
          <w:rFonts w:ascii="Calibri" w:hAnsi="Calibri"/>
        </w:rPr>
        <w:footnoteReference w:id="84"/>
      </w:r>
      <w:r w:rsidRPr="005C3EC8">
        <w:rPr>
          <w:rFonts w:ascii="Calibri" w:hAnsi="Calibri"/>
        </w:rPr>
        <w:t xml:space="preserve"> and the Welsh Government.</w:t>
      </w:r>
      <w:r w:rsidRPr="005C3EC8">
        <w:rPr>
          <w:rStyle w:val="FootnoteReference"/>
          <w:rFonts w:ascii="Calibri" w:hAnsi="Calibri"/>
        </w:rPr>
        <w:footnoteReference w:id="85"/>
      </w:r>
    </w:p>
    <w:p w14:paraId="23C8FEE0" w14:textId="6C156AC0" w:rsidR="00882837" w:rsidRPr="005C3EC8" w:rsidRDefault="00AC1ECB" w:rsidP="00882837">
      <w:pPr>
        <w:spacing w:before="120"/>
        <w:rPr>
          <w:rFonts w:ascii="Calibri" w:hAnsi="Calibri"/>
        </w:rPr>
      </w:pPr>
      <w:r w:rsidRPr="005C3EC8">
        <w:rPr>
          <w:rFonts w:ascii="Calibri" w:hAnsi="Calibri"/>
          <w:b/>
          <w:i/>
        </w:rPr>
        <w:t xml:space="preserve">2016 </w:t>
      </w:r>
      <w:r w:rsidR="00227FB0" w:rsidRPr="005C3EC8">
        <w:rPr>
          <w:rFonts w:ascii="Calibri" w:hAnsi="Calibri"/>
          <w:b/>
          <w:i/>
        </w:rPr>
        <w:t>EITI Report:</w:t>
      </w:r>
      <w:r w:rsidR="00227FB0" w:rsidRPr="005C3EC8">
        <w:rPr>
          <w:rFonts w:ascii="Calibri" w:hAnsi="Calibri"/>
          <w:b/>
        </w:rPr>
        <w:t xml:space="preserve"> </w:t>
      </w:r>
      <w:r w:rsidR="00E91EA0" w:rsidRPr="005C3EC8">
        <w:rPr>
          <w:rFonts w:ascii="Calibri" w:hAnsi="Calibri"/>
        </w:rPr>
        <w:t xml:space="preserve">The </w:t>
      </w:r>
      <w:r w:rsidR="00C46F55" w:rsidRPr="005C3EC8">
        <w:rPr>
          <w:rFonts w:ascii="Calibri" w:hAnsi="Calibri"/>
        </w:rPr>
        <w:t>r</w:t>
      </w:r>
      <w:r w:rsidR="00E91EA0" w:rsidRPr="005C3EC8">
        <w:rPr>
          <w:rFonts w:ascii="Calibri" w:hAnsi="Calibri"/>
        </w:rPr>
        <w:t xml:space="preserve">eport </w:t>
      </w:r>
      <w:r w:rsidR="00882837" w:rsidRPr="005C3EC8">
        <w:rPr>
          <w:rFonts w:ascii="Calibri" w:hAnsi="Calibri"/>
        </w:rPr>
        <w:t xml:space="preserve">provides an overview of the degree of fiscal devolution in the extractive industries. In oil and gas, the report notes the devolution in oil and gas to Northern Ireland’s Department for the Economy (DfE) (pp.41-42). </w:t>
      </w:r>
      <w:r w:rsidR="00766A06" w:rsidRPr="005C3EC8">
        <w:rPr>
          <w:rFonts w:ascii="Calibri" w:hAnsi="Calibri"/>
        </w:rPr>
        <w:t>The report details a population-based revenue earmarked, funded from a share of income from seaward petroleum licences to the Northern Ireland Government, as required by section 2 of the Miscellaneous Financial Provisions Act 1968 (p.68).</w:t>
      </w:r>
      <w:r w:rsidR="00227FB0" w:rsidRPr="005C3EC8">
        <w:rPr>
          <w:rFonts w:ascii="Calibri" w:hAnsi="Calibri"/>
        </w:rPr>
        <w:t xml:space="preserve"> </w:t>
      </w:r>
      <w:r w:rsidR="00882837" w:rsidRPr="005C3EC8">
        <w:rPr>
          <w:rFonts w:ascii="Calibri" w:hAnsi="Calibri"/>
        </w:rPr>
        <w:t xml:space="preserve">In mining and quarrying, </w:t>
      </w:r>
      <w:r w:rsidR="00E91EA0" w:rsidRPr="005C3EC8">
        <w:rPr>
          <w:rFonts w:ascii="Calibri" w:hAnsi="Calibri"/>
        </w:rPr>
        <w:t xml:space="preserve">the 2016 EITI Report </w:t>
      </w:r>
      <w:r w:rsidR="00766A06" w:rsidRPr="005C3EC8">
        <w:rPr>
          <w:rFonts w:ascii="Calibri" w:hAnsi="Calibri"/>
        </w:rPr>
        <w:t xml:space="preserve">confirms the </w:t>
      </w:r>
      <w:r w:rsidR="00882837" w:rsidRPr="005C3EC8">
        <w:rPr>
          <w:rFonts w:ascii="Calibri" w:hAnsi="Calibri"/>
        </w:rPr>
        <w:t xml:space="preserve">devolution of </w:t>
      </w:r>
      <w:r w:rsidR="00766A06" w:rsidRPr="005C3EC8">
        <w:rPr>
          <w:rFonts w:ascii="Calibri" w:hAnsi="Calibri"/>
        </w:rPr>
        <w:t xml:space="preserve">mineral </w:t>
      </w:r>
      <w:r w:rsidR="00882837" w:rsidRPr="005C3EC8">
        <w:rPr>
          <w:rFonts w:ascii="Calibri" w:hAnsi="Calibri"/>
        </w:rPr>
        <w:t xml:space="preserve">planning </w:t>
      </w:r>
      <w:r w:rsidR="00766A06" w:rsidRPr="005C3EC8">
        <w:rPr>
          <w:rFonts w:ascii="Calibri" w:hAnsi="Calibri"/>
        </w:rPr>
        <w:t xml:space="preserve">and environmental </w:t>
      </w:r>
      <w:r w:rsidR="00882837" w:rsidRPr="005C3EC8">
        <w:rPr>
          <w:rFonts w:ascii="Calibri" w:hAnsi="Calibri"/>
        </w:rPr>
        <w:t xml:space="preserve">permitting to </w:t>
      </w:r>
      <w:r w:rsidR="00766A06" w:rsidRPr="005C3EC8">
        <w:rPr>
          <w:rFonts w:ascii="Calibri" w:hAnsi="Calibri"/>
        </w:rPr>
        <w:t>Mineral Planning Authorities in Wales, Scotland, England and Northern Ireland (</w:t>
      </w:r>
      <w:r w:rsidR="005C0893" w:rsidRPr="005C3EC8">
        <w:rPr>
          <w:rFonts w:ascii="Calibri" w:hAnsi="Calibri"/>
        </w:rPr>
        <w:t>p</w:t>
      </w:r>
      <w:r w:rsidR="00766A06" w:rsidRPr="005C3EC8">
        <w:rPr>
          <w:rFonts w:ascii="Calibri" w:hAnsi="Calibri"/>
        </w:rPr>
        <w:t xml:space="preserve">p.56,57-58) and the devolution of responsibility for Mineral Prospecting Licenses (MPLs) in Northern Ireland to the DfE (p.61). The report also details ‘Section 106 payments’ to local authorities related to planning permission for mining operations (p.20). </w:t>
      </w:r>
    </w:p>
    <w:p w14:paraId="4DD3B69B" w14:textId="6002BA1D" w:rsidR="00E91EA0" w:rsidRPr="005C3EC8" w:rsidRDefault="00F425D1" w:rsidP="00C93C93">
      <w:pPr>
        <w:spacing w:before="120"/>
        <w:rPr>
          <w:rFonts w:ascii="Calibri" w:hAnsi="Calibri"/>
          <w:b/>
          <w:u w:val="single"/>
        </w:rPr>
      </w:pPr>
      <w:r w:rsidRPr="005C3EC8">
        <w:rPr>
          <w:rFonts w:ascii="Calibri" w:hAnsi="Calibri"/>
          <w:b/>
          <w:i/>
          <w:u w:val="single"/>
        </w:rPr>
        <w:t>Reforms</w:t>
      </w:r>
    </w:p>
    <w:p w14:paraId="1CF2D993" w14:textId="0EC75187" w:rsidR="00227FB0" w:rsidRPr="005C3EC8" w:rsidRDefault="00227FB0" w:rsidP="00C93C93">
      <w:pPr>
        <w:spacing w:before="120"/>
        <w:rPr>
          <w:rFonts w:ascii="Calibri" w:hAnsi="Calibri"/>
        </w:rPr>
      </w:pPr>
      <w:r w:rsidRPr="005C3EC8">
        <w:rPr>
          <w:rFonts w:ascii="Calibri" w:hAnsi="Calibri"/>
          <w:b/>
          <w:i/>
        </w:rPr>
        <w:t xml:space="preserve">Systematic disclosures: </w:t>
      </w:r>
      <w:r w:rsidRPr="005C3EC8">
        <w:rPr>
          <w:rFonts w:ascii="Calibri" w:hAnsi="Calibri"/>
        </w:rPr>
        <w:t>The UK Government website provides updates on current and planned reforms, both through annual reports of key agencies like HMRC</w:t>
      </w:r>
      <w:r w:rsidRPr="005C3EC8">
        <w:rPr>
          <w:rStyle w:val="FootnoteReference"/>
          <w:rFonts w:ascii="Calibri" w:hAnsi="Calibri"/>
        </w:rPr>
        <w:footnoteReference w:id="86"/>
      </w:r>
      <w:r w:rsidRPr="005C3EC8">
        <w:rPr>
          <w:rFonts w:ascii="Calibri" w:hAnsi="Calibri"/>
        </w:rPr>
        <w:t xml:space="preserve">, </w:t>
      </w:r>
      <w:r w:rsidR="00EE4D36" w:rsidRPr="005C3EC8">
        <w:rPr>
          <w:rFonts w:ascii="Calibri" w:hAnsi="Calibri"/>
        </w:rPr>
        <w:t>departmental reform briefs</w:t>
      </w:r>
      <w:r w:rsidR="00EE4D36" w:rsidRPr="005C3EC8">
        <w:rPr>
          <w:rStyle w:val="FootnoteReference"/>
          <w:rFonts w:ascii="Calibri" w:hAnsi="Calibri"/>
        </w:rPr>
        <w:footnoteReference w:id="87"/>
      </w:r>
      <w:r w:rsidR="00EE4D36" w:rsidRPr="005C3EC8">
        <w:rPr>
          <w:rFonts w:ascii="Calibri" w:hAnsi="Calibri"/>
        </w:rPr>
        <w:t>, budget statements and policy statements</w:t>
      </w:r>
      <w:r w:rsidR="00EE4D36" w:rsidRPr="005C3EC8">
        <w:rPr>
          <w:rStyle w:val="FootnoteReference"/>
          <w:rFonts w:ascii="Calibri" w:hAnsi="Calibri"/>
        </w:rPr>
        <w:footnoteReference w:id="88"/>
      </w:r>
      <w:r w:rsidR="002C26E6" w:rsidRPr="005C3EC8">
        <w:rPr>
          <w:rFonts w:ascii="Calibri" w:hAnsi="Calibri"/>
        </w:rPr>
        <w:t xml:space="preserve"> as well as </w:t>
      </w:r>
      <w:r w:rsidRPr="005C3EC8">
        <w:rPr>
          <w:rFonts w:ascii="Calibri" w:hAnsi="Calibri"/>
        </w:rPr>
        <w:t xml:space="preserve">the UK </w:t>
      </w:r>
      <w:r w:rsidR="00EE4D36" w:rsidRPr="005C3EC8">
        <w:rPr>
          <w:rFonts w:ascii="Calibri" w:hAnsi="Calibri"/>
        </w:rPr>
        <w:t>database of parliamentary proceedings.</w:t>
      </w:r>
      <w:r w:rsidR="00EE4D36" w:rsidRPr="005C3EC8">
        <w:rPr>
          <w:rStyle w:val="FootnoteReference"/>
          <w:rFonts w:ascii="Calibri" w:hAnsi="Calibri"/>
        </w:rPr>
        <w:footnoteReference w:id="89"/>
      </w:r>
      <w:r w:rsidR="002728AA" w:rsidRPr="005C3EC8">
        <w:rPr>
          <w:rFonts w:ascii="Calibri" w:hAnsi="Calibri"/>
        </w:rPr>
        <w:t xml:space="preserve"> The OGA website</w:t>
      </w:r>
      <w:r w:rsidR="002728AA" w:rsidRPr="005C3EC8">
        <w:rPr>
          <w:rStyle w:val="FootnoteReference"/>
          <w:rFonts w:ascii="Calibri" w:hAnsi="Calibri"/>
        </w:rPr>
        <w:footnoteReference w:id="90"/>
      </w:r>
      <w:r w:rsidR="00A617B3" w:rsidRPr="005C3EC8">
        <w:rPr>
          <w:rFonts w:ascii="Calibri" w:hAnsi="Calibri"/>
        </w:rPr>
        <w:t xml:space="preserve"> and the CA website</w:t>
      </w:r>
      <w:r w:rsidR="00A617B3" w:rsidRPr="005C3EC8">
        <w:rPr>
          <w:rStyle w:val="FootnoteReference"/>
          <w:rFonts w:ascii="Calibri" w:hAnsi="Calibri"/>
        </w:rPr>
        <w:footnoteReference w:id="91"/>
      </w:r>
      <w:r w:rsidR="00A617B3" w:rsidRPr="005C3EC8">
        <w:rPr>
          <w:rFonts w:ascii="Calibri" w:hAnsi="Calibri"/>
        </w:rPr>
        <w:t xml:space="preserve"> provide updates on regulatory changes related to petroleum and coal, while TCE’s annual “area involved’ reports</w:t>
      </w:r>
      <w:r w:rsidR="00A617B3" w:rsidRPr="005C3EC8">
        <w:rPr>
          <w:rStyle w:val="FootnoteReference"/>
          <w:rFonts w:ascii="Calibri" w:hAnsi="Calibri"/>
        </w:rPr>
        <w:footnoteReference w:id="92"/>
      </w:r>
      <w:r w:rsidR="00A617B3" w:rsidRPr="005C3EC8">
        <w:rPr>
          <w:rFonts w:ascii="Calibri" w:hAnsi="Calibri"/>
        </w:rPr>
        <w:t xml:space="preserve"> provide updates on regulatory and licensing activities, albeit to a lesser degree of detail. </w:t>
      </w:r>
    </w:p>
    <w:p w14:paraId="40F03A3D" w14:textId="6B895199" w:rsidR="00F4434F" w:rsidRPr="005C3EC8" w:rsidRDefault="00AC1ECB" w:rsidP="00C93C93">
      <w:pPr>
        <w:spacing w:before="120"/>
        <w:rPr>
          <w:rFonts w:ascii="Calibri" w:hAnsi="Calibri"/>
        </w:rPr>
      </w:pPr>
      <w:r w:rsidRPr="005C3EC8">
        <w:rPr>
          <w:rFonts w:ascii="Calibri" w:hAnsi="Calibri"/>
          <w:b/>
          <w:i/>
        </w:rPr>
        <w:t xml:space="preserve">2016 </w:t>
      </w:r>
      <w:r w:rsidR="00227FB0" w:rsidRPr="005C3EC8">
        <w:rPr>
          <w:rFonts w:ascii="Calibri" w:hAnsi="Calibri"/>
          <w:b/>
          <w:i/>
        </w:rPr>
        <w:t>EITI Report:</w:t>
      </w:r>
      <w:r w:rsidR="00227FB0" w:rsidRPr="005C3EC8">
        <w:rPr>
          <w:rFonts w:ascii="Calibri" w:hAnsi="Calibri"/>
          <w:b/>
        </w:rPr>
        <w:t xml:space="preserve"> </w:t>
      </w:r>
      <w:r w:rsidR="00E91EA0" w:rsidRPr="005C3EC8">
        <w:rPr>
          <w:rFonts w:ascii="Calibri" w:hAnsi="Calibri"/>
        </w:rPr>
        <w:t xml:space="preserve">The </w:t>
      </w:r>
      <w:r w:rsidR="00C46F55" w:rsidRPr="005C3EC8">
        <w:rPr>
          <w:rFonts w:ascii="Calibri" w:hAnsi="Calibri"/>
        </w:rPr>
        <w:t>r</w:t>
      </w:r>
      <w:r w:rsidR="00E91EA0" w:rsidRPr="005C3EC8">
        <w:rPr>
          <w:rFonts w:ascii="Calibri" w:hAnsi="Calibri"/>
        </w:rPr>
        <w:t xml:space="preserve">eport </w:t>
      </w:r>
      <w:r w:rsidR="00C93C93" w:rsidRPr="005C3EC8">
        <w:rPr>
          <w:rFonts w:ascii="Calibri" w:hAnsi="Calibri"/>
        </w:rPr>
        <w:t>provides an overview of ongoing and planned reforms in oil and gas, including an overview of poli</w:t>
      </w:r>
      <w:r w:rsidR="00766A06" w:rsidRPr="005C3EC8">
        <w:rPr>
          <w:rFonts w:ascii="Calibri" w:hAnsi="Calibri"/>
        </w:rPr>
        <w:t>cy-making principles (pp.49-50) and the devolution of oil and gas licensing to the Scottish Government in February 2018 and to the Welsh Government from October 2018 (p.41).</w:t>
      </w:r>
      <w:r w:rsidR="00C93C93" w:rsidRPr="005C3EC8">
        <w:rPr>
          <w:rFonts w:ascii="Calibri" w:hAnsi="Calibri"/>
        </w:rPr>
        <w:t xml:space="preserve"> It is noted that OGA became a government-owned company in October 2016 and that the OGA levy was introduced in October 2015 (p.51). The report also refers to recent reforms linked to shale gas, such as in the</w:t>
      </w:r>
      <w:r w:rsidR="002C26E6" w:rsidRPr="005C3EC8">
        <w:rPr>
          <w:rFonts w:ascii="Calibri" w:hAnsi="Calibri"/>
        </w:rPr>
        <w:t xml:space="preserve"> 2015 Infrastructure Act (p.52), alongside</w:t>
      </w:r>
      <w:r w:rsidR="00F4434F" w:rsidRPr="005C3EC8">
        <w:rPr>
          <w:rFonts w:ascii="Calibri" w:hAnsi="Calibri"/>
        </w:rPr>
        <w:t xml:space="preserve"> </w:t>
      </w:r>
      <w:r w:rsidR="002C26E6" w:rsidRPr="005C3EC8">
        <w:rPr>
          <w:rFonts w:ascii="Calibri" w:hAnsi="Calibri"/>
        </w:rPr>
        <w:t xml:space="preserve">more </w:t>
      </w:r>
      <w:r w:rsidR="00DC1FB3" w:rsidRPr="005C3EC8">
        <w:rPr>
          <w:rFonts w:ascii="Calibri" w:hAnsi="Calibri"/>
        </w:rPr>
        <w:t>minor</w:t>
      </w:r>
      <w:r w:rsidR="00F4434F" w:rsidRPr="005C3EC8">
        <w:rPr>
          <w:rFonts w:ascii="Calibri" w:hAnsi="Calibri"/>
        </w:rPr>
        <w:t xml:space="preserve"> reforms in mining planning and environmental permitting (pp.55-5</w:t>
      </w:r>
      <w:r w:rsidR="00DC1FB3" w:rsidRPr="005C3EC8">
        <w:rPr>
          <w:rFonts w:ascii="Calibri" w:hAnsi="Calibri"/>
        </w:rPr>
        <w:t xml:space="preserve">7). </w:t>
      </w:r>
    </w:p>
    <w:p w14:paraId="5ADA67DB" w14:textId="77777777" w:rsidR="002103DA" w:rsidRPr="005C3EC8" w:rsidRDefault="00F425D1">
      <w:pPr>
        <w:pStyle w:val="Heading3"/>
      </w:pPr>
      <w:r w:rsidRPr="005C3EC8">
        <w:t>Stakeholder views</w:t>
      </w:r>
    </w:p>
    <w:p w14:paraId="5B01F332" w14:textId="46B4D818" w:rsidR="00A617B3" w:rsidRPr="005C3EC8" w:rsidRDefault="00A617B3" w:rsidP="00F425D1">
      <w:pPr>
        <w:spacing w:before="120"/>
        <w:rPr>
          <w:rFonts w:ascii="Calibri" w:hAnsi="Calibri"/>
          <w:bCs/>
        </w:rPr>
      </w:pPr>
      <w:r w:rsidRPr="005C3EC8">
        <w:rPr>
          <w:rFonts w:ascii="Calibri" w:hAnsi="Calibri"/>
          <w:bCs/>
        </w:rPr>
        <w:t xml:space="preserve">Stakeholders consulted did not express any particular views about the comprehensiveness of the UKEITI Reports’ coverage of the legal environment and fiscal regime. Several industry MSG members, from both oil and gas as well as mining and quarrying, considered that it was helpful to have an overview and links </w:t>
      </w:r>
      <w:r w:rsidRPr="005C3EC8">
        <w:rPr>
          <w:rFonts w:ascii="Calibri" w:hAnsi="Calibri"/>
          <w:bCs/>
        </w:rPr>
        <w:lastRenderedPageBreak/>
        <w:t xml:space="preserve">to further information in one place. </w:t>
      </w:r>
      <w:r w:rsidR="000971ED" w:rsidRPr="005C3EC8">
        <w:rPr>
          <w:rFonts w:ascii="Calibri" w:hAnsi="Calibri"/>
          <w:bCs/>
        </w:rPr>
        <w:t xml:space="preserve">Several CSN representatives considered that the non-financial information had not significantly changed since the first EITI Report. Nonetheless, they considered it a useful overview of the extractive industries, including relevant legislation and fiscal terms. </w:t>
      </w:r>
      <w:r w:rsidRPr="005C3EC8">
        <w:rPr>
          <w:rFonts w:ascii="Calibri" w:hAnsi="Calibri"/>
          <w:bCs/>
        </w:rPr>
        <w:t>One CSO considered that TCE’s licensing process</w:t>
      </w:r>
      <w:r w:rsidR="0079564C" w:rsidRPr="005C3EC8">
        <w:rPr>
          <w:rFonts w:ascii="Calibri" w:hAnsi="Calibri"/>
          <w:bCs/>
        </w:rPr>
        <w:t xml:space="preserve"> was not sufficiently transparent</w:t>
      </w:r>
      <w:r w:rsidRPr="005C3EC8">
        <w:rPr>
          <w:rFonts w:ascii="Calibri" w:hAnsi="Calibri"/>
          <w:bCs/>
        </w:rPr>
        <w:t xml:space="preserve"> </w:t>
      </w:r>
      <w:r w:rsidR="000971ED" w:rsidRPr="005C3EC8">
        <w:rPr>
          <w:rFonts w:ascii="Calibri" w:hAnsi="Calibri"/>
          <w:bCs/>
        </w:rPr>
        <w:t>(see Requirement 2</w:t>
      </w:r>
      <w:r w:rsidR="00E944A1" w:rsidRPr="005C3EC8">
        <w:rPr>
          <w:rFonts w:ascii="Calibri" w:hAnsi="Calibri"/>
          <w:bCs/>
        </w:rPr>
        <w:t>.</w:t>
      </w:r>
      <w:r w:rsidR="000971ED" w:rsidRPr="005C3EC8">
        <w:rPr>
          <w:rFonts w:ascii="Calibri" w:hAnsi="Calibri"/>
          <w:bCs/>
        </w:rPr>
        <w:t>2)</w:t>
      </w:r>
      <w:r w:rsidRPr="005C3EC8">
        <w:rPr>
          <w:rFonts w:ascii="Calibri" w:hAnsi="Calibri"/>
          <w:bCs/>
        </w:rPr>
        <w:t xml:space="preserve">. Several government stakeholders considered that the was sufficient information in the public domain on the on the legal and fiscal terms in the extractives, including in mining and quarrying. </w:t>
      </w:r>
    </w:p>
    <w:p w14:paraId="672ADE47" w14:textId="739BC6D2" w:rsidR="001E68AF" w:rsidRPr="005C3EC8" w:rsidRDefault="00F425D1">
      <w:pPr>
        <w:pStyle w:val="Heading3"/>
      </w:pPr>
      <w:bookmarkStart w:id="134" w:name="_Toc459133098"/>
      <w:bookmarkStart w:id="135" w:name="_Toc461803047"/>
      <w:r w:rsidRPr="005C3EC8">
        <w:t>Initial assessment</w:t>
      </w:r>
      <w:bookmarkEnd w:id="134"/>
      <w:bookmarkEnd w:id="135"/>
    </w:p>
    <w:p w14:paraId="2D14B53C" w14:textId="5AA472D0" w:rsidR="005275CE" w:rsidRPr="005C3EC8" w:rsidRDefault="00F425D1" w:rsidP="005275CE">
      <w:pPr>
        <w:rPr>
          <w:rFonts w:ascii="Calibri" w:hAnsi="Calibri"/>
        </w:rPr>
      </w:pPr>
      <w:r w:rsidRPr="005C3EC8">
        <w:rPr>
          <w:rFonts w:ascii="Calibri" w:hAnsi="Calibri"/>
        </w:rPr>
        <w:t xml:space="preserve">The International Secretariat’s initial assessment is that </w:t>
      </w:r>
      <w:r w:rsidR="00B35678" w:rsidRPr="005C3EC8">
        <w:rPr>
          <w:rFonts w:ascii="Calibri" w:hAnsi="Calibri"/>
          <w:bCs/>
        </w:rPr>
        <w:t>the UK</w:t>
      </w:r>
      <w:r w:rsidR="0055005F" w:rsidRPr="005C3EC8">
        <w:rPr>
          <w:rFonts w:ascii="Calibri" w:hAnsi="Calibri"/>
        </w:rPr>
        <w:t xml:space="preserve"> </w:t>
      </w:r>
      <w:r w:rsidRPr="005C3EC8">
        <w:rPr>
          <w:rFonts w:ascii="Calibri" w:hAnsi="Calibri"/>
        </w:rPr>
        <w:t xml:space="preserve">has made </w:t>
      </w:r>
      <w:r w:rsidR="00B35678" w:rsidRPr="005C3EC8">
        <w:rPr>
          <w:rFonts w:ascii="Calibri" w:hAnsi="Calibri"/>
          <w:bCs/>
        </w:rPr>
        <w:t>satisfactory</w:t>
      </w:r>
      <w:r w:rsidR="00B35678" w:rsidRPr="005C3EC8">
        <w:rPr>
          <w:rFonts w:ascii="Calibri" w:hAnsi="Calibri"/>
          <w:b/>
          <w:bCs/>
        </w:rPr>
        <w:t xml:space="preserve"> </w:t>
      </w:r>
      <w:r w:rsidRPr="005C3EC8">
        <w:rPr>
          <w:rFonts w:ascii="Calibri" w:hAnsi="Calibri"/>
        </w:rPr>
        <w:t>progress in</w:t>
      </w:r>
      <w:bookmarkStart w:id="136" w:name="_Toc459133099"/>
      <w:bookmarkStart w:id="137" w:name="_Toc461803048"/>
      <w:bookmarkStart w:id="138" w:name="_Toc461787326"/>
      <w:bookmarkStart w:id="139" w:name="_Toc461795838"/>
      <w:bookmarkStart w:id="140" w:name="_Toc459133100"/>
      <w:r w:rsidR="00CB3023" w:rsidRPr="005C3EC8">
        <w:rPr>
          <w:rFonts w:ascii="Calibri" w:hAnsi="Calibri"/>
        </w:rPr>
        <w:t xml:space="preserve"> meeting this requirement. </w:t>
      </w:r>
      <w:r w:rsidR="00B35678" w:rsidRPr="005C3EC8">
        <w:rPr>
          <w:rFonts w:ascii="Calibri" w:hAnsi="Calibri"/>
        </w:rPr>
        <w:t xml:space="preserve">The 2016 EITI Report </w:t>
      </w:r>
      <w:r w:rsidR="00DC1FB3" w:rsidRPr="005C3EC8">
        <w:rPr>
          <w:rFonts w:ascii="Calibri" w:hAnsi="Calibri"/>
        </w:rPr>
        <w:t xml:space="preserve">provides an overview of the legal framework and fiscal regimes governing the oil and gas and mining and quarrying sectors, including an overview of the relevant laws and regulations, key government entities with jurisdiction, the degree of fiscal devolution and recent or ongoing reforms. </w:t>
      </w:r>
      <w:r w:rsidR="0048733D" w:rsidRPr="005C3EC8">
        <w:rPr>
          <w:rFonts w:ascii="Calibri" w:hAnsi="Calibri"/>
        </w:rPr>
        <w:t>In the International Secretariat’s view, the UK has gone beyond the minimum requirement in systematically disclosing all key information</w:t>
      </w:r>
      <w:r w:rsidR="00A617B3" w:rsidRPr="005C3EC8">
        <w:rPr>
          <w:rFonts w:ascii="Calibri" w:hAnsi="Calibri"/>
        </w:rPr>
        <w:t xml:space="preserve"> on relevant government websites (</w:t>
      </w:r>
      <w:r w:rsidR="00937465" w:rsidRPr="005C3EC8">
        <w:rPr>
          <w:rFonts w:ascii="Calibri" w:hAnsi="Calibri"/>
        </w:rPr>
        <w:t>Oil and Gas Authority</w:t>
      </w:r>
      <w:r w:rsidR="00A617B3" w:rsidRPr="005C3EC8">
        <w:rPr>
          <w:rFonts w:ascii="Calibri" w:hAnsi="Calibri"/>
        </w:rPr>
        <w:t xml:space="preserve">, </w:t>
      </w:r>
      <w:r w:rsidR="00937465" w:rsidRPr="005C3EC8">
        <w:rPr>
          <w:rFonts w:ascii="Calibri" w:hAnsi="Calibri"/>
        </w:rPr>
        <w:t>Coal Authority</w:t>
      </w:r>
      <w:r w:rsidR="00A617B3" w:rsidRPr="005C3EC8">
        <w:rPr>
          <w:rFonts w:ascii="Calibri" w:hAnsi="Calibri"/>
        </w:rPr>
        <w:t xml:space="preserve">, </w:t>
      </w:r>
      <w:r w:rsidR="00937465" w:rsidRPr="005C3EC8">
        <w:rPr>
          <w:rFonts w:ascii="Calibri" w:hAnsi="Calibri"/>
        </w:rPr>
        <w:t>The Crown Estate</w:t>
      </w:r>
      <w:r w:rsidR="00A617B3" w:rsidRPr="005C3EC8">
        <w:rPr>
          <w:rFonts w:ascii="Calibri" w:hAnsi="Calibri"/>
        </w:rPr>
        <w:t xml:space="preserve">, </w:t>
      </w:r>
      <w:r w:rsidR="00937465" w:rsidRPr="005C3EC8">
        <w:rPr>
          <w:rFonts w:ascii="Calibri" w:hAnsi="Calibri"/>
        </w:rPr>
        <w:t>British Geological Survey</w:t>
      </w:r>
      <w:r w:rsidR="00A617B3" w:rsidRPr="005C3EC8">
        <w:rPr>
          <w:rFonts w:ascii="Calibri" w:hAnsi="Calibri"/>
        </w:rPr>
        <w:t>, Parliament, National Archives, etc.)</w:t>
      </w:r>
      <w:r w:rsidR="0048733D" w:rsidRPr="005C3EC8">
        <w:rPr>
          <w:rFonts w:ascii="Calibri" w:hAnsi="Calibri"/>
        </w:rPr>
        <w:t xml:space="preserve"> in accordance with Requirement 2.1. </w:t>
      </w:r>
    </w:p>
    <w:p w14:paraId="5F25B08A" w14:textId="6FC7C1A3" w:rsidR="0048733D" w:rsidRPr="005C3EC8" w:rsidRDefault="0048733D" w:rsidP="005275CE">
      <w:pPr>
        <w:rPr>
          <w:rFonts w:ascii="Calibri" w:hAnsi="Calibri"/>
        </w:rPr>
      </w:pPr>
      <w:r w:rsidRPr="005C3EC8">
        <w:rPr>
          <w:rFonts w:ascii="Calibri" w:hAnsi="Calibri"/>
        </w:rPr>
        <w:t xml:space="preserve">To strengthen implementation, the UK may wish to </w:t>
      </w:r>
      <w:r w:rsidR="0081488E" w:rsidRPr="005C3EC8">
        <w:rPr>
          <w:rFonts w:ascii="Calibri" w:hAnsi="Calibri"/>
        </w:rPr>
        <w:t>explore</w:t>
      </w:r>
      <w:r w:rsidRPr="005C3EC8">
        <w:rPr>
          <w:rFonts w:ascii="Calibri" w:hAnsi="Calibri"/>
        </w:rPr>
        <w:t xml:space="preserve"> </w:t>
      </w:r>
      <w:r w:rsidR="0081488E" w:rsidRPr="005C3EC8">
        <w:rPr>
          <w:rFonts w:ascii="Calibri" w:hAnsi="Calibri"/>
        </w:rPr>
        <w:t>options for further improving the accessibility of online information on the legal and fiscal environment for oil and gas, mining and quarrying</w:t>
      </w:r>
      <w:r w:rsidR="00E47803" w:rsidRPr="005C3EC8">
        <w:rPr>
          <w:rFonts w:ascii="Calibri" w:hAnsi="Calibri"/>
        </w:rPr>
        <w:t>, perhaps through an online EITI disclosures page</w:t>
      </w:r>
      <w:r w:rsidR="0081488E" w:rsidRPr="005C3EC8">
        <w:rPr>
          <w:rFonts w:ascii="Calibri" w:hAnsi="Calibri"/>
        </w:rPr>
        <w:t xml:space="preserve">. </w:t>
      </w:r>
      <w:r w:rsidR="000661E2" w:rsidRPr="005C3EC8">
        <w:rPr>
          <w:rFonts w:ascii="Calibri" w:hAnsi="Calibri"/>
        </w:rPr>
        <w:t xml:space="preserve">Stakeholders may wish to consider the scope for using EITI reporting as a diagnostic tool for tracking the </w:t>
      </w:r>
      <w:r w:rsidR="00A617B3" w:rsidRPr="005C3EC8">
        <w:rPr>
          <w:rFonts w:ascii="Calibri" w:hAnsi="Calibri"/>
        </w:rPr>
        <w:t xml:space="preserve">impact </w:t>
      </w:r>
      <w:r w:rsidR="000661E2" w:rsidRPr="005C3EC8">
        <w:rPr>
          <w:rFonts w:ascii="Calibri" w:hAnsi="Calibri"/>
        </w:rPr>
        <w:t>of legal</w:t>
      </w:r>
      <w:r w:rsidR="00B83FCB" w:rsidRPr="005C3EC8">
        <w:rPr>
          <w:rFonts w:ascii="Calibri" w:hAnsi="Calibri"/>
        </w:rPr>
        <w:t>,</w:t>
      </w:r>
      <w:r w:rsidR="000661E2" w:rsidRPr="005C3EC8">
        <w:rPr>
          <w:rFonts w:ascii="Calibri" w:hAnsi="Calibri"/>
        </w:rPr>
        <w:t xml:space="preserve"> regulatory </w:t>
      </w:r>
      <w:r w:rsidR="00B83FCB" w:rsidRPr="005C3EC8">
        <w:rPr>
          <w:rFonts w:ascii="Calibri" w:hAnsi="Calibri"/>
        </w:rPr>
        <w:t xml:space="preserve">and fiscal </w:t>
      </w:r>
      <w:r w:rsidR="00A617B3" w:rsidRPr="005C3EC8">
        <w:rPr>
          <w:rFonts w:ascii="Calibri" w:hAnsi="Calibri"/>
        </w:rPr>
        <w:t>reforms</w:t>
      </w:r>
      <w:r w:rsidR="000661E2" w:rsidRPr="005C3EC8">
        <w:rPr>
          <w:rFonts w:ascii="Calibri" w:hAnsi="Calibri"/>
        </w:rPr>
        <w:t xml:space="preserve">. </w:t>
      </w:r>
    </w:p>
    <w:p w14:paraId="47E6042D" w14:textId="7AC9DC48" w:rsidR="00A441F1" w:rsidRPr="005C3EC8" w:rsidRDefault="000722F1" w:rsidP="0097728B">
      <w:pPr>
        <w:pStyle w:val="Heading2"/>
      </w:pPr>
      <w:bookmarkStart w:id="141" w:name="_Toc462149183"/>
      <w:r w:rsidRPr="005C3EC8">
        <w:t>L</w:t>
      </w:r>
      <w:r w:rsidR="00A441F1" w:rsidRPr="005C3EC8">
        <w:t>icense allocations (#</w:t>
      </w:r>
      <w:r w:rsidR="00EE25D1" w:rsidRPr="005C3EC8">
        <w:t>2</w:t>
      </w:r>
      <w:r w:rsidR="00A441F1" w:rsidRPr="005C3EC8">
        <w:t>.</w:t>
      </w:r>
      <w:r w:rsidR="00EE25D1" w:rsidRPr="005C3EC8">
        <w:t>2</w:t>
      </w:r>
      <w:r w:rsidR="00A441F1" w:rsidRPr="005C3EC8">
        <w:t>)</w:t>
      </w:r>
      <w:bookmarkEnd w:id="136"/>
      <w:bookmarkEnd w:id="137"/>
      <w:bookmarkEnd w:id="138"/>
      <w:bookmarkEnd w:id="139"/>
      <w:bookmarkEnd w:id="141"/>
    </w:p>
    <w:bookmarkEnd w:id="140"/>
    <w:p w14:paraId="4397DE19" w14:textId="3578B882" w:rsidR="00511D85" w:rsidRPr="005C3EC8" w:rsidRDefault="00F425D1" w:rsidP="0097728B">
      <w:pPr>
        <w:pStyle w:val="Heading3"/>
      </w:pPr>
      <w:r w:rsidRPr="005C3EC8">
        <w:t>Documentation of progress</w:t>
      </w:r>
      <w:r w:rsidR="002103DA" w:rsidRPr="005C3EC8">
        <w:t xml:space="preserve"> </w:t>
      </w:r>
    </w:p>
    <w:p w14:paraId="61CFC038" w14:textId="64E7BB7D" w:rsidR="00C46F55" w:rsidRPr="005C3EC8" w:rsidRDefault="00C46F55" w:rsidP="00C46F55">
      <w:pPr>
        <w:spacing w:before="120"/>
        <w:rPr>
          <w:rFonts w:ascii="Calibri" w:hAnsi="Calibri"/>
        </w:rPr>
      </w:pPr>
      <w:r w:rsidRPr="005C3EC8">
        <w:rPr>
          <w:rFonts w:ascii="Calibri" w:hAnsi="Calibri"/>
          <w:b/>
          <w:i/>
        </w:rPr>
        <w:t xml:space="preserve">Systematic disclosures: </w:t>
      </w:r>
      <w:r w:rsidR="001A7240" w:rsidRPr="005C3EC8">
        <w:rPr>
          <w:rFonts w:ascii="Calibri" w:hAnsi="Calibri"/>
        </w:rPr>
        <w:t xml:space="preserve">For </w:t>
      </w:r>
      <w:r w:rsidR="001A7240" w:rsidRPr="005C3EC8">
        <w:rPr>
          <w:rFonts w:ascii="Calibri" w:hAnsi="Calibri"/>
          <w:i/>
        </w:rPr>
        <w:t>oil and gas</w:t>
      </w:r>
      <w:r w:rsidR="001A7240" w:rsidRPr="005C3EC8">
        <w:rPr>
          <w:rFonts w:ascii="Calibri" w:hAnsi="Calibri"/>
        </w:rPr>
        <w:t>, t</w:t>
      </w:r>
      <w:r w:rsidR="007C2E46" w:rsidRPr="005C3EC8">
        <w:rPr>
          <w:rFonts w:ascii="Calibri" w:hAnsi="Calibri"/>
        </w:rPr>
        <w:t xml:space="preserve">he OGA </w:t>
      </w:r>
      <w:r w:rsidR="001A7240" w:rsidRPr="005C3EC8">
        <w:rPr>
          <w:rFonts w:ascii="Calibri" w:hAnsi="Calibri"/>
        </w:rPr>
        <w:t xml:space="preserve">website provides </w:t>
      </w:r>
      <w:r w:rsidR="007C2E46" w:rsidRPr="005C3EC8">
        <w:rPr>
          <w:rFonts w:ascii="Calibri" w:hAnsi="Calibri"/>
        </w:rPr>
        <w:t>information on all oil and gas licenses searchable by number, block and company</w:t>
      </w:r>
      <w:r w:rsidR="007C2E46" w:rsidRPr="005C3EC8">
        <w:rPr>
          <w:rStyle w:val="FootnoteReference"/>
          <w:rFonts w:ascii="Calibri" w:hAnsi="Calibri"/>
        </w:rPr>
        <w:footnoteReference w:id="93"/>
      </w:r>
      <w:r w:rsidR="007C2E46" w:rsidRPr="005C3EC8">
        <w:rPr>
          <w:rFonts w:ascii="Calibri" w:hAnsi="Calibri"/>
        </w:rPr>
        <w:t xml:space="preserve"> </w:t>
      </w:r>
      <w:r w:rsidR="001A7240" w:rsidRPr="005C3EC8">
        <w:rPr>
          <w:rFonts w:ascii="Calibri" w:hAnsi="Calibri"/>
        </w:rPr>
        <w:t>and a detailed overview of the licensing process, including technical and financial criteria.</w:t>
      </w:r>
      <w:r w:rsidR="001A7240" w:rsidRPr="005C3EC8">
        <w:rPr>
          <w:rStyle w:val="FootnoteReference"/>
          <w:rFonts w:ascii="Calibri" w:hAnsi="Calibri"/>
        </w:rPr>
        <w:footnoteReference w:id="94"/>
      </w:r>
      <w:r w:rsidR="001A7240" w:rsidRPr="005C3EC8">
        <w:rPr>
          <w:rFonts w:ascii="Calibri" w:hAnsi="Calibri"/>
        </w:rPr>
        <w:t xml:space="preserve"> </w:t>
      </w:r>
      <w:r w:rsidR="009021F9" w:rsidRPr="005C3EC8">
        <w:rPr>
          <w:rFonts w:ascii="Calibri" w:hAnsi="Calibri"/>
        </w:rPr>
        <w:t>The OGA website provides all information related to bidding rounds on its website</w:t>
      </w:r>
      <w:r w:rsidR="009021F9" w:rsidRPr="005C3EC8">
        <w:rPr>
          <w:rStyle w:val="FootnoteReference"/>
          <w:rFonts w:ascii="Calibri" w:hAnsi="Calibri"/>
        </w:rPr>
        <w:footnoteReference w:id="95"/>
      </w:r>
      <w:r w:rsidR="00BE34E5" w:rsidRPr="005C3EC8">
        <w:rPr>
          <w:rFonts w:ascii="Calibri" w:hAnsi="Calibri"/>
        </w:rPr>
        <w:t xml:space="preserve">, including </w:t>
      </w:r>
      <w:r w:rsidR="009021F9" w:rsidRPr="005C3EC8">
        <w:rPr>
          <w:rFonts w:ascii="Calibri" w:hAnsi="Calibri"/>
        </w:rPr>
        <w:t>successful bidders</w:t>
      </w:r>
      <w:r w:rsidR="00BE34E5" w:rsidRPr="005C3EC8">
        <w:rPr>
          <w:rFonts w:ascii="Calibri" w:hAnsi="Calibri"/>
        </w:rPr>
        <w:t xml:space="preserve"> but not the full list of bidders. </w:t>
      </w:r>
      <w:r w:rsidR="001A7240" w:rsidRPr="005C3EC8">
        <w:rPr>
          <w:rFonts w:ascii="Calibri" w:hAnsi="Calibri"/>
        </w:rPr>
        <w:t xml:space="preserve">The </w:t>
      </w:r>
      <w:r w:rsidR="007C2E46" w:rsidRPr="005C3EC8">
        <w:rPr>
          <w:rFonts w:ascii="Calibri" w:hAnsi="Calibri"/>
        </w:rPr>
        <w:t xml:space="preserve">DfE </w:t>
      </w:r>
      <w:r w:rsidR="001A7240" w:rsidRPr="005C3EC8">
        <w:rPr>
          <w:rFonts w:ascii="Calibri" w:hAnsi="Calibri"/>
        </w:rPr>
        <w:t xml:space="preserve">website provides a description of the licensing process and </w:t>
      </w:r>
      <w:r w:rsidR="007C2E46" w:rsidRPr="005C3EC8">
        <w:rPr>
          <w:rFonts w:ascii="Calibri" w:hAnsi="Calibri"/>
        </w:rPr>
        <w:t>data on the sole oil and gas license onshore Northern Ireland.</w:t>
      </w:r>
      <w:r w:rsidR="007C2E46" w:rsidRPr="005C3EC8">
        <w:rPr>
          <w:rStyle w:val="FootnoteReference"/>
          <w:rFonts w:ascii="Calibri" w:hAnsi="Calibri"/>
        </w:rPr>
        <w:footnoteReference w:id="96"/>
      </w:r>
      <w:r w:rsidR="001A7240" w:rsidRPr="005C3EC8">
        <w:rPr>
          <w:rFonts w:ascii="Calibri" w:hAnsi="Calibri"/>
        </w:rPr>
        <w:t xml:space="preserve"> </w:t>
      </w:r>
      <w:r w:rsidR="006F36A1" w:rsidRPr="005C3EC8">
        <w:rPr>
          <w:rFonts w:ascii="Calibri" w:hAnsi="Calibri"/>
        </w:rPr>
        <w:t xml:space="preserve">However, there is no publicly-accessible system for tracking transfers of licenses (or participating interest therein) in either oil and gas or mining and quarrying. While </w:t>
      </w:r>
      <w:r w:rsidR="001A7240" w:rsidRPr="005C3EC8">
        <w:rPr>
          <w:rFonts w:ascii="Calibri" w:hAnsi="Calibri"/>
        </w:rPr>
        <w:t>there is insufficient information online</w:t>
      </w:r>
      <w:r w:rsidR="006F36A1" w:rsidRPr="005C3EC8">
        <w:rPr>
          <w:rStyle w:val="FootnoteReference"/>
          <w:rFonts w:ascii="Calibri" w:hAnsi="Calibri"/>
        </w:rPr>
        <w:footnoteReference w:id="97"/>
      </w:r>
      <w:r w:rsidR="001A7240" w:rsidRPr="005C3EC8">
        <w:rPr>
          <w:rFonts w:ascii="Calibri" w:hAnsi="Calibri"/>
        </w:rPr>
        <w:t xml:space="preserve"> to assess non-trivial deviations from the statutory procedures for awarding </w:t>
      </w:r>
      <w:r w:rsidR="00404573" w:rsidRPr="005C3EC8">
        <w:rPr>
          <w:rFonts w:ascii="Calibri" w:hAnsi="Calibri"/>
        </w:rPr>
        <w:t>oil and gas</w:t>
      </w:r>
      <w:r w:rsidR="006F36A1" w:rsidRPr="005C3EC8">
        <w:rPr>
          <w:rFonts w:ascii="Calibri" w:hAnsi="Calibri"/>
        </w:rPr>
        <w:t xml:space="preserve"> </w:t>
      </w:r>
      <w:r w:rsidR="001A7240" w:rsidRPr="005C3EC8">
        <w:rPr>
          <w:rFonts w:ascii="Calibri" w:hAnsi="Calibri"/>
        </w:rPr>
        <w:t>licenses</w:t>
      </w:r>
      <w:r w:rsidR="006F36A1" w:rsidRPr="005C3EC8">
        <w:rPr>
          <w:rFonts w:ascii="Calibri" w:hAnsi="Calibri"/>
        </w:rPr>
        <w:t xml:space="preserve">, </w:t>
      </w:r>
      <w:r w:rsidR="00F853D7" w:rsidRPr="005C3EC8">
        <w:rPr>
          <w:rFonts w:ascii="Calibri" w:hAnsi="Calibri"/>
        </w:rPr>
        <w:t xml:space="preserve">there appears to be a high level of public trust in the </w:t>
      </w:r>
      <w:r w:rsidR="00404573" w:rsidRPr="005C3EC8">
        <w:rPr>
          <w:rFonts w:ascii="Calibri" w:hAnsi="Calibri"/>
        </w:rPr>
        <w:t>OGA based on stakeholder consultations</w:t>
      </w:r>
      <w:r w:rsidR="001A7240" w:rsidRPr="005C3EC8">
        <w:rPr>
          <w:rFonts w:ascii="Calibri" w:hAnsi="Calibri"/>
        </w:rPr>
        <w:t xml:space="preserve">. </w:t>
      </w:r>
      <w:r w:rsidR="00DC72BD" w:rsidRPr="005C3EC8">
        <w:rPr>
          <w:rFonts w:ascii="Calibri" w:hAnsi="Calibri"/>
        </w:rPr>
        <w:t xml:space="preserve"> </w:t>
      </w:r>
      <w:r w:rsidR="0012569D" w:rsidRPr="005C3EC8">
        <w:rPr>
          <w:rFonts w:ascii="Calibri" w:hAnsi="Calibri"/>
        </w:rPr>
        <w:t xml:space="preserve">  </w:t>
      </w:r>
    </w:p>
    <w:p w14:paraId="2D41E4FB" w14:textId="77EB20FB" w:rsidR="00433024" w:rsidRPr="005C3EC8" w:rsidRDefault="001953E8" w:rsidP="00F425D1">
      <w:pPr>
        <w:spacing w:before="120"/>
        <w:rPr>
          <w:rFonts w:ascii="Calibri" w:hAnsi="Calibri"/>
          <w:bCs/>
        </w:rPr>
      </w:pPr>
      <w:r w:rsidRPr="005C3EC8">
        <w:rPr>
          <w:rFonts w:ascii="Calibri" w:hAnsi="Calibri"/>
          <w:bCs/>
        </w:rPr>
        <w:t xml:space="preserve">In </w:t>
      </w:r>
      <w:r w:rsidRPr="005C3EC8">
        <w:rPr>
          <w:rFonts w:ascii="Calibri" w:hAnsi="Calibri"/>
          <w:bCs/>
          <w:i/>
        </w:rPr>
        <w:t>mining and quarrying</w:t>
      </w:r>
      <w:r w:rsidRPr="005C3EC8">
        <w:rPr>
          <w:rFonts w:ascii="Calibri" w:hAnsi="Calibri"/>
          <w:bCs/>
        </w:rPr>
        <w:t>, the report</w:t>
      </w:r>
      <w:r w:rsidR="00A638B5" w:rsidRPr="005C3EC8">
        <w:rPr>
          <w:rFonts w:ascii="Calibri" w:hAnsi="Calibri"/>
          <w:bCs/>
        </w:rPr>
        <w:t>’s description of the process for the TCE’s awarding</w:t>
      </w:r>
      <w:r w:rsidR="000971ED" w:rsidRPr="005C3EC8">
        <w:rPr>
          <w:rFonts w:ascii="Calibri" w:hAnsi="Calibri"/>
          <w:bCs/>
        </w:rPr>
        <w:t xml:space="preserve"> of</w:t>
      </w:r>
      <w:r w:rsidR="00A638B5" w:rsidRPr="005C3EC8">
        <w:rPr>
          <w:rFonts w:ascii="Calibri" w:hAnsi="Calibri"/>
          <w:bCs/>
        </w:rPr>
        <w:t xml:space="preserve"> </w:t>
      </w:r>
      <w:r w:rsidRPr="005C3EC8">
        <w:rPr>
          <w:rFonts w:ascii="Calibri" w:hAnsi="Calibri"/>
        </w:rPr>
        <w:t xml:space="preserve">land-based </w:t>
      </w:r>
      <w:r w:rsidRPr="005C3EC8">
        <w:rPr>
          <w:rFonts w:ascii="Calibri" w:hAnsi="Calibri"/>
        </w:rPr>
        <w:lastRenderedPageBreak/>
        <w:t xml:space="preserve">mining for </w:t>
      </w:r>
      <w:r w:rsidR="000971ED" w:rsidRPr="005C3EC8">
        <w:rPr>
          <w:rFonts w:ascii="Calibri" w:hAnsi="Calibri"/>
        </w:rPr>
        <w:t>construction materials</w:t>
      </w:r>
      <w:r w:rsidR="000971ED" w:rsidRPr="005C3EC8">
        <w:rPr>
          <w:rStyle w:val="FootnoteReference"/>
          <w:rFonts w:ascii="Calibri" w:hAnsi="Calibri"/>
        </w:rPr>
        <w:footnoteReference w:id="98"/>
      </w:r>
      <w:r w:rsidR="000971ED" w:rsidRPr="005C3EC8">
        <w:rPr>
          <w:rFonts w:ascii="Calibri" w:hAnsi="Calibri"/>
        </w:rPr>
        <w:t xml:space="preserve"> and of </w:t>
      </w:r>
      <w:r w:rsidRPr="005C3EC8">
        <w:rPr>
          <w:rFonts w:ascii="Calibri" w:hAnsi="Calibri"/>
        </w:rPr>
        <w:t xml:space="preserve">licenses for </w:t>
      </w:r>
      <w:r w:rsidR="006779F7" w:rsidRPr="005C3EC8">
        <w:rPr>
          <w:rFonts w:ascii="Calibri" w:hAnsi="Calibri"/>
        </w:rPr>
        <w:t xml:space="preserve">marine dredging of </w:t>
      </w:r>
      <w:r w:rsidRPr="005C3EC8">
        <w:rPr>
          <w:rFonts w:ascii="Calibri" w:hAnsi="Calibri"/>
        </w:rPr>
        <w:t>non-energy minerals</w:t>
      </w:r>
      <w:r w:rsidR="000971ED" w:rsidRPr="005C3EC8">
        <w:rPr>
          <w:rStyle w:val="FootnoteReference"/>
          <w:rFonts w:ascii="Calibri" w:hAnsi="Calibri"/>
        </w:rPr>
        <w:footnoteReference w:id="99"/>
      </w:r>
      <w:r w:rsidRPr="005C3EC8">
        <w:rPr>
          <w:rFonts w:ascii="Calibri" w:hAnsi="Calibri"/>
        </w:rPr>
        <w:t xml:space="preserve"> </w:t>
      </w:r>
      <w:r w:rsidR="00A638B5" w:rsidRPr="005C3EC8">
        <w:rPr>
          <w:rFonts w:ascii="Calibri" w:hAnsi="Calibri"/>
          <w:bCs/>
        </w:rPr>
        <w:t>does not detail the technical and financial criteria used for assessing applications</w:t>
      </w:r>
      <w:r w:rsidR="000971ED" w:rsidRPr="005C3EC8">
        <w:rPr>
          <w:rFonts w:ascii="Calibri" w:hAnsi="Calibri"/>
          <w:bCs/>
        </w:rPr>
        <w:t xml:space="preserve"> </w:t>
      </w:r>
      <w:r w:rsidR="000971ED" w:rsidRPr="005C3EC8">
        <w:rPr>
          <w:rFonts w:ascii="Calibri" w:hAnsi="Calibri"/>
        </w:rPr>
        <w:t>(pp.60-61)</w:t>
      </w:r>
      <w:r w:rsidRPr="005C3EC8">
        <w:rPr>
          <w:rFonts w:ascii="Calibri" w:hAnsi="Calibri"/>
        </w:rPr>
        <w:t xml:space="preserve">. </w:t>
      </w:r>
      <w:r w:rsidR="00A638B5" w:rsidRPr="005C3EC8">
        <w:rPr>
          <w:rFonts w:ascii="Calibri" w:hAnsi="Calibri"/>
        </w:rPr>
        <w:t>It is unclear from the report and publicly-accessible information</w:t>
      </w:r>
      <w:r w:rsidR="00137217" w:rsidRPr="005C3EC8">
        <w:rPr>
          <w:rFonts w:ascii="Calibri" w:hAnsi="Calibri"/>
        </w:rPr>
        <w:t xml:space="preserve"> </w:t>
      </w:r>
      <w:r w:rsidR="00A638B5" w:rsidRPr="005C3EC8">
        <w:rPr>
          <w:rFonts w:ascii="Calibri" w:hAnsi="Calibri"/>
        </w:rPr>
        <w:t xml:space="preserve">whether any technical or financial criteria are assessed in the transfer of licenses granted by TCE. </w:t>
      </w:r>
      <w:r w:rsidR="00541F2F" w:rsidRPr="005C3EC8">
        <w:rPr>
          <w:rFonts w:ascii="Calibri" w:hAnsi="Calibri"/>
        </w:rPr>
        <w:t xml:space="preserve"> </w:t>
      </w:r>
    </w:p>
    <w:p w14:paraId="19E94DCA" w14:textId="77777777" w:rsidR="00026580" w:rsidRPr="005C3EC8" w:rsidRDefault="00026580" w:rsidP="00C65785">
      <w:pPr>
        <w:pStyle w:val="Heading4"/>
      </w:pPr>
      <w:r w:rsidRPr="005C3EC8">
        <w:t>Oil and gas</w:t>
      </w:r>
    </w:p>
    <w:p w14:paraId="2659F0BD" w14:textId="54E8C80C" w:rsidR="00026580" w:rsidRPr="005C3EC8" w:rsidRDefault="00026580" w:rsidP="00026580">
      <w:pPr>
        <w:spacing w:before="120"/>
        <w:rPr>
          <w:rFonts w:ascii="Calibri" w:hAnsi="Calibri"/>
        </w:rPr>
      </w:pPr>
      <w:r w:rsidRPr="005C3EC8">
        <w:rPr>
          <w:rFonts w:ascii="Calibri" w:hAnsi="Calibri"/>
          <w:b/>
          <w:i/>
        </w:rPr>
        <w:t>Systematic disclosures:</w:t>
      </w:r>
      <w:r w:rsidRPr="005C3EC8">
        <w:rPr>
          <w:rFonts w:ascii="Calibri" w:hAnsi="Calibri"/>
        </w:rPr>
        <w:t xml:space="preserve"> </w:t>
      </w:r>
      <w:r w:rsidR="007C1353" w:rsidRPr="005C3EC8">
        <w:rPr>
          <w:rFonts w:ascii="Calibri" w:hAnsi="Calibri"/>
        </w:rPr>
        <w:t>T</w:t>
      </w:r>
      <w:r w:rsidRPr="005C3EC8">
        <w:rPr>
          <w:rFonts w:ascii="Calibri" w:hAnsi="Calibri"/>
        </w:rPr>
        <w:t>he OGA website provides information on all oil and gas licenses searchable by number, block and company</w:t>
      </w:r>
      <w:r w:rsidRPr="005C3EC8">
        <w:rPr>
          <w:rStyle w:val="FootnoteReference"/>
          <w:rFonts w:ascii="Calibri" w:hAnsi="Calibri"/>
        </w:rPr>
        <w:footnoteReference w:id="100"/>
      </w:r>
      <w:r w:rsidRPr="005C3EC8">
        <w:rPr>
          <w:rFonts w:ascii="Calibri" w:hAnsi="Calibri"/>
        </w:rPr>
        <w:t xml:space="preserve"> and a detailed overview of the licensing process, including technical and financial criteria.</w:t>
      </w:r>
      <w:r w:rsidRPr="005C3EC8">
        <w:rPr>
          <w:rStyle w:val="FootnoteReference"/>
          <w:rFonts w:ascii="Calibri" w:hAnsi="Calibri"/>
        </w:rPr>
        <w:footnoteReference w:id="101"/>
      </w:r>
      <w:r w:rsidRPr="005C3EC8">
        <w:rPr>
          <w:rFonts w:ascii="Calibri" w:hAnsi="Calibri"/>
        </w:rPr>
        <w:t xml:space="preserve"> The OGA website provides all information related to bidding rounds on its website</w:t>
      </w:r>
      <w:r w:rsidRPr="005C3EC8">
        <w:rPr>
          <w:rStyle w:val="FootnoteReference"/>
          <w:rFonts w:ascii="Calibri" w:hAnsi="Calibri"/>
        </w:rPr>
        <w:footnoteReference w:id="102"/>
      </w:r>
      <w:r w:rsidRPr="005C3EC8">
        <w:rPr>
          <w:rFonts w:ascii="Calibri" w:hAnsi="Calibri"/>
        </w:rPr>
        <w:t>, including successful bidders but not the full list of bidders. The DfE website provides a description of the licensing process and data on the sole oil and gas license onshore Northern Ireland.</w:t>
      </w:r>
      <w:r w:rsidRPr="005C3EC8">
        <w:rPr>
          <w:rStyle w:val="FootnoteReference"/>
          <w:rFonts w:ascii="Calibri" w:hAnsi="Calibri"/>
        </w:rPr>
        <w:footnoteReference w:id="103"/>
      </w:r>
      <w:r w:rsidRPr="005C3EC8">
        <w:rPr>
          <w:rFonts w:ascii="Calibri" w:hAnsi="Calibri"/>
        </w:rPr>
        <w:t xml:space="preserve"> However, there is no publicly-accessible system for tracking transfers of licenses (or participating interest therein) in either oil and gas or mining and quarrying. While there is insufficient information online</w:t>
      </w:r>
      <w:r w:rsidRPr="005C3EC8">
        <w:rPr>
          <w:rStyle w:val="FootnoteReference"/>
          <w:rFonts w:ascii="Calibri" w:hAnsi="Calibri"/>
        </w:rPr>
        <w:footnoteReference w:id="104"/>
      </w:r>
      <w:r w:rsidRPr="005C3EC8">
        <w:rPr>
          <w:rFonts w:ascii="Calibri" w:hAnsi="Calibri"/>
        </w:rPr>
        <w:t xml:space="preserve"> to assess non-trivial deviations from the statutory procedures for awarding oil and gas licenses, there appears to be a high level of public trust in the OGA based on stakeholder consultations.    </w:t>
      </w:r>
    </w:p>
    <w:p w14:paraId="637546E6" w14:textId="132B8947" w:rsidR="00026580" w:rsidRPr="005C3EC8" w:rsidRDefault="00026580" w:rsidP="00026580">
      <w:pPr>
        <w:rPr>
          <w:rFonts w:ascii="Calibri" w:hAnsi="Calibri"/>
          <w:bCs/>
        </w:rPr>
      </w:pPr>
      <w:r w:rsidRPr="005C3EC8">
        <w:rPr>
          <w:rFonts w:ascii="Calibri" w:hAnsi="Calibri"/>
          <w:b/>
          <w:i/>
        </w:rPr>
        <w:t>2016 EITI Report:</w:t>
      </w:r>
      <w:r w:rsidRPr="005C3EC8">
        <w:rPr>
          <w:rFonts w:ascii="Calibri" w:hAnsi="Calibri"/>
        </w:rPr>
        <w:t xml:space="preserve"> </w:t>
      </w:r>
      <w:r w:rsidR="007C1353" w:rsidRPr="005C3EC8">
        <w:rPr>
          <w:rFonts w:ascii="Calibri" w:hAnsi="Calibri"/>
        </w:rPr>
        <w:t>T</w:t>
      </w:r>
      <w:r w:rsidRPr="005C3EC8">
        <w:rPr>
          <w:rFonts w:ascii="Calibri" w:hAnsi="Calibri"/>
        </w:rPr>
        <w:t>he report implies that there were no license awards in 2016. It is stated that the 29</w:t>
      </w:r>
      <w:r w:rsidRPr="005C3EC8">
        <w:rPr>
          <w:rFonts w:ascii="Calibri" w:hAnsi="Calibri"/>
          <w:vertAlign w:val="superscript"/>
        </w:rPr>
        <w:t>th</w:t>
      </w:r>
      <w:r w:rsidRPr="005C3EC8">
        <w:rPr>
          <w:rFonts w:ascii="Calibri" w:hAnsi="Calibri"/>
        </w:rPr>
        <w:t xml:space="preserve"> </w:t>
      </w:r>
      <w:r w:rsidRPr="005C3EC8">
        <w:rPr>
          <w:rFonts w:ascii="Calibri" w:hAnsi="Calibri"/>
          <w:bCs/>
        </w:rPr>
        <w:t>offshore licensing round and the 2016 offshore supplementary round were both initiated in 2016, but were only concluded in 2017 (p.40). It notes that licenses were offered in December 2015 following the 14</w:t>
      </w:r>
      <w:r w:rsidRPr="005C3EC8">
        <w:rPr>
          <w:rFonts w:ascii="Calibri" w:hAnsi="Calibri"/>
          <w:bCs/>
          <w:vertAlign w:val="superscript"/>
        </w:rPr>
        <w:t>th</w:t>
      </w:r>
      <w:r w:rsidRPr="005C3EC8">
        <w:rPr>
          <w:rFonts w:ascii="Calibri" w:hAnsi="Calibri"/>
          <w:bCs/>
        </w:rPr>
        <w:t xml:space="preserve"> onshore licensing round (p.40), implying that none of these licenses were awarded in 2016. Although the report confirms that out-of-round license applications are possible, albeit only in “exceptional circumstances” (p.40), it does not explicitly state whether there were any out-of-round license allocations in 2016. While the report states that there were no non-trivial deviations from the legal and regulatory framework governing licence transfers during 2016 (p.40), it does not provide a list transfers of interests in oil and gas licenses in 2016. </w:t>
      </w:r>
    </w:p>
    <w:p w14:paraId="252DD979" w14:textId="3842833A" w:rsidR="00026580" w:rsidRPr="005C3EC8" w:rsidRDefault="00026580" w:rsidP="00026580">
      <w:pPr>
        <w:spacing w:before="120"/>
        <w:rPr>
          <w:rFonts w:ascii="Calibri" w:hAnsi="Calibri"/>
        </w:rPr>
      </w:pPr>
      <w:r w:rsidRPr="005C3EC8">
        <w:rPr>
          <w:rFonts w:ascii="Calibri" w:hAnsi="Calibri"/>
          <w:i/>
          <w:u w:val="single"/>
        </w:rPr>
        <w:t>Award/transfer process:</w:t>
      </w:r>
      <w:r w:rsidRPr="005C3EC8">
        <w:rPr>
          <w:rFonts w:ascii="Calibri" w:hAnsi="Calibri"/>
        </w:rPr>
        <w:t xml:space="preserve"> The report provides an overview of the different types of oil and gas licenses available from both OGA (in Great Britain and offshore Northern Ireland) and the DfE (onshore in Northern Ireland) (pp.41-42). In Great Britain and offshore Northern Ireland, the report describes the process for OGA’s awarding of licenses through regular licensing rounds, where bidders are pre-qualified, as well as through direct applications outside of licensing rounds “only in exceptional circumstances” (p.40). A brief description of the process for transferring licenses awarded by OGA is provided, with a link</w:t>
      </w:r>
      <w:r w:rsidRPr="005C3EC8">
        <w:rPr>
          <w:rFonts w:ascii="Calibri" w:hAnsi="Calibri"/>
          <w:vertAlign w:val="superscript"/>
        </w:rPr>
        <w:footnoteReference w:id="105"/>
      </w:r>
      <w:r w:rsidRPr="005C3EC8">
        <w:rPr>
          <w:rFonts w:ascii="Calibri" w:hAnsi="Calibri"/>
        </w:rPr>
        <w:t xml:space="preserve"> provided to the OGA webpage with guidance on license transfers (p.41). Onshore Northern Ireland, the report confirms that the DfE is responsible for awarding licenses that are similar to onshore Petroleum Exploration and Development Licences (PEDLs) in Great Britain (pp.40,42). However, it does not explain the process for awarding or transferring oil and gas licenses onshore Northern Ireland from the DfE. However, the report provides a link to the relevant DfE webpage (p.40), which provides guidance </w:t>
      </w:r>
      <w:r w:rsidRPr="005C3EC8">
        <w:rPr>
          <w:rFonts w:ascii="Calibri" w:hAnsi="Calibri"/>
        </w:rPr>
        <w:lastRenderedPageBreak/>
        <w:t>on the process for awards of oil and gas licenses</w:t>
      </w:r>
      <w:r w:rsidRPr="005C3EC8">
        <w:rPr>
          <w:rStyle w:val="FootnoteReference"/>
          <w:rFonts w:ascii="Calibri" w:hAnsi="Calibri"/>
        </w:rPr>
        <w:footnoteReference w:id="106"/>
      </w:r>
      <w:r w:rsidR="00B90177" w:rsidRPr="005C3EC8">
        <w:rPr>
          <w:rFonts w:ascii="Calibri" w:hAnsi="Calibri"/>
        </w:rPr>
        <w:t>, but not for transfers of</w:t>
      </w:r>
      <w:r w:rsidRPr="005C3EC8">
        <w:rPr>
          <w:rFonts w:ascii="Calibri" w:hAnsi="Calibri"/>
        </w:rPr>
        <w:t xml:space="preserve"> licenses.</w:t>
      </w:r>
    </w:p>
    <w:p w14:paraId="6AFCAA5B" w14:textId="77777777" w:rsidR="00026580" w:rsidRPr="005C3EC8" w:rsidRDefault="00026580" w:rsidP="00026580">
      <w:pPr>
        <w:spacing w:before="120"/>
        <w:rPr>
          <w:rFonts w:ascii="Calibri" w:hAnsi="Calibri"/>
          <w:b/>
          <w:i/>
        </w:rPr>
      </w:pPr>
      <w:r w:rsidRPr="005C3EC8">
        <w:rPr>
          <w:rFonts w:ascii="Calibri" w:hAnsi="Calibri"/>
          <w:bCs/>
        </w:rPr>
        <w:t>The report indicates that several permissions related to shale gas exploration were awarded in 2016 (p.52), explaining that North Yorkshire County Council granted Third Energy permission to hydraulically fracture an existing vertical well at its Kirby Misperton site in May 2016</w:t>
      </w:r>
      <w:r w:rsidRPr="005C3EC8">
        <w:rPr>
          <w:rFonts w:ascii="Calibri" w:hAnsi="Calibri"/>
          <w:bCs/>
          <w:vertAlign w:val="superscript"/>
        </w:rPr>
        <w:footnoteReference w:id="107"/>
      </w:r>
      <w:r w:rsidRPr="005C3EC8">
        <w:rPr>
          <w:rFonts w:ascii="Calibri" w:hAnsi="Calibri"/>
          <w:bCs/>
        </w:rPr>
        <w:t xml:space="preserve"> (p.52). It also reports that Nottinghamshire County Council approved an application to drill an exploratory well at the Springs Road site in October 2016, although the application did not include plans for hydraulic fracking</w:t>
      </w:r>
      <w:r w:rsidRPr="005C3EC8">
        <w:rPr>
          <w:rFonts w:ascii="Calibri" w:hAnsi="Calibri"/>
          <w:bCs/>
          <w:vertAlign w:val="superscript"/>
        </w:rPr>
        <w:footnoteReference w:id="108"/>
      </w:r>
      <w:r w:rsidRPr="005C3EC8">
        <w:rPr>
          <w:rFonts w:ascii="Calibri" w:hAnsi="Calibri"/>
          <w:bCs/>
        </w:rPr>
        <w:t xml:space="preserve"> (p.52).</w:t>
      </w:r>
    </w:p>
    <w:p w14:paraId="7A20561F" w14:textId="5E727EAE" w:rsidR="00026580" w:rsidRPr="005C3EC8" w:rsidRDefault="00026580" w:rsidP="00026580">
      <w:pPr>
        <w:spacing w:before="120"/>
        <w:rPr>
          <w:rFonts w:ascii="Calibri" w:hAnsi="Calibri"/>
        </w:rPr>
      </w:pPr>
      <w:r w:rsidRPr="005C3EC8">
        <w:rPr>
          <w:rFonts w:ascii="Calibri" w:hAnsi="Calibri"/>
          <w:i/>
          <w:u w:val="single"/>
        </w:rPr>
        <w:t>Technical and financial criteria</w:t>
      </w:r>
      <w:r w:rsidRPr="005C3EC8">
        <w:rPr>
          <w:rFonts w:ascii="Calibri" w:hAnsi="Calibri"/>
        </w:rPr>
        <w:t>: The report describes set technical and financial criteria announced in advance of bidding rounds through the Official Journal of the European Union and provides a link</w:t>
      </w:r>
      <w:r w:rsidRPr="005C3EC8">
        <w:rPr>
          <w:rStyle w:val="FootnoteReference"/>
          <w:rFonts w:ascii="Calibri" w:hAnsi="Calibri"/>
        </w:rPr>
        <w:footnoteReference w:id="109"/>
      </w:r>
      <w:r w:rsidRPr="005C3EC8">
        <w:rPr>
          <w:rFonts w:ascii="Calibri" w:hAnsi="Calibri"/>
        </w:rPr>
        <w:t xml:space="preserve"> to criteria for the 14</w:t>
      </w:r>
      <w:r w:rsidRPr="005C3EC8">
        <w:rPr>
          <w:rFonts w:ascii="Calibri" w:hAnsi="Calibri"/>
          <w:vertAlign w:val="superscript"/>
        </w:rPr>
        <w:t>th</w:t>
      </w:r>
      <w:r w:rsidRPr="005C3EC8">
        <w:rPr>
          <w:rFonts w:ascii="Calibri" w:hAnsi="Calibri"/>
        </w:rPr>
        <w:t xml:space="preserve"> onshore licensing round in the licensing round announcement (p.41). The report provides a link</w:t>
      </w:r>
      <w:r w:rsidRPr="005C3EC8">
        <w:rPr>
          <w:rFonts w:ascii="Calibri" w:hAnsi="Calibri"/>
          <w:vertAlign w:val="superscript"/>
        </w:rPr>
        <w:footnoteReference w:id="110"/>
      </w:r>
      <w:r w:rsidRPr="005C3EC8">
        <w:rPr>
          <w:rFonts w:ascii="Calibri" w:hAnsi="Calibri"/>
        </w:rPr>
        <w:t xml:space="preserve"> to the OGA webpage with guidance on license transfers (p.41), which in turn leads to the OGA webpage</w:t>
      </w:r>
      <w:r w:rsidRPr="005C3EC8">
        <w:rPr>
          <w:rFonts w:ascii="Calibri" w:hAnsi="Calibri"/>
          <w:vertAlign w:val="superscript"/>
        </w:rPr>
        <w:footnoteReference w:id="111"/>
      </w:r>
      <w:r w:rsidRPr="005C3EC8">
        <w:rPr>
          <w:rFonts w:ascii="Calibri" w:hAnsi="Calibri"/>
        </w:rPr>
        <w:t xml:space="preserve"> covering the technical and financial criteria assessed in oil and gas for both license awards and transfers. </w:t>
      </w:r>
      <w:r w:rsidR="00CB4A51" w:rsidRPr="005C3EC8">
        <w:rPr>
          <w:rFonts w:ascii="Calibri" w:hAnsi="Calibri"/>
        </w:rPr>
        <w:t>T</w:t>
      </w:r>
      <w:r w:rsidR="000C5DBC" w:rsidRPr="005C3EC8">
        <w:rPr>
          <w:rFonts w:ascii="Calibri" w:hAnsi="Calibri"/>
        </w:rPr>
        <w:t>he DfE website</w:t>
      </w:r>
      <w:r w:rsidR="00CB4A51" w:rsidRPr="005C3EC8">
        <w:rPr>
          <w:rFonts w:ascii="Calibri" w:hAnsi="Calibri"/>
        </w:rPr>
        <w:t xml:space="preserve"> referred to in the report (p.40) includes guidance for applicants on the technical and financial criteria assessed</w:t>
      </w:r>
      <w:r w:rsidR="0076463A" w:rsidRPr="005C3EC8">
        <w:rPr>
          <w:rFonts w:ascii="Calibri" w:hAnsi="Calibri"/>
        </w:rPr>
        <w:t xml:space="preserve"> for onshore petroleum license awards</w:t>
      </w:r>
      <w:r w:rsidR="0076463A" w:rsidRPr="005C3EC8">
        <w:rPr>
          <w:rStyle w:val="FootnoteReference"/>
          <w:rFonts w:ascii="Calibri" w:hAnsi="Calibri"/>
        </w:rPr>
        <w:footnoteReference w:id="112"/>
      </w:r>
      <w:r w:rsidR="00F11D19" w:rsidRPr="005C3EC8">
        <w:rPr>
          <w:rFonts w:ascii="Calibri" w:hAnsi="Calibri"/>
        </w:rPr>
        <w:t xml:space="preserve"> as well as an overview of the way in which criteria are assessed.</w:t>
      </w:r>
      <w:r w:rsidR="00F11D19" w:rsidRPr="005C3EC8">
        <w:rPr>
          <w:rStyle w:val="FootnoteReference"/>
          <w:rFonts w:ascii="Calibri" w:hAnsi="Calibri"/>
        </w:rPr>
        <w:footnoteReference w:id="113"/>
      </w:r>
    </w:p>
    <w:p w14:paraId="4594E736" w14:textId="77777777" w:rsidR="00026580" w:rsidRPr="005C3EC8" w:rsidRDefault="00026580" w:rsidP="00026580">
      <w:pPr>
        <w:spacing w:before="120"/>
        <w:rPr>
          <w:rFonts w:ascii="Calibri" w:hAnsi="Calibri"/>
        </w:rPr>
      </w:pPr>
      <w:r w:rsidRPr="005C3EC8">
        <w:rPr>
          <w:rFonts w:ascii="Calibri" w:hAnsi="Calibri"/>
          <w:i/>
          <w:u w:val="single"/>
        </w:rPr>
        <w:t>License transferee information</w:t>
      </w:r>
      <w:r w:rsidRPr="005C3EC8">
        <w:rPr>
          <w:rFonts w:ascii="Calibri" w:hAnsi="Calibri"/>
        </w:rPr>
        <w:t xml:space="preserve">: While the 2016 EITI Report implies the existence of oil and gas license transfers in 2016 (p.40), it does not provide a list of licenses transferred, nor names of companies involved. </w:t>
      </w:r>
    </w:p>
    <w:p w14:paraId="7C76D782" w14:textId="77777777" w:rsidR="00026580" w:rsidRPr="005C3EC8" w:rsidRDefault="00026580" w:rsidP="00026580">
      <w:pPr>
        <w:spacing w:before="120"/>
        <w:rPr>
          <w:rFonts w:ascii="Calibri" w:hAnsi="Calibri"/>
          <w:bCs/>
        </w:rPr>
      </w:pPr>
      <w:r w:rsidRPr="005C3EC8">
        <w:rPr>
          <w:rFonts w:ascii="Calibri" w:hAnsi="Calibri"/>
          <w:i/>
          <w:u w:val="single"/>
        </w:rPr>
        <w:t>Non-trivial deviations</w:t>
      </w:r>
      <w:r w:rsidRPr="005C3EC8">
        <w:rPr>
          <w:rFonts w:ascii="Calibri" w:hAnsi="Calibri"/>
        </w:rPr>
        <w:t xml:space="preserve">: Despite the lack of clarity in the 2016 EITI Report about the existence and number of license transfers in 2016, the report states that there were no non-trivial deviations in oil and gas license transfers in 2016 (p.40). </w:t>
      </w:r>
    </w:p>
    <w:p w14:paraId="76368EB5" w14:textId="77777777" w:rsidR="00026580" w:rsidRPr="005C3EC8" w:rsidRDefault="00026580" w:rsidP="00026580">
      <w:pPr>
        <w:spacing w:before="120"/>
        <w:rPr>
          <w:rFonts w:ascii="Calibri" w:hAnsi="Calibri"/>
          <w:bCs/>
        </w:rPr>
      </w:pPr>
      <w:r w:rsidRPr="005C3EC8">
        <w:rPr>
          <w:rFonts w:ascii="Calibri" w:hAnsi="Calibri"/>
          <w:i/>
          <w:u w:val="single"/>
        </w:rPr>
        <w:t>Comprehensiveness</w:t>
      </w:r>
      <w:r w:rsidRPr="005C3EC8">
        <w:rPr>
          <w:rFonts w:ascii="Calibri" w:hAnsi="Calibri"/>
        </w:rPr>
        <w:t>: The report refers to licensing outside of the period under review, including the 14</w:t>
      </w:r>
      <w:r w:rsidRPr="005C3EC8">
        <w:rPr>
          <w:rFonts w:ascii="Calibri" w:hAnsi="Calibri"/>
          <w:vertAlign w:val="superscript"/>
        </w:rPr>
        <w:t>th</w:t>
      </w:r>
      <w:r w:rsidRPr="005C3EC8">
        <w:rPr>
          <w:rFonts w:ascii="Calibri" w:hAnsi="Calibri"/>
        </w:rPr>
        <w:t xml:space="preserve"> onshore licensing round in late 2015 (pp.40-41), the 29</w:t>
      </w:r>
      <w:r w:rsidRPr="005C3EC8">
        <w:rPr>
          <w:rFonts w:ascii="Calibri" w:hAnsi="Calibri"/>
          <w:vertAlign w:val="superscript"/>
        </w:rPr>
        <w:t>th</w:t>
      </w:r>
      <w:r w:rsidRPr="005C3EC8">
        <w:rPr>
          <w:rFonts w:ascii="Calibri" w:hAnsi="Calibri"/>
        </w:rPr>
        <w:t xml:space="preserve"> </w:t>
      </w:r>
      <w:r w:rsidRPr="005C3EC8">
        <w:rPr>
          <w:rFonts w:ascii="Calibri" w:hAnsi="Calibri"/>
          <w:bCs/>
        </w:rPr>
        <w:t>offshore licensing and the 2016 offshore supplementary rounds both initiated in 2016 but concluded in 2017 (p.40).</w:t>
      </w:r>
    </w:p>
    <w:p w14:paraId="260DB8F5" w14:textId="77777777" w:rsidR="00026580" w:rsidRPr="005C3EC8" w:rsidRDefault="00026580" w:rsidP="00026580">
      <w:pPr>
        <w:spacing w:before="120"/>
        <w:rPr>
          <w:rFonts w:ascii="Calibri" w:hAnsi="Calibri"/>
        </w:rPr>
      </w:pPr>
      <w:r w:rsidRPr="005C3EC8">
        <w:rPr>
          <w:rFonts w:ascii="Calibri" w:hAnsi="Calibri"/>
          <w:i/>
          <w:u w:val="single"/>
        </w:rPr>
        <w:t>Bidding process</w:t>
      </w:r>
      <w:r w:rsidRPr="005C3EC8">
        <w:rPr>
          <w:rFonts w:ascii="Calibri" w:hAnsi="Calibri"/>
        </w:rPr>
        <w:t xml:space="preserve">: The report refers to bidding rounds that led to license awards in oil and gas in 2015 and 2017 (pp.40-41), but implies that no such license was awarded through bidding in 2016. </w:t>
      </w:r>
    </w:p>
    <w:p w14:paraId="777D4493" w14:textId="77777777" w:rsidR="00026580" w:rsidRPr="005C3EC8" w:rsidRDefault="00F425D1" w:rsidP="00026580">
      <w:pPr>
        <w:spacing w:before="120"/>
        <w:rPr>
          <w:rFonts w:ascii="Calibri" w:hAnsi="Calibri"/>
        </w:rPr>
      </w:pPr>
      <w:r w:rsidRPr="005C3EC8">
        <w:rPr>
          <w:rFonts w:ascii="Calibri" w:hAnsi="Calibri"/>
          <w:i/>
          <w:u w:val="single"/>
        </w:rPr>
        <w:t>Commentary on efficiency</w:t>
      </w:r>
      <w:r w:rsidRPr="005C3EC8">
        <w:rPr>
          <w:rFonts w:ascii="Calibri" w:hAnsi="Calibri"/>
        </w:rPr>
        <w:t xml:space="preserve">: </w:t>
      </w:r>
      <w:r w:rsidR="00E93A8A" w:rsidRPr="005C3EC8">
        <w:rPr>
          <w:rFonts w:ascii="Calibri" w:hAnsi="Calibri"/>
        </w:rPr>
        <w:t xml:space="preserve">The report does not include commentary on the efficiency of the licensing process in either oil and gas or mining and quarrying, beyond noting the devolution of oil and gas </w:t>
      </w:r>
      <w:r w:rsidR="00E93A8A" w:rsidRPr="005C3EC8">
        <w:rPr>
          <w:rFonts w:ascii="Calibri" w:hAnsi="Calibri"/>
        </w:rPr>
        <w:lastRenderedPageBreak/>
        <w:t xml:space="preserve">licensing rights to Wales and Scotland in 2018 (p.41). </w:t>
      </w:r>
    </w:p>
    <w:p w14:paraId="1BBCB6BD" w14:textId="77777777" w:rsidR="00026580" w:rsidRPr="005C3EC8" w:rsidRDefault="00026580" w:rsidP="00C65785">
      <w:pPr>
        <w:pStyle w:val="Heading4"/>
      </w:pPr>
      <w:r w:rsidRPr="005C3EC8">
        <w:t>Mining and quarrying</w:t>
      </w:r>
    </w:p>
    <w:p w14:paraId="31BB238A" w14:textId="2105620A" w:rsidR="00026580" w:rsidRPr="005C3EC8" w:rsidRDefault="00026580" w:rsidP="00026580">
      <w:pPr>
        <w:spacing w:before="120"/>
        <w:rPr>
          <w:rFonts w:ascii="Calibri" w:hAnsi="Calibri"/>
        </w:rPr>
      </w:pPr>
      <w:r w:rsidRPr="005C3EC8">
        <w:rPr>
          <w:rFonts w:ascii="Calibri" w:hAnsi="Calibri"/>
        </w:rPr>
        <w:t>There is no licensing system for mineral rights in most of Great Britain, with key exceptions. The Coal Authority is responsible for licensing in coal. The Crown Estate (TCE) holds rights to all “Mines Royal”, i.e. gold and silver, as well as the rights to terrestrial mining and quarrying on its lands. In Northern Ireland, the Department for the Economy (DfE) manages licenses for land-based mining and quarrying. Commercial agreements for non-energy minerals out to the 200 nautical mile limit (marine aggregates) are awarded by TCE, subject to obtaining mineral licenses granted by the Marine Management Organisation (MMO) or the one of the devolved authorities.</w:t>
      </w:r>
      <w:r w:rsidRPr="005C3EC8">
        <w:rPr>
          <w:rStyle w:val="FootnoteReference"/>
          <w:rFonts w:ascii="Calibri" w:hAnsi="Calibri"/>
        </w:rPr>
        <w:footnoteReference w:id="114"/>
      </w:r>
      <w:r w:rsidRPr="005C3EC8">
        <w:rPr>
          <w:rFonts w:ascii="Calibri" w:hAnsi="Calibri"/>
        </w:rPr>
        <w:t xml:space="preserve"> Based on the results of company EITI reporting for 2016, material mining and quarrying companies can be assumed to </w:t>
      </w:r>
      <w:r w:rsidR="0053588E" w:rsidRPr="005C3EC8">
        <w:rPr>
          <w:rFonts w:ascii="Calibri" w:hAnsi="Calibri"/>
        </w:rPr>
        <w:t xml:space="preserve">hold </w:t>
      </w:r>
      <w:r w:rsidRPr="005C3EC8">
        <w:rPr>
          <w:rFonts w:ascii="Calibri" w:hAnsi="Calibri"/>
        </w:rPr>
        <w:t xml:space="preserve">licenses in marine aggregates, land-based mining on TCE </w:t>
      </w:r>
      <w:r w:rsidR="00B46FDE" w:rsidRPr="005C3EC8">
        <w:rPr>
          <w:rFonts w:ascii="Calibri" w:hAnsi="Calibri"/>
        </w:rPr>
        <w:t>estates</w:t>
      </w:r>
      <w:r w:rsidRPr="005C3EC8">
        <w:rPr>
          <w:rFonts w:ascii="Calibri" w:hAnsi="Calibri"/>
        </w:rPr>
        <w:t xml:space="preserve"> and minerals licenses from the DfE in Northern Ireland, but no licenses in coal, gold or silver (</w:t>
      </w:r>
      <w:r w:rsidRPr="005C3EC8">
        <w:rPr>
          <w:rFonts w:ascii="Calibri" w:hAnsi="Calibri"/>
          <w:i/>
        </w:rPr>
        <w:t>see Requirement 4.1</w:t>
      </w:r>
      <w:r w:rsidRPr="005C3EC8">
        <w:rPr>
          <w:rFonts w:ascii="Calibri" w:hAnsi="Calibri"/>
        </w:rPr>
        <w:t xml:space="preserve">). This implies that the licensing systems of TCE, Northern Ireland’s DfE, the Marine Management Organisation (MMO) and the devolved marine authorities are assessed for the purposes of Validation, while those of the Coal Authority strictly-speaking are not. </w:t>
      </w:r>
    </w:p>
    <w:p w14:paraId="734F256B" w14:textId="77777777" w:rsidR="00026580" w:rsidRPr="005C3EC8" w:rsidRDefault="00026580" w:rsidP="00026580">
      <w:pPr>
        <w:spacing w:before="120"/>
        <w:rPr>
          <w:rFonts w:ascii="Calibri" w:hAnsi="Calibri"/>
        </w:rPr>
      </w:pPr>
      <w:r w:rsidRPr="005C3EC8">
        <w:rPr>
          <w:rFonts w:ascii="Calibri" w:hAnsi="Calibri"/>
          <w:b/>
          <w:i/>
        </w:rPr>
        <w:t>Systematic disclosures:</w:t>
      </w:r>
      <w:r w:rsidRPr="005C3EC8">
        <w:rPr>
          <w:rFonts w:ascii="Calibri" w:hAnsi="Calibri"/>
          <w:bCs/>
        </w:rPr>
        <w:t xml:space="preserve"> </w:t>
      </w:r>
      <w:r w:rsidRPr="005C3EC8">
        <w:rPr>
          <w:rFonts w:ascii="Calibri" w:hAnsi="Calibri"/>
        </w:rPr>
        <w:t>General land ownership information accessible through HM Land Registry.</w:t>
      </w:r>
      <w:r w:rsidRPr="005C3EC8">
        <w:rPr>
          <w:rStyle w:val="FootnoteReference"/>
          <w:rFonts w:ascii="Calibri" w:hAnsi="Calibri"/>
        </w:rPr>
        <w:footnoteReference w:id="115"/>
      </w:r>
      <w:r w:rsidRPr="005C3EC8">
        <w:rPr>
          <w:rFonts w:ascii="Calibri" w:hAnsi="Calibri"/>
        </w:rPr>
        <w:t xml:space="preserve"> The UK Government website provides and local planning authorities’ websites provide guidance on the mineral planning permission process.</w:t>
      </w:r>
      <w:r w:rsidRPr="005C3EC8">
        <w:rPr>
          <w:rStyle w:val="FootnoteReference"/>
          <w:rFonts w:ascii="Calibri" w:hAnsi="Calibri"/>
        </w:rPr>
        <w:footnoteReference w:id="116"/>
      </w:r>
      <w:r w:rsidRPr="005C3EC8">
        <w:rPr>
          <w:rFonts w:ascii="Calibri" w:hAnsi="Calibri"/>
        </w:rPr>
        <w:t xml:space="preserve"> The BGS website provides an overview of legislation and policy on mineral ownership in the UK.</w:t>
      </w:r>
      <w:r w:rsidRPr="005C3EC8">
        <w:rPr>
          <w:rStyle w:val="FootnoteReference"/>
          <w:rFonts w:ascii="Calibri" w:hAnsi="Calibri"/>
        </w:rPr>
        <w:footnoteReference w:id="117"/>
      </w:r>
      <w:r w:rsidRPr="005C3EC8">
        <w:rPr>
          <w:rFonts w:ascii="Calibri" w:hAnsi="Calibri"/>
        </w:rPr>
        <w:t xml:space="preserve"> </w:t>
      </w:r>
    </w:p>
    <w:p w14:paraId="3E5B743B" w14:textId="77777777" w:rsidR="00026580" w:rsidRPr="005C3EC8" w:rsidRDefault="00026580" w:rsidP="00026580">
      <w:pPr>
        <w:spacing w:before="120"/>
        <w:rPr>
          <w:rFonts w:ascii="Calibri" w:hAnsi="Calibri"/>
          <w:bCs/>
        </w:rPr>
      </w:pPr>
      <w:r w:rsidRPr="005C3EC8">
        <w:rPr>
          <w:rFonts w:ascii="Calibri" w:hAnsi="Calibri"/>
          <w:b/>
          <w:i/>
        </w:rPr>
        <w:t>2016 EITI Report:</w:t>
      </w:r>
      <w:r w:rsidRPr="005C3EC8">
        <w:rPr>
          <w:rFonts w:ascii="Calibri" w:hAnsi="Calibri"/>
          <w:bCs/>
        </w:rPr>
        <w:t xml:space="preserve"> The report confirms the lack of licenses for mineral rights in onshore Great Britain (England, Scotland and Wales), aside from coal, gold and silver and areas controlled by TCE and Northern Ireland (p.58). </w:t>
      </w:r>
      <w:r w:rsidRPr="005C3EC8">
        <w:rPr>
          <w:rFonts w:ascii="Calibri" w:hAnsi="Calibri"/>
        </w:rPr>
        <w:t xml:space="preserve">While the report makes clear that mineral planning and environmental permitting is not considered a form of licensing, it explains that such permitting is a precondition for undertaking exploration and production (p.58). </w:t>
      </w:r>
    </w:p>
    <w:p w14:paraId="6DE9DAB3" w14:textId="77777777" w:rsidR="00026580" w:rsidRPr="005C3EC8" w:rsidRDefault="00026580" w:rsidP="00C65785">
      <w:pPr>
        <w:pStyle w:val="Heading5"/>
      </w:pPr>
      <w:r w:rsidRPr="005C3EC8">
        <w:t>Marine aggregates licenses (TCE)</w:t>
      </w:r>
    </w:p>
    <w:p w14:paraId="069A0355" w14:textId="6A74B077" w:rsidR="00026580" w:rsidRPr="005C3EC8" w:rsidRDefault="00026580" w:rsidP="00026580">
      <w:pPr>
        <w:spacing w:before="120"/>
        <w:rPr>
          <w:rFonts w:ascii="Calibri" w:hAnsi="Calibri"/>
        </w:rPr>
      </w:pPr>
      <w:r w:rsidRPr="005C3EC8">
        <w:rPr>
          <w:rFonts w:ascii="Calibri" w:hAnsi="Calibri"/>
          <w:b/>
          <w:i/>
        </w:rPr>
        <w:t>Systematic disclosures:</w:t>
      </w:r>
      <w:r w:rsidRPr="005C3EC8">
        <w:rPr>
          <w:rFonts w:ascii="Calibri" w:hAnsi="Calibri"/>
          <w:bCs/>
        </w:rPr>
        <w:t xml:space="preserve"> </w:t>
      </w:r>
      <w:r w:rsidRPr="005C3EC8">
        <w:rPr>
          <w:rFonts w:ascii="Calibri" w:hAnsi="Calibri"/>
        </w:rPr>
        <w:t>The TCE website refers to the processes for granting of minerals and dredging licenses for marine aggregates</w:t>
      </w:r>
      <w:r w:rsidRPr="005C3EC8">
        <w:rPr>
          <w:rStyle w:val="FootnoteReference"/>
          <w:rFonts w:ascii="Calibri" w:hAnsi="Calibri"/>
        </w:rPr>
        <w:footnoteReference w:id="118"/>
      </w:r>
      <w:r w:rsidRPr="005C3EC8">
        <w:rPr>
          <w:rFonts w:ascii="Calibri" w:hAnsi="Calibri"/>
        </w:rPr>
        <w:t>, although it does not describe these processes (nor criteria assessed) in any detail. Based on a comparison of TCE’s 19</w:t>
      </w:r>
      <w:r w:rsidRPr="005C3EC8">
        <w:rPr>
          <w:rFonts w:ascii="Calibri" w:hAnsi="Calibri"/>
          <w:vertAlign w:val="superscript"/>
        </w:rPr>
        <w:t>th</w:t>
      </w:r>
      <w:r w:rsidRPr="005C3EC8">
        <w:rPr>
          <w:rFonts w:ascii="Calibri" w:hAnsi="Calibri"/>
        </w:rPr>
        <w:t xml:space="preserve"> and 20</w:t>
      </w:r>
      <w:r w:rsidRPr="005C3EC8">
        <w:rPr>
          <w:rFonts w:ascii="Calibri" w:hAnsi="Calibri"/>
          <w:vertAlign w:val="superscript"/>
        </w:rPr>
        <w:t>th</w:t>
      </w:r>
      <w:r w:rsidRPr="005C3EC8">
        <w:rPr>
          <w:rFonts w:ascii="Calibri" w:hAnsi="Calibri"/>
        </w:rPr>
        <w:t xml:space="preserve"> annual “area involved” reports, covering 20167 and 2017 respectively, it appears that the areas under marine dredging lice with </w:t>
      </w:r>
      <w:proofErr w:type="spellStart"/>
      <w:r w:rsidRPr="005C3EC8">
        <w:rPr>
          <w:rFonts w:ascii="Calibri" w:hAnsi="Calibri"/>
        </w:rPr>
        <w:t>nse</w:t>
      </w:r>
      <w:proofErr w:type="spellEnd"/>
      <w:r w:rsidRPr="005C3EC8">
        <w:rPr>
          <w:rFonts w:ascii="Calibri" w:hAnsi="Calibri"/>
        </w:rPr>
        <w:t xml:space="preserve"> increased by 123.12 </w:t>
      </w:r>
      <w:proofErr w:type="spellStart"/>
      <w:r w:rsidRPr="005C3EC8">
        <w:rPr>
          <w:rFonts w:ascii="Calibri" w:hAnsi="Calibri"/>
        </w:rPr>
        <w:t>sq</w:t>
      </w:r>
      <w:proofErr w:type="spellEnd"/>
      <w:r w:rsidRPr="005C3EC8">
        <w:rPr>
          <w:rFonts w:ascii="Calibri" w:hAnsi="Calibri"/>
        </w:rPr>
        <w:t xml:space="preserve"> km</w:t>
      </w:r>
      <w:r w:rsidRPr="005C3EC8">
        <w:rPr>
          <w:rStyle w:val="FootnoteReference"/>
          <w:rFonts w:ascii="Calibri" w:hAnsi="Calibri"/>
        </w:rPr>
        <w:footnoteReference w:id="119"/>
      </w:r>
      <w:r w:rsidRPr="005C3EC8">
        <w:rPr>
          <w:rFonts w:ascii="Calibri" w:hAnsi="Calibri"/>
        </w:rPr>
        <w:t xml:space="preserve"> in 2016, although this represents an increase net of terminations of licenses. However, the TCE report does not disaggregate this information per license and company, beyond a gen</w:t>
      </w:r>
      <w:r w:rsidR="00201351" w:rsidRPr="005C3EC8">
        <w:rPr>
          <w:rFonts w:ascii="Calibri" w:hAnsi="Calibri"/>
        </w:rPr>
        <w:t>eral disaggregation by region. In England, t</w:t>
      </w:r>
      <w:r w:rsidRPr="005C3EC8">
        <w:rPr>
          <w:rFonts w:ascii="Calibri" w:hAnsi="Calibri"/>
        </w:rPr>
        <w:t xml:space="preserve">he MMO </w:t>
      </w:r>
      <w:r w:rsidR="00F04213" w:rsidRPr="005C3EC8">
        <w:rPr>
          <w:rFonts w:ascii="Calibri" w:hAnsi="Calibri"/>
        </w:rPr>
        <w:t>website provides guidance on marine licenses</w:t>
      </w:r>
      <w:r w:rsidR="00F04213" w:rsidRPr="005C3EC8">
        <w:rPr>
          <w:rStyle w:val="FootnoteReference"/>
          <w:rFonts w:ascii="Calibri" w:hAnsi="Calibri"/>
        </w:rPr>
        <w:footnoteReference w:id="120"/>
      </w:r>
      <w:r w:rsidR="009E54A1" w:rsidRPr="005C3EC8">
        <w:rPr>
          <w:rFonts w:ascii="Calibri" w:hAnsi="Calibri"/>
        </w:rPr>
        <w:t xml:space="preserve">, including details of the </w:t>
      </w:r>
      <w:r w:rsidR="009E54A1" w:rsidRPr="005C3EC8">
        <w:rPr>
          <w:rFonts w:ascii="Calibri" w:hAnsi="Calibri"/>
        </w:rPr>
        <w:lastRenderedPageBreak/>
        <w:t>application process</w:t>
      </w:r>
      <w:r w:rsidR="009E54A1" w:rsidRPr="005C3EC8">
        <w:rPr>
          <w:rStyle w:val="FootnoteReference"/>
          <w:rFonts w:ascii="Calibri" w:hAnsi="Calibri"/>
        </w:rPr>
        <w:footnoteReference w:id="121"/>
      </w:r>
      <w:r w:rsidR="009E54A1" w:rsidRPr="005C3EC8">
        <w:rPr>
          <w:rFonts w:ascii="Calibri" w:hAnsi="Calibri"/>
        </w:rPr>
        <w:t xml:space="preserve"> and a public register of marine license applications and decisions.</w:t>
      </w:r>
      <w:r w:rsidR="009E54A1" w:rsidRPr="005C3EC8">
        <w:rPr>
          <w:rStyle w:val="FootnoteReference"/>
          <w:rFonts w:ascii="Calibri" w:hAnsi="Calibri"/>
        </w:rPr>
        <w:footnoteReference w:id="122"/>
      </w:r>
      <w:r w:rsidR="00201351" w:rsidRPr="005C3EC8">
        <w:rPr>
          <w:rFonts w:ascii="Calibri" w:hAnsi="Calibri"/>
        </w:rPr>
        <w:t xml:space="preserve"> </w:t>
      </w:r>
      <w:r w:rsidR="008F18DE" w:rsidRPr="005C3EC8">
        <w:rPr>
          <w:rFonts w:ascii="Calibri" w:hAnsi="Calibri"/>
        </w:rPr>
        <w:t xml:space="preserve">The equivalent information is accessible on the marine licensing sections of </w:t>
      </w:r>
      <w:r w:rsidR="00201351" w:rsidRPr="005C3EC8">
        <w:rPr>
          <w:rFonts w:ascii="Calibri" w:hAnsi="Calibri"/>
        </w:rPr>
        <w:t xml:space="preserve">the </w:t>
      </w:r>
      <w:r w:rsidRPr="005C3EC8">
        <w:rPr>
          <w:rFonts w:ascii="Calibri" w:hAnsi="Calibri"/>
        </w:rPr>
        <w:t>Natural Resources Wales (NRW)</w:t>
      </w:r>
      <w:r w:rsidR="008F18DE" w:rsidRPr="005C3EC8">
        <w:rPr>
          <w:rStyle w:val="FootnoteReference"/>
          <w:rFonts w:ascii="Calibri" w:hAnsi="Calibri"/>
        </w:rPr>
        <w:footnoteReference w:id="123"/>
      </w:r>
      <w:r w:rsidR="008F18DE" w:rsidRPr="005C3EC8">
        <w:rPr>
          <w:rFonts w:ascii="Calibri" w:hAnsi="Calibri"/>
        </w:rPr>
        <w:t>,</w:t>
      </w:r>
      <w:r w:rsidRPr="005C3EC8">
        <w:rPr>
          <w:rFonts w:ascii="Calibri" w:hAnsi="Calibri"/>
        </w:rPr>
        <w:t xml:space="preserve"> Marine Scotland</w:t>
      </w:r>
      <w:r w:rsidR="008F18DE" w:rsidRPr="005C3EC8">
        <w:rPr>
          <w:rStyle w:val="FootnoteReference"/>
          <w:rFonts w:ascii="Calibri" w:hAnsi="Calibri"/>
        </w:rPr>
        <w:footnoteReference w:id="124"/>
      </w:r>
      <w:r w:rsidR="008F18DE" w:rsidRPr="005C3EC8">
        <w:rPr>
          <w:rFonts w:ascii="Calibri" w:hAnsi="Calibri"/>
        </w:rPr>
        <w:t xml:space="preserve">, and </w:t>
      </w:r>
      <w:r w:rsidRPr="005C3EC8">
        <w:rPr>
          <w:rFonts w:ascii="Calibri" w:hAnsi="Calibri"/>
        </w:rPr>
        <w:t>Northern Ireland</w:t>
      </w:r>
      <w:r w:rsidR="008F18DE" w:rsidRPr="005C3EC8">
        <w:rPr>
          <w:rFonts w:ascii="Calibri" w:hAnsi="Calibri"/>
        </w:rPr>
        <w:t xml:space="preserve">’s </w:t>
      </w:r>
      <w:r w:rsidRPr="005C3EC8">
        <w:rPr>
          <w:rFonts w:ascii="Calibri" w:hAnsi="Calibri"/>
        </w:rPr>
        <w:t>Department of Agriculture, Environment and Rural Affairs (DAERA)</w:t>
      </w:r>
      <w:r w:rsidR="001277AA" w:rsidRPr="005C3EC8">
        <w:rPr>
          <w:rStyle w:val="FootnoteReference"/>
          <w:rFonts w:ascii="Calibri" w:hAnsi="Calibri"/>
        </w:rPr>
        <w:footnoteReference w:id="125"/>
      </w:r>
      <w:r w:rsidRPr="005C3EC8">
        <w:rPr>
          <w:rFonts w:ascii="Calibri" w:hAnsi="Calibri"/>
        </w:rPr>
        <w:t xml:space="preserve"> public </w:t>
      </w:r>
      <w:r w:rsidR="008F18DE" w:rsidRPr="005C3EC8">
        <w:rPr>
          <w:rFonts w:ascii="Calibri" w:hAnsi="Calibri"/>
        </w:rPr>
        <w:t xml:space="preserve">websites. </w:t>
      </w:r>
    </w:p>
    <w:p w14:paraId="5D7E93DE" w14:textId="77777777" w:rsidR="00026580" w:rsidRPr="005C3EC8" w:rsidRDefault="00026580" w:rsidP="00026580">
      <w:pPr>
        <w:spacing w:before="120"/>
        <w:rPr>
          <w:rFonts w:ascii="Calibri" w:hAnsi="Calibri"/>
        </w:rPr>
      </w:pPr>
      <w:r w:rsidRPr="005C3EC8">
        <w:rPr>
          <w:rFonts w:ascii="Calibri" w:hAnsi="Calibri"/>
          <w:b/>
          <w:i/>
        </w:rPr>
        <w:t>2016 EITI Report:</w:t>
      </w:r>
      <w:r w:rsidRPr="005C3EC8">
        <w:rPr>
          <w:rFonts w:ascii="Calibri" w:hAnsi="Calibri"/>
          <w:bCs/>
        </w:rPr>
        <w:t xml:space="preserve"> </w:t>
      </w:r>
      <w:r w:rsidRPr="005C3EC8">
        <w:rPr>
          <w:rFonts w:ascii="Calibri" w:hAnsi="Calibri"/>
        </w:rPr>
        <w:t>Although the report confirms TCE’s responsibility for concluding commercial agreements with companies for non-energy minerals out to the 200 nautical mile limit, subject to obtaining a marine license from the Marine Management Organisation (MMO) or the one of the devolved authorities</w:t>
      </w:r>
      <w:r w:rsidRPr="005C3EC8">
        <w:rPr>
          <w:rStyle w:val="FootnoteReference"/>
          <w:rFonts w:ascii="Calibri" w:hAnsi="Calibri"/>
        </w:rPr>
        <w:footnoteReference w:id="126"/>
      </w:r>
      <w:r w:rsidRPr="005C3EC8">
        <w:rPr>
          <w:rFonts w:ascii="Calibri" w:hAnsi="Calibri"/>
        </w:rPr>
        <w:t xml:space="preserve"> (pp.60,61), it does not clarify whether any commercial agreements for marine dredging were awarded or transferred in 2016. </w:t>
      </w:r>
    </w:p>
    <w:p w14:paraId="5BFB8A22" w14:textId="77777777" w:rsidR="00026580" w:rsidRPr="005C3EC8" w:rsidRDefault="00026580" w:rsidP="00026580">
      <w:pPr>
        <w:spacing w:before="120"/>
        <w:rPr>
          <w:rFonts w:ascii="Calibri" w:hAnsi="Calibri"/>
        </w:rPr>
      </w:pPr>
      <w:r w:rsidRPr="005C3EC8">
        <w:rPr>
          <w:rFonts w:ascii="Calibri" w:hAnsi="Calibri"/>
          <w:i/>
          <w:u w:val="single"/>
        </w:rPr>
        <w:t>Award/transfer process, including criteria:</w:t>
      </w:r>
      <w:r w:rsidRPr="005C3EC8">
        <w:rPr>
          <w:rFonts w:ascii="Calibri" w:hAnsi="Calibri"/>
        </w:rPr>
        <w:t xml:space="preserve"> The report describes the process for TCE concluding commercial agreements with companies for non-energy minerals out to the 200 nautical mile limit, subject to the award of marine licenses from the MMO or its equivalent in Northern Ireland, Scotland and Wales (pp.60-61). However, the process for transferring these licenses is not described. The devolved nature of mineral planning, marine plan and environmental permitting is explained in detail, with links to the relevant Mineral Planning Authorities and Local Planning Authorities (pp.56-58,60-61). </w:t>
      </w:r>
      <w:r w:rsidRPr="005C3EC8">
        <w:rPr>
          <w:rFonts w:ascii="Calibri" w:hAnsi="Calibri"/>
          <w:bCs/>
        </w:rPr>
        <w:t xml:space="preserve">The report’s description of the process for concluding commercial agreements </w:t>
      </w:r>
      <w:r w:rsidRPr="005C3EC8">
        <w:rPr>
          <w:rFonts w:ascii="Calibri" w:hAnsi="Calibri"/>
        </w:rPr>
        <w:t>for marine dredging of non-energy minerals</w:t>
      </w:r>
      <w:r w:rsidRPr="005C3EC8">
        <w:rPr>
          <w:rStyle w:val="FootnoteReference"/>
          <w:rFonts w:ascii="Calibri" w:hAnsi="Calibri"/>
        </w:rPr>
        <w:footnoteReference w:id="127"/>
      </w:r>
      <w:r w:rsidRPr="005C3EC8">
        <w:rPr>
          <w:rFonts w:ascii="Calibri" w:hAnsi="Calibri"/>
        </w:rPr>
        <w:t xml:space="preserve"> </w:t>
      </w:r>
      <w:r w:rsidRPr="005C3EC8">
        <w:rPr>
          <w:rFonts w:ascii="Calibri" w:hAnsi="Calibri"/>
          <w:bCs/>
        </w:rPr>
        <w:t xml:space="preserve">does not detail the technical and financial criteria used for assessing applications either by TCE (for commercial agreements) or the MMO and its equivalent devolved organisations </w:t>
      </w:r>
      <w:r w:rsidRPr="005C3EC8">
        <w:rPr>
          <w:rFonts w:ascii="Calibri" w:hAnsi="Calibri"/>
        </w:rPr>
        <w:t>(p.60). It is unclear from the EITI Report and publicly-accessible information whether any technical or financial criteria are assessed in the transfer of marine aggregates agreements with TCE or associated marine licenses. It is unclear from the 2016 EITI Report whether there were any awards or transfers of licenses for marine aggregates commercial agreements or associated marine licenses through competitive tender in 2016, nor the list of bidders for licenses awarded in this way. The identity of parties to the license awards and transfers in 2016, if applicable, is unclear from the 2016 EITI Report.</w:t>
      </w:r>
    </w:p>
    <w:p w14:paraId="5BEF1610" w14:textId="77777777" w:rsidR="00026580" w:rsidRPr="005C3EC8" w:rsidRDefault="00026580" w:rsidP="00026580">
      <w:pPr>
        <w:spacing w:before="120"/>
        <w:rPr>
          <w:rFonts w:ascii="Calibri" w:hAnsi="Calibri"/>
        </w:rPr>
      </w:pPr>
      <w:r w:rsidRPr="005C3EC8">
        <w:rPr>
          <w:rFonts w:ascii="Calibri" w:hAnsi="Calibri"/>
          <w:i/>
          <w:u w:val="single"/>
        </w:rPr>
        <w:t>Deviations and comprehensiveness</w:t>
      </w:r>
      <w:r w:rsidRPr="005C3EC8">
        <w:rPr>
          <w:rFonts w:ascii="Calibri" w:hAnsi="Calibri"/>
        </w:rPr>
        <w:t xml:space="preserve">: The report does not refer to any assessment of non-trivial deviations in the award or transfer of any marine aggregates agreement and marine license in 2016. The report does not refer to marine aggregates agreement and marine licenses awarded or transferred outside of (or during) the period under review. </w:t>
      </w:r>
    </w:p>
    <w:p w14:paraId="0C6CE42D" w14:textId="77777777" w:rsidR="00C65785" w:rsidRPr="005C3EC8" w:rsidRDefault="00C65785" w:rsidP="00C65785">
      <w:pPr>
        <w:pStyle w:val="Heading5"/>
      </w:pPr>
      <w:r w:rsidRPr="005C3EC8">
        <w:t>Terrestrial mining licenses on TCE estates</w:t>
      </w:r>
    </w:p>
    <w:p w14:paraId="487A4B4B" w14:textId="77777777" w:rsidR="00C65785" w:rsidRPr="005C3EC8" w:rsidRDefault="00C65785" w:rsidP="00C65785">
      <w:pPr>
        <w:spacing w:before="120"/>
        <w:rPr>
          <w:rFonts w:ascii="Calibri" w:hAnsi="Calibri"/>
        </w:rPr>
      </w:pPr>
      <w:r w:rsidRPr="005C3EC8">
        <w:rPr>
          <w:rFonts w:ascii="Calibri" w:hAnsi="Calibri"/>
          <w:b/>
          <w:i/>
        </w:rPr>
        <w:t>Systematic disclosures:</w:t>
      </w:r>
      <w:r w:rsidRPr="005C3EC8">
        <w:rPr>
          <w:rFonts w:ascii="Calibri" w:hAnsi="Calibri"/>
          <w:bCs/>
        </w:rPr>
        <w:t xml:space="preserve"> </w:t>
      </w:r>
      <w:r w:rsidRPr="005C3EC8">
        <w:rPr>
          <w:rFonts w:ascii="Calibri" w:hAnsi="Calibri"/>
        </w:rPr>
        <w:t>The TCE website refers to the processes for granting of licenses for minerals including sand, gravel, limestone, granite, brick clay, slate and dimension stone</w:t>
      </w:r>
      <w:r w:rsidRPr="005C3EC8">
        <w:rPr>
          <w:rStyle w:val="FootnoteReference"/>
          <w:rFonts w:ascii="Calibri" w:hAnsi="Calibri"/>
        </w:rPr>
        <w:footnoteReference w:id="128"/>
      </w:r>
      <w:r w:rsidRPr="005C3EC8">
        <w:rPr>
          <w:rFonts w:ascii="Calibri" w:hAnsi="Calibri"/>
        </w:rPr>
        <w:t xml:space="preserve">, although it does not </w:t>
      </w:r>
      <w:r w:rsidRPr="005C3EC8">
        <w:rPr>
          <w:rFonts w:ascii="Calibri" w:hAnsi="Calibri"/>
        </w:rPr>
        <w:lastRenderedPageBreak/>
        <w:t xml:space="preserve">describe these processes (nor criteria assessed) in any detail. There is no information on the TCE website listing the licenses awarded or transferred in a particular year. </w:t>
      </w:r>
    </w:p>
    <w:p w14:paraId="16A757E3" w14:textId="77777777" w:rsidR="00C65785" w:rsidRPr="005C3EC8" w:rsidRDefault="00C65785" w:rsidP="00C65785">
      <w:pPr>
        <w:spacing w:before="120"/>
        <w:rPr>
          <w:rFonts w:ascii="Calibri" w:hAnsi="Calibri"/>
        </w:rPr>
      </w:pPr>
      <w:r w:rsidRPr="005C3EC8">
        <w:rPr>
          <w:rFonts w:ascii="Calibri" w:hAnsi="Calibri"/>
          <w:b/>
          <w:i/>
        </w:rPr>
        <w:t>2016 EITI Report:</w:t>
      </w:r>
      <w:r w:rsidRPr="005C3EC8">
        <w:rPr>
          <w:rFonts w:ascii="Calibri" w:hAnsi="Calibri"/>
          <w:bCs/>
        </w:rPr>
        <w:t xml:space="preserve"> </w:t>
      </w:r>
      <w:r w:rsidRPr="005C3EC8">
        <w:rPr>
          <w:rFonts w:ascii="Calibri" w:hAnsi="Calibri"/>
        </w:rPr>
        <w:t>The report confirms that TCE grants mineral leases across the UK for land-based mining on its lands</w:t>
      </w:r>
      <w:r w:rsidRPr="005C3EC8">
        <w:rPr>
          <w:rStyle w:val="FootnoteReference"/>
          <w:rFonts w:ascii="Calibri" w:hAnsi="Calibri"/>
        </w:rPr>
        <w:footnoteReference w:id="129"/>
      </w:r>
      <w:r w:rsidRPr="005C3EC8">
        <w:rPr>
          <w:rFonts w:ascii="Calibri" w:hAnsi="Calibri"/>
        </w:rPr>
        <w:t xml:space="preserve"> (p.61), but does not clarify whether any such mineral leases were awarded by TCE or transferred in 2016. </w:t>
      </w:r>
    </w:p>
    <w:p w14:paraId="2CE35890" w14:textId="77777777" w:rsidR="00C65785" w:rsidRPr="005C3EC8" w:rsidRDefault="00C65785" w:rsidP="00C65785">
      <w:pPr>
        <w:spacing w:before="120"/>
        <w:rPr>
          <w:rFonts w:ascii="Calibri" w:hAnsi="Calibri"/>
        </w:rPr>
      </w:pPr>
      <w:r w:rsidRPr="005C3EC8">
        <w:rPr>
          <w:rFonts w:ascii="Calibri" w:hAnsi="Calibri"/>
          <w:i/>
          <w:u w:val="single"/>
        </w:rPr>
        <w:t>Award/transfer process, including criteria:</w:t>
      </w:r>
      <w:r w:rsidRPr="005C3EC8">
        <w:rPr>
          <w:rFonts w:ascii="Calibri" w:hAnsi="Calibri"/>
        </w:rPr>
        <w:t xml:space="preserve"> The report describes the general process for awarding land-based mining licenses by TCE, through open market and “case-by-case” basis (p.61), but does not describe the process for transferring licenses originally awarded by TCE. It is unclear from the report (p.61) and other publicly-accessible information like the TCE website whether any technical or financial criteria are assessed in the transfer of land-based mining licenses granted by TCE. The report does not list the land-based mining license awards and transfers in 2016, nor the companies involved. It is not clear from the report whether any land-based mining license was awarded by TCE through open tender in 2016, nor the names of bidders for any licenses awarded in this way. </w:t>
      </w:r>
    </w:p>
    <w:p w14:paraId="525E72F4" w14:textId="1AD2D731" w:rsidR="00C65785" w:rsidRPr="005C3EC8" w:rsidRDefault="00C65785" w:rsidP="00026580">
      <w:pPr>
        <w:spacing w:before="120"/>
        <w:rPr>
          <w:rFonts w:ascii="Calibri" w:hAnsi="Calibri"/>
        </w:rPr>
      </w:pPr>
      <w:r w:rsidRPr="005C3EC8">
        <w:rPr>
          <w:rFonts w:ascii="Calibri" w:hAnsi="Calibri"/>
          <w:i/>
          <w:u w:val="single"/>
        </w:rPr>
        <w:t>Deviations and comprehensiveness</w:t>
      </w:r>
      <w:r w:rsidRPr="005C3EC8">
        <w:rPr>
          <w:rFonts w:ascii="Calibri" w:hAnsi="Calibri"/>
        </w:rPr>
        <w:t xml:space="preserve">: The report does not refer to any assessment of non-trivial deviations in the award or transfer of any land-based mining license on TCE estates in 2016. The report does not refer to land-based mining licenses awarded by the TCE outside of (or during) the period under review. </w:t>
      </w:r>
    </w:p>
    <w:p w14:paraId="7E2E4A3C" w14:textId="77777777" w:rsidR="00026580" w:rsidRPr="005C3EC8" w:rsidRDefault="00026580" w:rsidP="00C65785">
      <w:pPr>
        <w:pStyle w:val="Heading5"/>
      </w:pPr>
      <w:r w:rsidRPr="005C3EC8">
        <w:t>Northern Ireland mining licenses (DfE)</w:t>
      </w:r>
    </w:p>
    <w:p w14:paraId="50E2EB9D" w14:textId="77777777" w:rsidR="00026580" w:rsidRPr="005C3EC8" w:rsidRDefault="00026580" w:rsidP="00026580">
      <w:pPr>
        <w:spacing w:before="120"/>
        <w:rPr>
          <w:rFonts w:ascii="Calibri" w:hAnsi="Calibri"/>
        </w:rPr>
      </w:pPr>
      <w:r w:rsidRPr="005C3EC8">
        <w:rPr>
          <w:rFonts w:ascii="Calibri" w:hAnsi="Calibri"/>
          <w:b/>
          <w:i/>
        </w:rPr>
        <w:t>Systematic disclosures:</w:t>
      </w:r>
      <w:r w:rsidRPr="005C3EC8">
        <w:rPr>
          <w:rFonts w:ascii="Calibri" w:hAnsi="Calibri"/>
        </w:rPr>
        <w:t xml:space="preserve"> The DfE website provides information on the licensing process for mining licenses in Northern Ireland</w:t>
      </w:r>
      <w:r w:rsidRPr="005C3EC8">
        <w:rPr>
          <w:rStyle w:val="FootnoteReference"/>
          <w:rFonts w:ascii="Calibri" w:hAnsi="Calibri"/>
        </w:rPr>
        <w:footnoteReference w:id="130"/>
      </w:r>
      <w:r w:rsidRPr="005C3EC8">
        <w:rPr>
          <w:rFonts w:ascii="Calibri" w:hAnsi="Calibri"/>
        </w:rPr>
        <w:t>, and a FAQ that describes the process for reviewing applications for MPLs.</w:t>
      </w:r>
      <w:r w:rsidRPr="005C3EC8">
        <w:rPr>
          <w:rStyle w:val="FootnoteReference"/>
          <w:rFonts w:ascii="Calibri" w:hAnsi="Calibri"/>
        </w:rPr>
        <w:footnoteReference w:id="131"/>
      </w:r>
      <w:r w:rsidRPr="005C3EC8">
        <w:rPr>
          <w:rFonts w:ascii="Calibri" w:hAnsi="Calibri"/>
        </w:rPr>
        <w:t xml:space="preserve"> While the guidance only states that the DfE ‘investigates the technical and financial resources of the applicant and carries out a consultation procedure’</w:t>
      </w:r>
      <w:r w:rsidRPr="005C3EC8">
        <w:rPr>
          <w:rStyle w:val="FootnoteReference"/>
          <w:rFonts w:ascii="Calibri" w:hAnsi="Calibri"/>
        </w:rPr>
        <w:footnoteReference w:id="132"/>
      </w:r>
      <w:r w:rsidRPr="005C3EC8">
        <w:rPr>
          <w:rFonts w:ascii="Calibri" w:hAnsi="Calibri"/>
        </w:rPr>
        <w:t>, the template application forms detail the proof of technical and financial capacities required, such as proof of past relevant experience and sufficient funds to execute the work programme.</w:t>
      </w:r>
      <w:r w:rsidRPr="005C3EC8">
        <w:rPr>
          <w:rStyle w:val="FootnoteReference"/>
          <w:rFonts w:ascii="Calibri" w:hAnsi="Calibri"/>
        </w:rPr>
        <w:footnoteReference w:id="133"/>
      </w:r>
      <w:r w:rsidRPr="005C3EC8">
        <w:rPr>
          <w:rFonts w:ascii="Calibri" w:hAnsi="Calibri"/>
        </w:rPr>
        <w:t xml:space="preserve"> While the model clauses of Minerals Licenses on the DfE website confirm that DfE approval is required for the transfer of licenses</w:t>
      </w:r>
      <w:r w:rsidRPr="005C3EC8">
        <w:rPr>
          <w:rStyle w:val="FootnoteReference"/>
          <w:rFonts w:ascii="Calibri" w:hAnsi="Calibri"/>
        </w:rPr>
        <w:footnoteReference w:id="134"/>
      </w:r>
      <w:r w:rsidRPr="005C3EC8">
        <w:rPr>
          <w:rFonts w:ascii="Calibri" w:hAnsi="Calibri"/>
        </w:rPr>
        <w:t xml:space="preserve">, the process for transferring licenses, including specific criteria assessed by the DfE, does not appear to be described on the DfE website. </w:t>
      </w:r>
    </w:p>
    <w:p w14:paraId="2C75BDC7" w14:textId="77777777" w:rsidR="00026580" w:rsidRPr="005C3EC8" w:rsidRDefault="00026580" w:rsidP="00026580">
      <w:pPr>
        <w:spacing w:before="120"/>
        <w:rPr>
          <w:rFonts w:ascii="Calibri" w:hAnsi="Calibri"/>
          <w:bCs/>
        </w:rPr>
      </w:pPr>
      <w:r w:rsidRPr="005C3EC8">
        <w:rPr>
          <w:rFonts w:ascii="Calibri" w:hAnsi="Calibri"/>
          <w:b/>
          <w:i/>
        </w:rPr>
        <w:t>2016 EITI Report:</w:t>
      </w:r>
      <w:r w:rsidRPr="005C3EC8">
        <w:rPr>
          <w:rFonts w:ascii="Calibri" w:hAnsi="Calibri"/>
        </w:rPr>
        <w:t xml:space="preserve"> The report states that the DfE is responsible for awarding Mineral Prospecting Licenses (MPLs) in Northern Ireland “with certain exceptions”</w:t>
      </w:r>
      <w:r w:rsidRPr="005C3EC8">
        <w:rPr>
          <w:rStyle w:val="FootnoteReference"/>
          <w:rFonts w:ascii="Calibri" w:hAnsi="Calibri"/>
        </w:rPr>
        <w:footnoteReference w:id="135"/>
      </w:r>
      <w:r w:rsidRPr="005C3EC8">
        <w:rPr>
          <w:rFonts w:ascii="Calibri" w:hAnsi="Calibri"/>
        </w:rPr>
        <w:t xml:space="preserve"> (pp.59,61). While the </w:t>
      </w:r>
      <w:r w:rsidRPr="005C3EC8">
        <w:rPr>
          <w:rFonts w:ascii="Calibri" w:hAnsi="Calibri"/>
          <w:bCs/>
        </w:rPr>
        <w:t xml:space="preserve">report describes two applications for MPLs lodged with the DfE in 2015-16, it confirms the lack of MPL awards in this period (p.59). However, it does not clarify whether any MPLs were transferred in 2016. </w:t>
      </w:r>
    </w:p>
    <w:p w14:paraId="3BFE49AB" w14:textId="77777777" w:rsidR="00026580" w:rsidRPr="005C3EC8" w:rsidRDefault="00026580" w:rsidP="00026580">
      <w:pPr>
        <w:spacing w:before="120"/>
        <w:rPr>
          <w:rFonts w:ascii="Calibri" w:hAnsi="Calibri"/>
        </w:rPr>
      </w:pPr>
      <w:r w:rsidRPr="005C3EC8">
        <w:rPr>
          <w:rFonts w:ascii="Calibri" w:hAnsi="Calibri"/>
          <w:i/>
          <w:u w:val="single"/>
        </w:rPr>
        <w:lastRenderedPageBreak/>
        <w:t>Award/transfer process, including criteria:</w:t>
      </w:r>
      <w:r w:rsidRPr="005C3EC8">
        <w:rPr>
          <w:rFonts w:ascii="Calibri" w:hAnsi="Calibri"/>
        </w:rPr>
        <w:t xml:space="preserve"> The report provides a general description of the process for awarding MPLs by the DfE (p.59). The process is on a first-come-first-served basis, albeit with provisions for competitive tenders where more than one interested party expressed interest in a specific area (p.59). The report does not provide guidance on any technical or financial criteria assessed by the DfE for awards and transfers. It is unclear from the 2016 EITI Report whether there were any awards or transfers of Minerals Licenses in Northern Ireland in 2016, either through competitive tender or on a first-come-first-served basis. The identity of parties to the license awards and transfers in 2016, and bids where applicable, is unclear from the 2016 EITI Report.</w:t>
      </w:r>
    </w:p>
    <w:p w14:paraId="255CFED0" w14:textId="77777777" w:rsidR="00026580" w:rsidRPr="005C3EC8" w:rsidRDefault="00026580" w:rsidP="00026580">
      <w:pPr>
        <w:spacing w:before="120"/>
        <w:rPr>
          <w:rFonts w:ascii="Calibri" w:hAnsi="Calibri"/>
        </w:rPr>
      </w:pPr>
      <w:r w:rsidRPr="005C3EC8">
        <w:rPr>
          <w:rFonts w:ascii="Calibri" w:hAnsi="Calibri"/>
          <w:i/>
          <w:u w:val="single"/>
        </w:rPr>
        <w:t>Deviations and comprehensiveness</w:t>
      </w:r>
      <w:r w:rsidRPr="005C3EC8">
        <w:rPr>
          <w:rFonts w:ascii="Calibri" w:hAnsi="Calibri"/>
        </w:rPr>
        <w:t>: The report does not refer to any assessment of non-trivial deviations in the award or transfer of any Minerals Licenses in Northern Ireland in 2016. The report does not refer to Minerals Licenses awarded or transferred outside of (or during) the period under review.</w:t>
      </w:r>
    </w:p>
    <w:p w14:paraId="7BA8354B" w14:textId="47AB1011" w:rsidR="00026580" w:rsidRPr="005C3EC8" w:rsidRDefault="00C65785" w:rsidP="00C65785">
      <w:pPr>
        <w:pStyle w:val="Heading5"/>
      </w:pPr>
      <w:r w:rsidRPr="005C3EC8">
        <w:t xml:space="preserve">Licenses held by non-material companies: </w:t>
      </w:r>
      <w:r w:rsidR="00026580" w:rsidRPr="005C3EC8">
        <w:t>Coal Authority licenses</w:t>
      </w:r>
    </w:p>
    <w:p w14:paraId="7F11863D" w14:textId="77777777" w:rsidR="00026580" w:rsidRPr="005C3EC8" w:rsidRDefault="00026580" w:rsidP="00026580">
      <w:pPr>
        <w:spacing w:before="120"/>
        <w:rPr>
          <w:rFonts w:ascii="Calibri" w:hAnsi="Calibri"/>
        </w:rPr>
      </w:pPr>
      <w:r w:rsidRPr="005C3EC8">
        <w:rPr>
          <w:rFonts w:ascii="Calibri" w:hAnsi="Calibri"/>
          <w:b/>
          <w:i/>
        </w:rPr>
        <w:t>Systematic disclosures:</w:t>
      </w:r>
      <w:r w:rsidRPr="005C3EC8">
        <w:rPr>
          <w:rFonts w:ascii="Calibri" w:hAnsi="Calibri"/>
        </w:rPr>
        <w:t xml:space="preserve"> The Coal Authority’s website provides information on the licensing process, including high-level overviews</w:t>
      </w:r>
      <w:r w:rsidRPr="005C3EC8">
        <w:rPr>
          <w:rStyle w:val="FootnoteReference"/>
          <w:rFonts w:ascii="Calibri" w:hAnsi="Calibri"/>
        </w:rPr>
        <w:footnoteReference w:id="136"/>
      </w:r>
      <w:r w:rsidRPr="005C3EC8">
        <w:rPr>
          <w:rFonts w:ascii="Calibri" w:hAnsi="Calibri"/>
        </w:rPr>
        <w:t xml:space="preserve"> of the general technical and financial criteria assessed in awards and transfers of licenses</w:t>
      </w:r>
      <w:r w:rsidRPr="005C3EC8">
        <w:rPr>
          <w:rStyle w:val="FootnoteReference"/>
          <w:rFonts w:ascii="Calibri" w:hAnsi="Calibri"/>
        </w:rPr>
        <w:footnoteReference w:id="137"/>
      </w:r>
      <w:r w:rsidRPr="005C3EC8">
        <w:rPr>
          <w:rFonts w:ascii="Calibri" w:hAnsi="Calibri"/>
        </w:rPr>
        <w:t xml:space="preserve"> (albeit with no specific list of detailed criteria). While there is no specific information on the process for transferring licenses awarded by the Coal Authority, the UK Government website provides guidance on coal license and lease assignments</w:t>
      </w:r>
      <w:r w:rsidRPr="005C3EC8">
        <w:rPr>
          <w:rStyle w:val="FootnoteReference"/>
          <w:rFonts w:ascii="Calibri" w:hAnsi="Calibri"/>
        </w:rPr>
        <w:footnoteReference w:id="138"/>
      </w:r>
      <w:r w:rsidRPr="005C3EC8">
        <w:rPr>
          <w:rFonts w:ascii="Calibri" w:hAnsi="Calibri"/>
        </w:rPr>
        <w:t>, which are the equivalent of transfers. The CA’s interactive map viewer does not provide for searchability by date of award. There is insufficient information online to track license awards and transfers by year in the coal sector.</w:t>
      </w:r>
    </w:p>
    <w:p w14:paraId="5E57C613" w14:textId="77777777" w:rsidR="00026580" w:rsidRPr="005C3EC8" w:rsidRDefault="00026580" w:rsidP="00026580">
      <w:pPr>
        <w:spacing w:before="120"/>
        <w:rPr>
          <w:rFonts w:ascii="Calibri" w:hAnsi="Calibri"/>
        </w:rPr>
      </w:pPr>
      <w:r w:rsidRPr="005C3EC8">
        <w:rPr>
          <w:rFonts w:ascii="Calibri" w:hAnsi="Calibri"/>
          <w:b/>
          <w:i/>
        </w:rPr>
        <w:t>2016 EITI Report:</w:t>
      </w:r>
      <w:r w:rsidRPr="005C3EC8">
        <w:rPr>
          <w:rFonts w:ascii="Calibri" w:hAnsi="Calibri"/>
        </w:rPr>
        <w:t xml:space="preserve"> The report describes the Coal Authority’s responsibilities for issuing licences for coal mining and underground coal gasification as well as granting agreements to enter its coal estate for other processes such as coal bed methane extraction (p.58). While the report provides a link</w:t>
      </w:r>
      <w:r w:rsidRPr="005C3EC8">
        <w:rPr>
          <w:rStyle w:val="FootnoteReference"/>
          <w:rFonts w:ascii="Calibri" w:hAnsi="Calibri"/>
        </w:rPr>
        <w:footnoteReference w:id="139"/>
      </w:r>
      <w:r w:rsidRPr="005C3EC8">
        <w:rPr>
          <w:rFonts w:ascii="Calibri" w:hAnsi="Calibri"/>
        </w:rPr>
        <w:t xml:space="preserve"> to information on coal-mining license areas (p.58), neither the 2016 EITI Report nor the Coal Authority website specifically list the coal license awards and transfers in any given year, including 2016. </w:t>
      </w:r>
    </w:p>
    <w:p w14:paraId="6856A0BD" w14:textId="77777777" w:rsidR="00026580" w:rsidRPr="005C3EC8" w:rsidRDefault="00026580" w:rsidP="00026580">
      <w:pPr>
        <w:spacing w:before="120"/>
        <w:rPr>
          <w:rFonts w:ascii="Calibri" w:hAnsi="Calibri"/>
        </w:rPr>
      </w:pPr>
      <w:r w:rsidRPr="005C3EC8">
        <w:rPr>
          <w:rFonts w:ascii="Calibri" w:hAnsi="Calibri"/>
          <w:i/>
          <w:u w:val="single"/>
        </w:rPr>
        <w:t>Award/transfer process, including criteria:</w:t>
      </w:r>
      <w:r w:rsidRPr="005C3EC8">
        <w:rPr>
          <w:rFonts w:ascii="Calibri" w:hAnsi="Calibri"/>
        </w:rPr>
        <w:t xml:space="preserve"> The report describes the Coal Authority’s responsibility for issuing licences related to coal mining (p.58), with links to further information on the Coal Authority website.</w:t>
      </w:r>
      <w:r w:rsidRPr="005C3EC8">
        <w:rPr>
          <w:rStyle w:val="FootnoteReference"/>
          <w:rFonts w:ascii="Calibri" w:hAnsi="Calibri"/>
        </w:rPr>
        <w:footnoteReference w:id="140"/>
      </w:r>
      <w:r w:rsidRPr="005C3EC8">
        <w:rPr>
          <w:rFonts w:ascii="Calibri" w:hAnsi="Calibri"/>
        </w:rPr>
        <w:t xml:space="preserve"> It is unclear from the 2016 EITI Report whether there were any awards or transfers of licenses in coal in 2016. The identity of parties to the license awards and transfers, if applicable, is unclear from the 2016 EITI Report. It is unclear whether any coal mining licenses was awarded  through tender. </w:t>
      </w:r>
    </w:p>
    <w:p w14:paraId="5E616AB2" w14:textId="77777777" w:rsidR="00026580" w:rsidRPr="005C3EC8" w:rsidRDefault="00026580" w:rsidP="00026580">
      <w:pPr>
        <w:spacing w:before="120"/>
        <w:rPr>
          <w:rFonts w:ascii="Calibri" w:hAnsi="Calibri"/>
          <w:bCs/>
        </w:rPr>
      </w:pPr>
      <w:r w:rsidRPr="005C3EC8">
        <w:rPr>
          <w:rFonts w:ascii="Calibri" w:hAnsi="Calibri"/>
          <w:i/>
          <w:u w:val="single"/>
        </w:rPr>
        <w:t>Deviations and comprehensiveness</w:t>
      </w:r>
      <w:r w:rsidRPr="005C3EC8">
        <w:rPr>
          <w:rFonts w:ascii="Calibri" w:hAnsi="Calibri"/>
        </w:rPr>
        <w:t xml:space="preserve">: The 2016 EITI Report does not clarify the number of coal license awards and transfers in 2016, nor any related non-trivial deviations. The report does not refer to licenses awarded by the Coal Authority outside of the period under review. </w:t>
      </w:r>
    </w:p>
    <w:p w14:paraId="5A47080D" w14:textId="3905C7D5" w:rsidR="00026580" w:rsidRPr="005C3EC8" w:rsidRDefault="00C65785" w:rsidP="00C65785">
      <w:pPr>
        <w:pStyle w:val="Heading5"/>
      </w:pPr>
      <w:r w:rsidRPr="005C3EC8">
        <w:lastRenderedPageBreak/>
        <w:t xml:space="preserve">Licenses held by non-material companies: </w:t>
      </w:r>
      <w:r w:rsidR="00026580" w:rsidRPr="005C3EC8">
        <w:t>Gold and silver</w:t>
      </w:r>
    </w:p>
    <w:p w14:paraId="720CCF4F" w14:textId="77777777" w:rsidR="00026580" w:rsidRPr="005C3EC8" w:rsidRDefault="00026580" w:rsidP="00026580">
      <w:pPr>
        <w:spacing w:before="120"/>
        <w:rPr>
          <w:rFonts w:ascii="Calibri" w:hAnsi="Calibri"/>
        </w:rPr>
      </w:pPr>
      <w:r w:rsidRPr="005C3EC8">
        <w:rPr>
          <w:rFonts w:ascii="Calibri" w:hAnsi="Calibri"/>
          <w:b/>
          <w:i/>
        </w:rPr>
        <w:t>Systematic disclosures:</w:t>
      </w:r>
      <w:r w:rsidRPr="005C3EC8">
        <w:rPr>
          <w:rFonts w:ascii="Calibri" w:hAnsi="Calibri"/>
          <w:bCs/>
        </w:rPr>
        <w:t xml:space="preserve"> The TCE website confirms the entity’s responsibility for managing the rights to deposits of ‘Mines Royal’ (gold and silver) throughout the UK</w:t>
      </w:r>
      <w:r w:rsidRPr="005C3EC8">
        <w:rPr>
          <w:rStyle w:val="FootnoteReference"/>
          <w:rFonts w:ascii="Calibri" w:hAnsi="Calibri"/>
          <w:bCs/>
        </w:rPr>
        <w:footnoteReference w:id="141"/>
      </w:r>
      <w:r w:rsidRPr="005C3EC8">
        <w:rPr>
          <w:rFonts w:ascii="Calibri" w:hAnsi="Calibri"/>
          <w:bCs/>
        </w:rPr>
        <w:t xml:space="preserve">, but does not describe the process for awarding option agreements for gold and silver. </w:t>
      </w:r>
      <w:r w:rsidRPr="005C3EC8">
        <w:rPr>
          <w:rFonts w:ascii="Calibri" w:hAnsi="Calibri"/>
        </w:rPr>
        <w:t>The UK Government website</w:t>
      </w:r>
      <w:r w:rsidRPr="005C3EC8">
        <w:rPr>
          <w:rStyle w:val="FootnoteReference"/>
          <w:rFonts w:ascii="Calibri" w:hAnsi="Calibri"/>
        </w:rPr>
        <w:footnoteReference w:id="142"/>
      </w:r>
      <w:r w:rsidRPr="005C3EC8">
        <w:rPr>
          <w:rFonts w:ascii="Calibri" w:hAnsi="Calibri"/>
        </w:rPr>
        <w:t xml:space="preserve"> confirms that TCE leases for commercially exploiting any Mines Royal (i.e. silver and gold) are managed by a TCE Mineral Agent, Wardell Armstrong LLP. </w:t>
      </w:r>
      <w:r w:rsidRPr="005C3EC8">
        <w:rPr>
          <w:rFonts w:ascii="Calibri" w:hAnsi="Calibri"/>
          <w:bCs/>
        </w:rPr>
        <w:t>Since April 2017, TCE has devolved its powers in Scotland to Crown Estate Scotland (CES).</w:t>
      </w:r>
      <w:r w:rsidRPr="005C3EC8">
        <w:rPr>
          <w:rFonts w:ascii="Calibri" w:hAnsi="Calibri"/>
        </w:rPr>
        <w:t xml:space="preserve"> While the CES website provides information on the process for awarding and renewing Mines Royal options in Scotland</w:t>
      </w:r>
      <w:r w:rsidRPr="005C3EC8">
        <w:rPr>
          <w:rStyle w:val="FootnoteReference"/>
          <w:rFonts w:ascii="Calibri" w:hAnsi="Calibri"/>
        </w:rPr>
        <w:footnoteReference w:id="143"/>
      </w:r>
      <w:r w:rsidRPr="005C3EC8">
        <w:rPr>
          <w:rFonts w:ascii="Calibri" w:hAnsi="Calibri"/>
        </w:rPr>
        <w:t xml:space="preserve">, it is unclear from the TCE website whether the same process applies to Mines Royal options in the rest of the UK. </w:t>
      </w:r>
      <w:r w:rsidRPr="005C3EC8">
        <w:rPr>
          <w:rFonts w:ascii="Calibri" w:hAnsi="Calibri"/>
          <w:bCs/>
        </w:rPr>
        <w:t>The CES website provides a categorical bar on extraction of gold panning in Scotland.</w:t>
      </w:r>
      <w:r w:rsidRPr="005C3EC8">
        <w:rPr>
          <w:rStyle w:val="FootnoteReference"/>
          <w:rFonts w:ascii="Calibri" w:hAnsi="Calibri"/>
          <w:bCs/>
        </w:rPr>
        <w:footnoteReference w:id="144"/>
      </w:r>
      <w:r w:rsidRPr="005C3EC8">
        <w:rPr>
          <w:rFonts w:ascii="Calibri" w:hAnsi="Calibri"/>
          <w:bCs/>
        </w:rPr>
        <w:t xml:space="preserve">  </w:t>
      </w:r>
    </w:p>
    <w:p w14:paraId="7079FBD0" w14:textId="77777777" w:rsidR="00026580" w:rsidRPr="005C3EC8" w:rsidRDefault="00026580" w:rsidP="00026580">
      <w:pPr>
        <w:spacing w:before="120"/>
        <w:rPr>
          <w:rFonts w:ascii="Calibri" w:hAnsi="Calibri"/>
        </w:rPr>
      </w:pPr>
      <w:r w:rsidRPr="005C3EC8">
        <w:rPr>
          <w:rFonts w:ascii="Calibri" w:hAnsi="Calibri"/>
          <w:b/>
          <w:i/>
        </w:rPr>
        <w:t>2016 EITI Report:</w:t>
      </w:r>
      <w:r w:rsidRPr="005C3EC8">
        <w:rPr>
          <w:rFonts w:ascii="Calibri" w:hAnsi="Calibri"/>
          <w:bCs/>
        </w:rPr>
        <w:t xml:space="preserve"> While the report confirms TCE’s responsibilities for managing mineral leases for gold and silver, it notes that there is “no significant” gold and silver production in the UK (p.61), albeit without clarifying whether there were any awards or transfer of rights for gold or silver mining or exploration in 2016. </w:t>
      </w:r>
    </w:p>
    <w:p w14:paraId="12BE4CFB" w14:textId="77777777" w:rsidR="00026580" w:rsidRPr="005C3EC8" w:rsidRDefault="00026580" w:rsidP="00026580">
      <w:pPr>
        <w:spacing w:before="120"/>
        <w:rPr>
          <w:rFonts w:ascii="Calibri" w:hAnsi="Calibri"/>
        </w:rPr>
      </w:pPr>
      <w:r w:rsidRPr="005C3EC8">
        <w:rPr>
          <w:rFonts w:ascii="Calibri" w:hAnsi="Calibri"/>
          <w:i/>
          <w:u w:val="single"/>
        </w:rPr>
        <w:t>Award/transfer process, including criteria:</w:t>
      </w:r>
      <w:r w:rsidRPr="005C3EC8">
        <w:rPr>
          <w:rFonts w:ascii="Calibri" w:hAnsi="Calibri"/>
        </w:rPr>
        <w:t xml:space="preserve"> The report confirms TCE’s responsibility for awarding exploration and extraction option agreements for gold and silver (p.61), but without describing the process for awarding or transferring these (nor criteria assessed) aside from noting that there is currently no “significant” production of gold or silver (p.61). The report confirms that management of licensing can at times be undertaken by private agents on behalf of TCE (p.58). The identity of any recipient of new gold or silver option agreements in 2016 is unclear from the report. </w:t>
      </w:r>
    </w:p>
    <w:p w14:paraId="299BFABF" w14:textId="77777777" w:rsidR="00026580" w:rsidRPr="005C3EC8" w:rsidRDefault="00026580" w:rsidP="00026580">
      <w:pPr>
        <w:spacing w:before="120"/>
        <w:rPr>
          <w:rFonts w:ascii="Calibri" w:hAnsi="Calibri"/>
        </w:rPr>
      </w:pPr>
      <w:r w:rsidRPr="005C3EC8">
        <w:rPr>
          <w:rFonts w:ascii="Calibri" w:hAnsi="Calibri"/>
          <w:i/>
          <w:u w:val="single"/>
        </w:rPr>
        <w:t>Deviations and comprehensiveness</w:t>
      </w:r>
      <w:r w:rsidRPr="005C3EC8">
        <w:rPr>
          <w:rFonts w:ascii="Calibri" w:hAnsi="Calibri"/>
        </w:rPr>
        <w:t xml:space="preserve">: The report does not describe any awards or transfers of gold or silver option agreements, nor assess the existence of any deviations. </w:t>
      </w:r>
    </w:p>
    <w:p w14:paraId="24BD9F5A" w14:textId="05CF9C2C" w:rsidR="00F425D1" w:rsidRPr="005C3EC8" w:rsidRDefault="00026580" w:rsidP="00F425D1">
      <w:pPr>
        <w:spacing w:before="120"/>
        <w:rPr>
          <w:rFonts w:ascii="Calibri" w:hAnsi="Calibri"/>
        </w:rPr>
      </w:pPr>
      <w:r w:rsidRPr="005C3EC8">
        <w:rPr>
          <w:rFonts w:ascii="Calibri" w:hAnsi="Calibri"/>
          <w:i/>
          <w:u w:val="single"/>
        </w:rPr>
        <w:t>Commentary on efficiency</w:t>
      </w:r>
      <w:r w:rsidRPr="005C3EC8">
        <w:rPr>
          <w:rFonts w:ascii="Calibri" w:hAnsi="Calibri"/>
        </w:rPr>
        <w:t xml:space="preserve">: The UK’s EITI Reports have not commented on the efficiency of the licensing systems related to mining and quarrying to date. </w:t>
      </w:r>
    </w:p>
    <w:p w14:paraId="5CEC8AAC" w14:textId="7F2B4EDC" w:rsidR="00247985" w:rsidRPr="005C3EC8" w:rsidRDefault="00F425D1">
      <w:pPr>
        <w:pStyle w:val="Heading3"/>
      </w:pPr>
      <w:r w:rsidRPr="005C3EC8">
        <w:t>Stakeholder views</w:t>
      </w:r>
    </w:p>
    <w:p w14:paraId="41DE028B" w14:textId="2958A6F6" w:rsidR="00585896" w:rsidRPr="005C3EC8" w:rsidRDefault="00A77116" w:rsidP="00A77116">
      <w:pPr>
        <w:spacing w:before="120"/>
        <w:rPr>
          <w:rFonts w:ascii="Calibri" w:hAnsi="Calibri"/>
          <w:bCs/>
        </w:rPr>
      </w:pPr>
      <w:r w:rsidRPr="005C3EC8">
        <w:rPr>
          <w:rFonts w:ascii="Calibri" w:hAnsi="Calibri"/>
          <w:bCs/>
          <w:i/>
          <w:u w:val="single"/>
        </w:rPr>
        <w:t>Awards</w:t>
      </w:r>
      <w:r w:rsidRPr="005C3EC8">
        <w:rPr>
          <w:rFonts w:ascii="Calibri" w:hAnsi="Calibri"/>
          <w:bCs/>
          <w:i/>
        </w:rPr>
        <w:t xml:space="preserve">: </w:t>
      </w:r>
      <w:r w:rsidRPr="005C3EC8">
        <w:rPr>
          <w:rFonts w:ascii="Calibri" w:hAnsi="Calibri"/>
          <w:bCs/>
        </w:rPr>
        <w:t>In</w:t>
      </w:r>
      <w:r w:rsidRPr="005C3EC8">
        <w:rPr>
          <w:rFonts w:ascii="Calibri" w:hAnsi="Calibri"/>
          <w:bCs/>
          <w:i/>
        </w:rPr>
        <w:t xml:space="preserve"> oil and gas, </w:t>
      </w:r>
      <w:r w:rsidRPr="005C3EC8">
        <w:rPr>
          <w:rFonts w:ascii="Calibri" w:hAnsi="Calibri"/>
          <w:bCs/>
        </w:rPr>
        <w:t>a government official noted that out-of-round awards of oil and gas licenses was extremely rare, pointing to evidence in the National Archives that the last such award outside a licensing round had occurred in 2010. There was consensus among stakeholders consulted that there had been no awards of oil and gas licenses in 2016</w:t>
      </w:r>
      <w:r w:rsidR="00464DD3" w:rsidRPr="005C3EC8">
        <w:rPr>
          <w:rFonts w:ascii="Calibri" w:hAnsi="Calibri"/>
          <w:bCs/>
        </w:rPr>
        <w:t>, although there had been transfers of licenses</w:t>
      </w:r>
      <w:r w:rsidRPr="005C3EC8">
        <w:rPr>
          <w:rFonts w:ascii="Calibri" w:hAnsi="Calibri"/>
          <w:bCs/>
        </w:rPr>
        <w:t xml:space="preserve">. </w:t>
      </w:r>
    </w:p>
    <w:p w14:paraId="198929E3" w14:textId="7D14541A" w:rsidR="00A77116" w:rsidRPr="005C3EC8" w:rsidRDefault="00A77116" w:rsidP="00A77116">
      <w:pPr>
        <w:spacing w:before="120"/>
        <w:rPr>
          <w:rFonts w:ascii="Calibri" w:hAnsi="Calibri"/>
          <w:bCs/>
        </w:rPr>
      </w:pPr>
      <w:r w:rsidRPr="005C3EC8">
        <w:rPr>
          <w:rFonts w:ascii="Calibri" w:hAnsi="Calibri"/>
          <w:bCs/>
        </w:rPr>
        <w:t>In</w:t>
      </w:r>
      <w:r w:rsidRPr="005C3EC8">
        <w:rPr>
          <w:rFonts w:ascii="Calibri" w:hAnsi="Calibri"/>
          <w:bCs/>
          <w:i/>
        </w:rPr>
        <w:t xml:space="preserve"> coal, </w:t>
      </w:r>
      <w:r w:rsidRPr="005C3EC8">
        <w:rPr>
          <w:rFonts w:ascii="Calibri" w:hAnsi="Calibri"/>
          <w:bCs/>
        </w:rPr>
        <w:t>a government representative confirmed that there had been several license awards by the Coal Authority in 2016, although these were not routinely disclosed to the public other than by being reflected in the Authority’s cadastral portal. However, the representative noted that the Coal Authority submitted quarterly rep</w:t>
      </w:r>
      <w:r w:rsidR="00CB2F28" w:rsidRPr="005C3EC8">
        <w:rPr>
          <w:rFonts w:ascii="Calibri" w:hAnsi="Calibri"/>
          <w:bCs/>
        </w:rPr>
        <w:t>orts</w:t>
      </w:r>
      <w:r w:rsidR="00CB2F28" w:rsidRPr="005C3EC8">
        <w:rPr>
          <w:rStyle w:val="FootnoteReference"/>
          <w:rFonts w:ascii="Calibri" w:hAnsi="Calibri"/>
          <w:bCs/>
        </w:rPr>
        <w:footnoteReference w:id="145"/>
      </w:r>
      <w:r w:rsidR="00CB2F28" w:rsidRPr="005C3EC8">
        <w:rPr>
          <w:rFonts w:ascii="Calibri" w:hAnsi="Calibri"/>
          <w:bCs/>
        </w:rPr>
        <w:t xml:space="preserve"> to the Department of BEIS</w:t>
      </w:r>
      <w:r w:rsidRPr="005C3EC8">
        <w:rPr>
          <w:rFonts w:ascii="Calibri" w:hAnsi="Calibri"/>
          <w:bCs/>
        </w:rPr>
        <w:t xml:space="preserve">, which clearly highlighted the licenses awarded by the Coal </w:t>
      </w:r>
      <w:r w:rsidRPr="005C3EC8">
        <w:rPr>
          <w:rFonts w:ascii="Calibri" w:hAnsi="Calibri"/>
          <w:bCs/>
        </w:rPr>
        <w:lastRenderedPageBreak/>
        <w:t xml:space="preserve">Authority in each quarter. </w:t>
      </w:r>
    </w:p>
    <w:p w14:paraId="686BB42E" w14:textId="415EDC9E" w:rsidR="00A77116" w:rsidRPr="005C3EC8" w:rsidRDefault="00734B92" w:rsidP="00A77116">
      <w:pPr>
        <w:spacing w:before="120"/>
        <w:rPr>
          <w:rFonts w:ascii="Calibri" w:hAnsi="Calibri"/>
          <w:bCs/>
        </w:rPr>
      </w:pPr>
      <w:r w:rsidRPr="005C3EC8">
        <w:rPr>
          <w:rFonts w:ascii="Calibri" w:hAnsi="Calibri"/>
          <w:bCs/>
        </w:rPr>
        <w:t xml:space="preserve">In terms of </w:t>
      </w:r>
      <w:r w:rsidRPr="005C3EC8">
        <w:rPr>
          <w:rFonts w:ascii="Calibri" w:hAnsi="Calibri"/>
          <w:bCs/>
          <w:i/>
        </w:rPr>
        <w:t>licenses awarded by TCE</w:t>
      </w:r>
      <w:r w:rsidRPr="005C3EC8">
        <w:rPr>
          <w:rFonts w:ascii="Calibri" w:hAnsi="Calibri"/>
          <w:bCs/>
        </w:rPr>
        <w:t xml:space="preserve">, </w:t>
      </w:r>
      <w:r w:rsidR="00D23E38" w:rsidRPr="005C3EC8">
        <w:rPr>
          <w:rFonts w:ascii="Calibri" w:hAnsi="Calibri"/>
          <w:bCs/>
        </w:rPr>
        <w:t xml:space="preserve">a public-sector representative noted that </w:t>
      </w:r>
      <w:r w:rsidR="00DD6D79" w:rsidRPr="005C3EC8">
        <w:rPr>
          <w:rFonts w:ascii="Calibri" w:hAnsi="Calibri"/>
          <w:bCs/>
        </w:rPr>
        <w:t xml:space="preserve">TCE tended to grant marine aggregates licenses through competitive tender every few years, although there had been a few bilateral awards in the past. The official noted that all pre-qualification criteria were included in the ‘Invitation to tender (ITT)’ pack provided to any interested party. </w:t>
      </w:r>
      <w:r w:rsidR="00F97E99" w:rsidRPr="005C3EC8">
        <w:rPr>
          <w:rFonts w:ascii="Calibri" w:hAnsi="Calibri"/>
          <w:bCs/>
        </w:rPr>
        <w:t xml:space="preserve">While he noted that the MMO consulted widely ahead of granting marine licenses for aggregates dredging, it was unclear from consultations whether the MMO advertised decisions on granting or agreeing to the assignment of marine licenses. </w:t>
      </w:r>
      <w:r w:rsidR="00E8158E" w:rsidRPr="005C3EC8">
        <w:rPr>
          <w:rFonts w:ascii="Calibri" w:hAnsi="Calibri"/>
          <w:bCs/>
        </w:rPr>
        <w:t xml:space="preserve">Nonetheless the official noted that it was likely that new marine aggregates agreements and associated marine licenses had been awarded in 2016. </w:t>
      </w:r>
      <w:r w:rsidR="00EA7165" w:rsidRPr="005C3EC8">
        <w:rPr>
          <w:rFonts w:ascii="Calibri" w:hAnsi="Calibri"/>
          <w:bCs/>
        </w:rPr>
        <w:t xml:space="preserve">A representative explained that there were clear criteria assessed for awards of land-based mineral leases by TCE, although these were not publicly codified. </w:t>
      </w:r>
      <w:r w:rsidR="004026FE" w:rsidRPr="005C3EC8">
        <w:rPr>
          <w:rFonts w:ascii="Calibri" w:hAnsi="Calibri"/>
          <w:bCs/>
        </w:rPr>
        <w:t xml:space="preserve">The Mineral Agent assessed applications for land-based mineral leases and submitted a recommendation to TCE, which took the final decision. </w:t>
      </w:r>
      <w:r w:rsidR="00DD6D79" w:rsidRPr="005C3EC8">
        <w:rPr>
          <w:rFonts w:ascii="Calibri" w:hAnsi="Calibri"/>
          <w:bCs/>
        </w:rPr>
        <w:t>A</w:t>
      </w:r>
      <w:r w:rsidR="00D23E38" w:rsidRPr="005C3EC8">
        <w:rPr>
          <w:rFonts w:ascii="Calibri" w:hAnsi="Calibri"/>
          <w:bCs/>
        </w:rPr>
        <w:t xml:space="preserve"> </w:t>
      </w:r>
      <w:r w:rsidRPr="005C3EC8">
        <w:rPr>
          <w:rFonts w:ascii="Calibri" w:hAnsi="Calibri"/>
          <w:bCs/>
        </w:rPr>
        <w:t>government representative explained that Option Agreements were granted</w:t>
      </w:r>
      <w:r w:rsidR="00DD6D79" w:rsidRPr="005C3EC8">
        <w:rPr>
          <w:rFonts w:ascii="Calibri" w:hAnsi="Calibri"/>
          <w:bCs/>
        </w:rPr>
        <w:t xml:space="preserve"> by TCE</w:t>
      </w:r>
      <w:r w:rsidRPr="005C3EC8">
        <w:rPr>
          <w:rFonts w:ascii="Calibri" w:hAnsi="Calibri"/>
          <w:bCs/>
        </w:rPr>
        <w:t xml:space="preserve"> to appropriate parties for Mines Royal, although did not clarify whether any such Option Agreements had been granted in 2016. </w:t>
      </w:r>
      <w:r w:rsidR="00A77116" w:rsidRPr="005C3EC8">
        <w:rPr>
          <w:rFonts w:ascii="Calibri" w:hAnsi="Calibri"/>
          <w:bCs/>
        </w:rPr>
        <w:t>Several industry representatives noted that The Crown Estate’s primary business consisted of property management rather than extractives, which could explain the gaps in public information about TCE’s minerals licensing procedures. Several CSN representatives considered that TCE licensing was not standardised and noted the different names of licenses awarded by TCE, although they clarified that this represented a lack of public clarity in TCE systems rather than a</w:t>
      </w:r>
      <w:r w:rsidRPr="005C3EC8">
        <w:rPr>
          <w:rFonts w:ascii="Calibri" w:hAnsi="Calibri"/>
          <w:bCs/>
        </w:rPr>
        <w:t>ny</w:t>
      </w:r>
      <w:r w:rsidR="00A77116" w:rsidRPr="005C3EC8">
        <w:rPr>
          <w:rFonts w:ascii="Calibri" w:hAnsi="Calibri"/>
          <w:bCs/>
        </w:rPr>
        <w:t xml:space="preserve"> </w:t>
      </w:r>
      <w:r w:rsidRPr="005C3EC8">
        <w:rPr>
          <w:rFonts w:ascii="Calibri" w:hAnsi="Calibri"/>
          <w:bCs/>
        </w:rPr>
        <w:t xml:space="preserve">kind of </w:t>
      </w:r>
      <w:r w:rsidR="00A77116" w:rsidRPr="005C3EC8">
        <w:rPr>
          <w:rFonts w:ascii="Calibri" w:hAnsi="Calibri"/>
          <w:bCs/>
        </w:rPr>
        <w:t xml:space="preserve">manipulation. </w:t>
      </w:r>
    </w:p>
    <w:p w14:paraId="7F20430A" w14:textId="6B4A5F93" w:rsidR="00A77116" w:rsidRPr="005C3EC8" w:rsidRDefault="00A77116" w:rsidP="00A77116">
      <w:pPr>
        <w:spacing w:before="120"/>
        <w:rPr>
          <w:rFonts w:ascii="Calibri" w:hAnsi="Calibri"/>
          <w:bCs/>
          <w:i/>
        </w:rPr>
      </w:pPr>
      <w:r w:rsidRPr="005C3EC8">
        <w:rPr>
          <w:rFonts w:ascii="Calibri" w:hAnsi="Calibri"/>
          <w:bCs/>
          <w:i/>
          <w:u w:val="single"/>
        </w:rPr>
        <w:t>Transfers</w:t>
      </w:r>
      <w:r w:rsidRPr="005C3EC8">
        <w:rPr>
          <w:rFonts w:ascii="Calibri" w:hAnsi="Calibri"/>
          <w:bCs/>
          <w:i/>
        </w:rPr>
        <w:t>:</w:t>
      </w:r>
      <w:r w:rsidR="00734B92" w:rsidRPr="005C3EC8">
        <w:rPr>
          <w:rFonts w:ascii="Calibri" w:hAnsi="Calibri"/>
          <w:bCs/>
          <w:i/>
        </w:rPr>
        <w:t xml:space="preserve"> </w:t>
      </w:r>
      <w:r w:rsidR="00734B92" w:rsidRPr="005C3EC8">
        <w:rPr>
          <w:rFonts w:ascii="Calibri" w:hAnsi="Calibri"/>
          <w:bCs/>
        </w:rPr>
        <w:t>In terms of</w:t>
      </w:r>
      <w:r w:rsidR="00734B92" w:rsidRPr="005C3EC8">
        <w:rPr>
          <w:rFonts w:ascii="Calibri" w:hAnsi="Calibri"/>
          <w:bCs/>
          <w:i/>
        </w:rPr>
        <w:t xml:space="preserve"> oil and gas, </w:t>
      </w:r>
      <w:r w:rsidR="00734B92" w:rsidRPr="005C3EC8">
        <w:rPr>
          <w:rFonts w:ascii="Calibri" w:hAnsi="Calibri"/>
          <w:bCs/>
        </w:rPr>
        <w:t>a</w:t>
      </w:r>
      <w:r w:rsidRPr="005C3EC8">
        <w:rPr>
          <w:rFonts w:ascii="Calibri" w:hAnsi="Calibri"/>
          <w:bCs/>
        </w:rPr>
        <w:t xml:space="preserve"> government MSG member confirmed that licenses were transferable upon authorisation of the OGA and that there had been several transfers in 2016. While information on licenses was accessible through the OGA’s Petroleum e-business assignments and relinquishment system (PEARS)</w:t>
      </w:r>
      <w:r w:rsidRPr="005C3EC8">
        <w:rPr>
          <w:rFonts w:ascii="Calibri" w:hAnsi="Calibri"/>
          <w:bCs/>
          <w:vertAlign w:val="superscript"/>
        </w:rPr>
        <w:footnoteReference w:id="146"/>
      </w:r>
      <w:r w:rsidRPr="005C3EC8">
        <w:rPr>
          <w:rFonts w:ascii="Calibri" w:hAnsi="Calibri"/>
          <w:bCs/>
        </w:rPr>
        <w:t xml:space="preserve"> upon registration, the official noted that it was not possible to view historical transfers through the system. Although OGA had this information on record, this was not routinely disclosed. However, the </w:t>
      </w:r>
      <w:r w:rsidR="00734B92" w:rsidRPr="005C3EC8">
        <w:rPr>
          <w:rFonts w:ascii="Calibri" w:hAnsi="Calibri"/>
          <w:bCs/>
        </w:rPr>
        <w:t xml:space="preserve">representative noted that license data was updated in real time on the OGA website, reflecting transfers once concluded. </w:t>
      </w:r>
    </w:p>
    <w:p w14:paraId="32E8FA94" w14:textId="63C43D0F" w:rsidR="00A77116" w:rsidRPr="005C3EC8" w:rsidRDefault="00734B92" w:rsidP="00A77116">
      <w:pPr>
        <w:spacing w:before="120"/>
        <w:rPr>
          <w:rFonts w:ascii="Calibri" w:hAnsi="Calibri"/>
          <w:bCs/>
        </w:rPr>
      </w:pPr>
      <w:r w:rsidRPr="005C3EC8">
        <w:rPr>
          <w:rFonts w:ascii="Calibri" w:hAnsi="Calibri"/>
          <w:bCs/>
        </w:rPr>
        <w:t>In terms of</w:t>
      </w:r>
      <w:r w:rsidRPr="005C3EC8">
        <w:rPr>
          <w:rFonts w:ascii="Calibri" w:hAnsi="Calibri"/>
          <w:bCs/>
          <w:i/>
        </w:rPr>
        <w:t xml:space="preserve"> coal, </w:t>
      </w:r>
      <w:r w:rsidRPr="005C3EC8">
        <w:rPr>
          <w:rFonts w:ascii="Calibri" w:hAnsi="Calibri"/>
          <w:bCs/>
        </w:rPr>
        <w:t>a</w:t>
      </w:r>
      <w:r w:rsidR="00A77116" w:rsidRPr="005C3EC8">
        <w:rPr>
          <w:rFonts w:ascii="Calibri" w:hAnsi="Calibri"/>
          <w:bCs/>
        </w:rPr>
        <w:t xml:space="preserve"> government representative considered that it was likely that there had been transfers of licenses awarded by the Coal Authority in 2016, but noted that this was not routinely tracked in publicly-accessible information. While he Coal Authority had information on transfers in its systems, it would need to develop a system to extract this data, which it had not previously been asked to do. With regards to the process for transferring coal-related licenses, the representative noted that these were allowed subject to approval by the Coal Authority. The process consisted of the transferring company submitting a ‘Consent to assign’ application, with the transferee company applying for a variance on the license in question. It was confirmed that such applications were treated in the same way as new applications, insofar as the same technical and financial criteria were assessed for both awards and transfers. </w:t>
      </w:r>
    </w:p>
    <w:p w14:paraId="7A674701" w14:textId="7E7C856C" w:rsidR="00CF733E" w:rsidRPr="005C3EC8" w:rsidRDefault="00CF733E" w:rsidP="00A77116">
      <w:pPr>
        <w:spacing w:before="120"/>
        <w:rPr>
          <w:rFonts w:ascii="Calibri" w:hAnsi="Calibri"/>
          <w:bCs/>
        </w:rPr>
      </w:pPr>
      <w:r w:rsidRPr="005C3EC8">
        <w:rPr>
          <w:rFonts w:ascii="Calibri" w:hAnsi="Calibri"/>
          <w:bCs/>
        </w:rPr>
        <w:t xml:space="preserve">In terms of </w:t>
      </w:r>
      <w:r w:rsidRPr="005C3EC8">
        <w:rPr>
          <w:rFonts w:ascii="Calibri" w:hAnsi="Calibri"/>
          <w:bCs/>
          <w:i/>
        </w:rPr>
        <w:t>marine aggregates agreements from TCE</w:t>
      </w:r>
      <w:r w:rsidRPr="005C3EC8">
        <w:rPr>
          <w:rFonts w:ascii="Calibri" w:hAnsi="Calibri"/>
          <w:bCs/>
        </w:rPr>
        <w:t xml:space="preserve">, </w:t>
      </w:r>
      <w:r w:rsidR="00CA3D14" w:rsidRPr="005C3EC8">
        <w:rPr>
          <w:rFonts w:ascii="Calibri" w:hAnsi="Calibri"/>
          <w:bCs/>
        </w:rPr>
        <w:t xml:space="preserve">a public-sector representative confirmed these could be assigned subject to agreement from the MMO (or other devolved authority depending on the location) on the assignment of the relevant marine license. </w:t>
      </w:r>
      <w:r w:rsidR="00136BE8" w:rsidRPr="005C3EC8">
        <w:rPr>
          <w:rFonts w:ascii="Calibri" w:hAnsi="Calibri"/>
          <w:bCs/>
        </w:rPr>
        <w:t xml:space="preserve">With regards to </w:t>
      </w:r>
      <w:r w:rsidR="00136BE8" w:rsidRPr="005C3EC8">
        <w:rPr>
          <w:rFonts w:ascii="Calibri" w:hAnsi="Calibri"/>
          <w:bCs/>
          <w:i/>
        </w:rPr>
        <w:t xml:space="preserve">land-based mineral leases </w:t>
      </w:r>
      <w:r w:rsidR="00136BE8" w:rsidRPr="005C3EC8">
        <w:rPr>
          <w:rFonts w:ascii="Calibri" w:hAnsi="Calibri"/>
          <w:bCs/>
          <w:i/>
        </w:rPr>
        <w:lastRenderedPageBreak/>
        <w:t>from TCE</w:t>
      </w:r>
      <w:r w:rsidR="00136BE8" w:rsidRPr="005C3EC8">
        <w:rPr>
          <w:rFonts w:ascii="Calibri" w:hAnsi="Calibri"/>
          <w:bCs/>
        </w:rPr>
        <w:t xml:space="preserve">, a representative explained that it was possible to transfer a lease in most cases, but that this depended on whether the </w:t>
      </w:r>
      <w:r w:rsidR="00EE08DC" w:rsidRPr="005C3EC8">
        <w:rPr>
          <w:rFonts w:ascii="Calibri" w:hAnsi="Calibri"/>
          <w:bCs/>
        </w:rPr>
        <w:t>lease included an assignment provision. The representative confirmed that TCE approval was required for such transfers</w:t>
      </w:r>
      <w:r w:rsidR="00EF6C65" w:rsidRPr="005C3EC8">
        <w:rPr>
          <w:rFonts w:ascii="Calibri" w:hAnsi="Calibri"/>
          <w:bCs/>
        </w:rPr>
        <w:t>, but noted that transfers of land-based mineral leases on TCE land were very rare</w:t>
      </w:r>
      <w:r w:rsidR="00EE08DC" w:rsidRPr="005C3EC8">
        <w:rPr>
          <w:rFonts w:ascii="Calibri" w:hAnsi="Calibri"/>
          <w:bCs/>
        </w:rPr>
        <w:t xml:space="preserve">. </w:t>
      </w:r>
      <w:r w:rsidR="002E294F" w:rsidRPr="005C3EC8">
        <w:rPr>
          <w:rFonts w:ascii="Calibri" w:hAnsi="Calibri"/>
          <w:bCs/>
        </w:rPr>
        <w:t xml:space="preserve">With regards to Option Agreements for Mines Royal (gold and silver), the representative confirmed that it was not possible to transfer or assign such agreements to another party. </w:t>
      </w:r>
    </w:p>
    <w:p w14:paraId="6314422C" w14:textId="039CF75F" w:rsidR="00A21B19" w:rsidRPr="005C3EC8" w:rsidRDefault="00A21B19" w:rsidP="00A77116">
      <w:pPr>
        <w:spacing w:before="120"/>
        <w:rPr>
          <w:rFonts w:ascii="Calibri" w:hAnsi="Calibri"/>
          <w:bCs/>
        </w:rPr>
      </w:pPr>
      <w:r w:rsidRPr="005C3EC8">
        <w:rPr>
          <w:rFonts w:ascii="Calibri" w:hAnsi="Calibri"/>
          <w:bCs/>
        </w:rPr>
        <w:t xml:space="preserve">With regards to </w:t>
      </w:r>
      <w:r w:rsidRPr="005C3EC8">
        <w:rPr>
          <w:rFonts w:ascii="Calibri" w:hAnsi="Calibri"/>
          <w:bCs/>
          <w:i/>
        </w:rPr>
        <w:t>Minerals Licenses in Northern Ireland</w:t>
      </w:r>
      <w:r w:rsidRPr="005C3EC8">
        <w:rPr>
          <w:rFonts w:ascii="Calibri" w:hAnsi="Calibri"/>
          <w:bCs/>
        </w:rPr>
        <w:t xml:space="preserve">, a government representative </w:t>
      </w:r>
      <w:r w:rsidR="00F327E6" w:rsidRPr="005C3EC8">
        <w:rPr>
          <w:rFonts w:ascii="Calibri" w:hAnsi="Calibri"/>
          <w:bCs/>
        </w:rPr>
        <w:t xml:space="preserve">explained that if the DfE website did not provide explicit guidance on assigning licenses, the license conditions described in the actual license agreement was likely to describe the license-holder’s rights to transfer the license. </w:t>
      </w:r>
    </w:p>
    <w:p w14:paraId="6BD4E806" w14:textId="5CFEB002" w:rsidR="00A77116" w:rsidRPr="005C3EC8" w:rsidRDefault="00A77116" w:rsidP="00A77116">
      <w:pPr>
        <w:spacing w:before="120"/>
        <w:rPr>
          <w:rFonts w:ascii="Calibri" w:hAnsi="Calibri"/>
          <w:bCs/>
        </w:rPr>
      </w:pPr>
      <w:r w:rsidRPr="005C3EC8">
        <w:rPr>
          <w:rFonts w:ascii="Calibri" w:hAnsi="Calibri"/>
          <w:bCs/>
          <w:i/>
          <w:u w:val="single"/>
        </w:rPr>
        <w:t>Criteria</w:t>
      </w:r>
      <w:r w:rsidRPr="005C3EC8">
        <w:rPr>
          <w:rFonts w:ascii="Calibri" w:hAnsi="Calibri"/>
          <w:bCs/>
        </w:rPr>
        <w:t>:</w:t>
      </w:r>
      <w:r w:rsidR="00734B92" w:rsidRPr="005C3EC8">
        <w:rPr>
          <w:rFonts w:ascii="Calibri" w:hAnsi="Calibri"/>
          <w:bCs/>
        </w:rPr>
        <w:t xml:space="preserve"> In </w:t>
      </w:r>
      <w:r w:rsidR="00734B92" w:rsidRPr="005C3EC8">
        <w:rPr>
          <w:rFonts w:ascii="Calibri" w:hAnsi="Calibri"/>
          <w:bCs/>
          <w:i/>
        </w:rPr>
        <w:t>oil and gas</w:t>
      </w:r>
      <w:r w:rsidR="00734B92" w:rsidRPr="005C3EC8">
        <w:rPr>
          <w:rFonts w:ascii="Calibri" w:hAnsi="Calibri"/>
          <w:bCs/>
        </w:rPr>
        <w:t>, a government</w:t>
      </w:r>
      <w:r w:rsidRPr="005C3EC8">
        <w:rPr>
          <w:rFonts w:ascii="Calibri" w:hAnsi="Calibri"/>
          <w:bCs/>
        </w:rPr>
        <w:t xml:space="preserve"> MSG member </w:t>
      </w:r>
      <w:r w:rsidR="00734B92" w:rsidRPr="005C3EC8">
        <w:rPr>
          <w:rFonts w:ascii="Calibri" w:hAnsi="Calibri"/>
          <w:bCs/>
        </w:rPr>
        <w:t xml:space="preserve">highlighted a recent publication providing a comprehensive overview of </w:t>
      </w:r>
      <w:r w:rsidRPr="005C3EC8">
        <w:rPr>
          <w:rFonts w:ascii="Calibri" w:hAnsi="Calibri"/>
          <w:bCs/>
        </w:rPr>
        <w:t xml:space="preserve">financial criteria </w:t>
      </w:r>
      <w:r w:rsidR="00734B92" w:rsidRPr="005C3EC8">
        <w:rPr>
          <w:rFonts w:ascii="Calibri" w:hAnsi="Calibri"/>
          <w:bCs/>
        </w:rPr>
        <w:t xml:space="preserve">assessed </w:t>
      </w:r>
      <w:r w:rsidRPr="005C3EC8">
        <w:rPr>
          <w:rFonts w:ascii="Calibri" w:hAnsi="Calibri"/>
          <w:bCs/>
        </w:rPr>
        <w:t xml:space="preserve">by the OGA in </w:t>
      </w:r>
      <w:r w:rsidR="00734B92" w:rsidRPr="005C3EC8">
        <w:rPr>
          <w:rFonts w:ascii="Calibri" w:hAnsi="Calibri"/>
          <w:bCs/>
        </w:rPr>
        <w:t>license awards and transfers.</w:t>
      </w:r>
      <w:r w:rsidRPr="005C3EC8">
        <w:rPr>
          <w:rFonts w:ascii="Calibri" w:hAnsi="Calibri"/>
          <w:bCs/>
          <w:vertAlign w:val="superscript"/>
        </w:rPr>
        <w:footnoteReference w:id="147"/>
      </w:r>
      <w:r w:rsidRPr="005C3EC8">
        <w:rPr>
          <w:rFonts w:ascii="Calibri" w:hAnsi="Calibri"/>
          <w:bCs/>
        </w:rPr>
        <w:t xml:space="preserve"> </w:t>
      </w:r>
      <w:r w:rsidR="00734B92" w:rsidRPr="005C3EC8">
        <w:rPr>
          <w:rFonts w:ascii="Calibri" w:hAnsi="Calibri"/>
          <w:bCs/>
        </w:rPr>
        <w:t xml:space="preserve">The representative also noted the public accessibility of </w:t>
      </w:r>
      <w:r w:rsidRPr="005C3EC8">
        <w:rPr>
          <w:rFonts w:ascii="Calibri" w:hAnsi="Calibri"/>
          <w:bCs/>
        </w:rPr>
        <w:t>technical criteria published as part of documentation for specific bidding rounds, accessible for all bid rounds on the OGA website.</w:t>
      </w:r>
      <w:r w:rsidRPr="005C3EC8">
        <w:rPr>
          <w:rFonts w:ascii="Calibri" w:hAnsi="Calibri"/>
          <w:bCs/>
          <w:vertAlign w:val="superscript"/>
        </w:rPr>
        <w:footnoteReference w:id="148"/>
      </w:r>
    </w:p>
    <w:p w14:paraId="27E4630C" w14:textId="1635F655" w:rsidR="00A77116" w:rsidRPr="005C3EC8" w:rsidRDefault="00734B92" w:rsidP="00A77116">
      <w:pPr>
        <w:spacing w:before="120"/>
        <w:rPr>
          <w:rFonts w:ascii="Calibri" w:hAnsi="Calibri"/>
          <w:bCs/>
        </w:rPr>
      </w:pPr>
      <w:r w:rsidRPr="005C3EC8">
        <w:rPr>
          <w:rFonts w:ascii="Calibri" w:hAnsi="Calibri"/>
          <w:bCs/>
        </w:rPr>
        <w:t>In</w:t>
      </w:r>
      <w:r w:rsidRPr="005C3EC8">
        <w:rPr>
          <w:rFonts w:ascii="Calibri" w:hAnsi="Calibri"/>
          <w:bCs/>
          <w:i/>
        </w:rPr>
        <w:t xml:space="preserve"> coal, </w:t>
      </w:r>
      <w:r w:rsidRPr="005C3EC8">
        <w:rPr>
          <w:rFonts w:ascii="Calibri" w:hAnsi="Calibri"/>
          <w:bCs/>
        </w:rPr>
        <w:t>a</w:t>
      </w:r>
      <w:r w:rsidR="00A77116" w:rsidRPr="005C3EC8">
        <w:rPr>
          <w:rFonts w:ascii="Calibri" w:hAnsi="Calibri"/>
          <w:bCs/>
        </w:rPr>
        <w:t xml:space="preserve"> government representative explained that while the guidance notes available on the Coal Authority sections of the Gov.uk website provided high-level indications of the technical and financial criteria assessed for license awards and transfers, the Coal Authority’s Finance Department would request further detail from applicants in cases where the required capacities were not considered to have been demonstrated in the initial application. However, the representative noted that in the current environment for the coal industry in the UK, companies that applied for awards or transfers were already well-known to the Coal Authority, which reduced the need to demonstrate technical and financial capacities. </w:t>
      </w:r>
    </w:p>
    <w:p w14:paraId="5A6E5783" w14:textId="06A9CE3C" w:rsidR="00EF6C65" w:rsidRPr="005C3EC8" w:rsidRDefault="00734B92" w:rsidP="00A77116">
      <w:pPr>
        <w:spacing w:before="120"/>
        <w:rPr>
          <w:rFonts w:ascii="Calibri" w:hAnsi="Calibri"/>
          <w:bCs/>
        </w:rPr>
      </w:pPr>
      <w:r w:rsidRPr="005C3EC8">
        <w:rPr>
          <w:rFonts w:ascii="Calibri" w:hAnsi="Calibri"/>
          <w:bCs/>
        </w:rPr>
        <w:t xml:space="preserve">In terms of </w:t>
      </w:r>
      <w:r w:rsidRPr="005C3EC8">
        <w:rPr>
          <w:rFonts w:ascii="Calibri" w:hAnsi="Calibri"/>
          <w:bCs/>
          <w:i/>
        </w:rPr>
        <w:t>licenses awarded by TCE</w:t>
      </w:r>
      <w:r w:rsidRPr="005C3EC8">
        <w:rPr>
          <w:rFonts w:ascii="Calibri" w:hAnsi="Calibri"/>
          <w:bCs/>
        </w:rPr>
        <w:t>,</w:t>
      </w:r>
      <w:r w:rsidRPr="005C3EC8">
        <w:rPr>
          <w:rFonts w:ascii="Calibri" w:hAnsi="Calibri"/>
          <w:bCs/>
          <w:i/>
        </w:rPr>
        <w:t xml:space="preserve"> </w:t>
      </w:r>
      <w:r w:rsidRPr="005C3EC8">
        <w:rPr>
          <w:rFonts w:ascii="Calibri" w:hAnsi="Calibri"/>
          <w:bCs/>
        </w:rPr>
        <w:t xml:space="preserve">an independent industry expert considered that there were clear technical and financial criteria assessed by TCE in its licensing of both land-based mining and quarrying, and expressed surprise that these were not publicly-accessible. </w:t>
      </w:r>
      <w:r w:rsidR="00EF6C65" w:rsidRPr="005C3EC8">
        <w:rPr>
          <w:rFonts w:ascii="Calibri" w:hAnsi="Calibri"/>
          <w:bCs/>
        </w:rPr>
        <w:t>A representative explained that, while the criteria assessed for transfers of land-based mineral leases on TCE lands were usually the same as for the initial award, this was not always the case and depended on the terms of the lease’s assignment clause.</w:t>
      </w:r>
    </w:p>
    <w:p w14:paraId="3833DEB8" w14:textId="16B9D094" w:rsidR="00A77116" w:rsidRPr="005C3EC8" w:rsidRDefault="00A77116" w:rsidP="00A77116">
      <w:pPr>
        <w:spacing w:before="120"/>
        <w:rPr>
          <w:rFonts w:ascii="Calibri" w:hAnsi="Calibri"/>
          <w:bCs/>
        </w:rPr>
      </w:pPr>
      <w:r w:rsidRPr="005C3EC8">
        <w:rPr>
          <w:rFonts w:ascii="Calibri" w:hAnsi="Calibri"/>
          <w:bCs/>
          <w:i/>
          <w:u w:val="single"/>
        </w:rPr>
        <w:t>Deviations</w:t>
      </w:r>
      <w:r w:rsidRPr="005C3EC8">
        <w:rPr>
          <w:rFonts w:ascii="Calibri" w:hAnsi="Calibri"/>
          <w:bCs/>
        </w:rPr>
        <w:t>:</w:t>
      </w:r>
      <w:r w:rsidR="00734B92" w:rsidRPr="005C3EC8">
        <w:rPr>
          <w:rFonts w:ascii="Calibri" w:hAnsi="Calibri"/>
          <w:bCs/>
        </w:rPr>
        <w:t xml:space="preserve"> In terms of </w:t>
      </w:r>
      <w:r w:rsidR="00734B92" w:rsidRPr="005C3EC8">
        <w:rPr>
          <w:rFonts w:ascii="Calibri" w:hAnsi="Calibri"/>
          <w:bCs/>
          <w:i/>
        </w:rPr>
        <w:t>oil and gas</w:t>
      </w:r>
      <w:r w:rsidR="00734B92" w:rsidRPr="005C3EC8">
        <w:rPr>
          <w:rFonts w:ascii="Calibri" w:hAnsi="Calibri"/>
          <w:bCs/>
        </w:rPr>
        <w:t xml:space="preserve">, </w:t>
      </w:r>
      <w:r w:rsidRPr="005C3EC8">
        <w:rPr>
          <w:rFonts w:ascii="Calibri" w:hAnsi="Calibri"/>
          <w:bCs/>
        </w:rPr>
        <w:t xml:space="preserve">government MSG member confirmed that the MSG had endorsed the 2016 EITI Report’s finding that there were no deviations from statutory regulations in the transfers of oil and gas licenses in 2016, noting that this was based on assurances from the OGA.  </w:t>
      </w:r>
    </w:p>
    <w:p w14:paraId="65221186" w14:textId="2B3E3016" w:rsidR="00A77116" w:rsidRPr="005C3EC8" w:rsidRDefault="00734B92" w:rsidP="0043010B">
      <w:pPr>
        <w:spacing w:before="120"/>
        <w:rPr>
          <w:rFonts w:ascii="Calibri" w:hAnsi="Calibri"/>
          <w:bCs/>
        </w:rPr>
      </w:pPr>
      <w:r w:rsidRPr="005C3EC8">
        <w:rPr>
          <w:rFonts w:ascii="Calibri" w:hAnsi="Calibri"/>
          <w:bCs/>
        </w:rPr>
        <w:t xml:space="preserve">With regards to </w:t>
      </w:r>
      <w:r w:rsidRPr="005C3EC8">
        <w:rPr>
          <w:rFonts w:ascii="Calibri" w:hAnsi="Calibri"/>
          <w:bCs/>
          <w:i/>
        </w:rPr>
        <w:t>mining and quarrying</w:t>
      </w:r>
      <w:r w:rsidRPr="005C3EC8">
        <w:rPr>
          <w:rFonts w:ascii="Calibri" w:hAnsi="Calibri"/>
          <w:bCs/>
        </w:rPr>
        <w:t>, w</w:t>
      </w:r>
      <w:r w:rsidR="00A77116" w:rsidRPr="005C3EC8">
        <w:rPr>
          <w:rFonts w:ascii="Calibri" w:hAnsi="Calibri"/>
          <w:bCs/>
        </w:rPr>
        <w:t>hile all industry representatives consulted considered that the planning and environmental planning process was time-consuming, they were not aware of any non-trivial deviations in the allocation of either licenses (from TCE and CA) or permits (from loc</w:t>
      </w:r>
      <w:r w:rsidRPr="005C3EC8">
        <w:rPr>
          <w:rFonts w:ascii="Calibri" w:hAnsi="Calibri"/>
          <w:bCs/>
        </w:rPr>
        <w:t xml:space="preserve">al authorities). </w:t>
      </w:r>
      <w:r w:rsidR="00A77116" w:rsidRPr="005C3EC8">
        <w:rPr>
          <w:rFonts w:ascii="Calibri" w:hAnsi="Calibri"/>
          <w:bCs/>
        </w:rPr>
        <w:t xml:space="preserve">Several industry MSG members considered that the process for awarding and transferring licenses for marine aggregates awarded by TCE was a tightly-controlled process that made any non-trivial deviations highly unlikely. </w:t>
      </w:r>
    </w:p>
    <w:p w14:paraId="5BE659C1" w14:textId="5BFB0938" w:rsidR="001E68AF" w:rsidRPr="005C3EC8" w:rsidRDefault="00F425D1">
      <w:pPr>
        <w:pStyle w:val="Heading3"/>
      </w:pPr>
      <w:bookmarkStart w:id="142" w:name="_Toc459133102"/>
      <w:bookmarkStart w:id="143" w:name="_Toc461803051"/>
      <w:r w:rsidRPr="005C3EC8">
        <w:lastRenderedPageBreak/>
        <w:t>Initial assessment</w:t>
      </w:r>
      <w:bookmarkEnd w:id="142"/>
      <w:bookmarkEnd w:id="143"/>
    </w:p>
    <w:p w14:paraId="053CB03F" w14:textId="3600FBCC" w:rsidR="00657770" w:rsidRPr="005C3EC8" w:rsidRDefault="00F425D1" w:rsidP="00BC3F9C">
      <w:pPr>
        <w:spacing w:before="120"/>
        <w:rPr>
          <w:rFonts w:ascii="Calibri" w:hAnsi="Calibri"/>
        </w:rPr>
      </w:pPr>
      <w:r w:rsidRPr="005C3EC8">
        <w:rPr>
          <w:rFonts w:ascii="Calibri" w:hAnsi="Calibri"/>
          <w:color w:val="000000" w:themeColor="text1"/>
          <w:lang w:eastAsia="x-none"/>
        </w:rPr>
        <w:t xml:space="preserve">The International Secretariat’s initial assessment is that </w:t>
      </w:r>
      <w:r w:rsidR="00756FA7" w:rsidRPr="005C3EC8">
        <w:rPr>
          <w:rFonts w:ascii="Calibri" w:hAnsi="Calibri"/>
          <w:bCs/>
        </w:rPr>
        <w:t>the UK</w:t>
      </w:r>
      <w:r w:rsidR="00151988" w:rsidRPr="005C3EC8">
        <w:rPr>
          <w:rFonts w:ascii="Calibri" w:hAnsi="Calibri"/>
          <w:color w:val="000000" w:themeColor="text1"/>
          <w:lang w:eastAsia="x-none"/>
        </w:rPr>
        <w:t xml:space="preserve"> </w:t>
      </w:r>
      <w:r w:rsidRPr="005C3EC8">
        <w:rPr>
          <w:rFonts w:ascii="Calibri" w:hAnsi="Calibri"/>
          <w:color w:val="000000" w:themeColor="text1"/>
          <w:lang w:eastAsia="x-none"/>
        </w:rPr>
        <w:t xml:space="preserve">has made </w:t>
      </w:r>
      <w:r w:rsidR="00756FA7" w:rsidRPr="003B7537">
        <w:rPr>
          <w:rFonts w:ascii="Calibri" w:hAnsi="Calibri"/>
          <w:b/>
          <w:bCs/>
        </w:rPr>
        <w:t>meaningful</w:t>
      </w:r>
      <w:r w:rsidR="00756FA7" w:rsidRPr="003B7537">
        <w:rPr>
          <w:rFonts w:ascii="Calibri" w:hAnsi="Calibri"/>
          <w:b/>
          <w:color w:val="000000" w:themeColor="text1"/>
          <w:lang w:eastAsia="x-none"/>
        </w:rPr>
        <w:t xml:space="preserve"> </w:t>
      </w:r>
      <w:r w:rsidRPr="003B7537">
        <w:rPr>
          <w:rFonts w:ascii="Calibri" w:hAnsi="Calibri"/>
          <w:b/>
          <w:color w:val="000000" w:themeColor="text1"/>
          <w:lang w:eastAsia="x-none"/>
        </w:rPr>
        <w:t>progress</w:t>
      </w:r>
      <w:r w:rsidRPr="005C3EC8">
        <w:rPr>
          <w:rFonts w:ascii="Calibri" w:hAnsi="Calibri"/>
          <w:color w:val="000000" w:themeColor="text1"/>
          <w:lang w:eastAsia="x-none"/>
        </w:rPr>
        <w:t xml:space="preserve"> towards meeting this requirement. </w:t>
      </w:r>
      <w:r w:rsidR="009E587B" w:rsidRPr="005C3EC8">
        <w:rPr>
          <w:rFonts w:ascii="Calibri" w:hAnsi="Calibri"/>
          <w:color w:val="000000" w:themeColor="text1"/>
          <w:lang w:eastAsia="x-none"/>
        </w:rPr>
        <w:t>T</w:t>
      </w:r>
      <w:r w:rsidR="00477300" w:rsidRPr="005C3EC8">
        <w:rPr>
          <w:rFonts w:ascii="Calibri" w:hAnsi="Calibri"/>
        </w:rPr>
        <w:t xml:space="preserve">he 2016 EITI Report does not systematically track license awards and transfers involving companies covered in the scope of EITI reporting in the year under review, either in oil and gas or in mining and quarrying. While the report clarifies the lack of oil and gas license awards in 2016, it only implies the existence of transfers without clearly listing them. The only material sub-sectors in mining and quarrying appear to be Minerals Licenses in Northern Ireland as well as terrestrial and marine mining agreements with The Crown Estate. The coal, gold and silver sub-sectors are not strictly material to EITI reporting. While the EITI Report describes the general process for awarding licenses, it does not systematically indicate the technical and financial criteria assessed, nor clarify the statutory process for transferring licenses. The report only refers to an assessment of non-trivial deviations from statutory procedures for license awards and transfers in oil and gas, not mining and quarrying. </w:t>
      </w:r>
      <w:r w:rsidR="00477300" w:rsidRPr="005C3EC8">
        <w:t xml:space="preserve">The public accessibility of detail in the description of TCE’s licensing procedures, while more developed for marine dredging than for land-based minerals on TCE </w:t>
      </w:r>
      <w:r w:rsidR="00B46FDE" w:rsidRPr="005C3EC8">
        <w:t>estates</w:t>
      </w:r>
      <w:r w:rsidR="00477300" w:rsidRPr="005C3EC8">
        <w:t>, is less comprehensive than for oil, gas or coal.</w:t>
      </w:r>
    </w:p>
    <w:p w14:paraId="0BED74F4" w14:textId="553F295C" w:rsidR="00D55DE3" w:rsidRPr="005C3EC8" w:rsidRDefault="00D55DE3" w:rsidP="007D0428">
      <w:pPr>
        <w:spacing w:before="120"/>
        <w:rPr>
          <w:rFonts w:ascii="Calibri" w:hAnsi="Calibri"/>
        </w:rPr>
      </w:pPr>
      <w:r w:rsidRPr="005C3EC8">
        <w:rPr>
          <w:rFonts w:ascii="Calibri" w:hAnsi="Calibri"/>
        </w:rPr>
        <w:t xml:space="preserve">In accordance with Requirement 2.2, the UK should </w:t>
      </w:r>
      <w:r w:rsidR="00734B92" w:rsidRPr="005C3EC8">
        <w:rPr>
          <w:rFonts w:ascii="Calibri" w:hAnsi="Calibri"/>
        </w:rPr>
        <w:t>disclose information related to the award or transfer of licenses pertaining to the companies covered in EITI reporting. This information should include the number of mining, oil and gas licenses awarded and transferred in the year covered by the EITI reporting cycle, a description of the award procedures, including specific technical and financial criteria assessed, and highlight any non-trivial deviations in practice.</w:t>
      </w:r>
      <w:r w:rsidR="00EB3518" w:rsidRPr="005C3EC8">
        <w:rPr>
          <w:rFonts w:ascii="Calibri" w:hAnsi="Calibri"/>
        </w:rPr>
        <w:t xml:space="preserve"> The UK is encouraged to consider innovative solutions for embedding a public accountability mechanism to ensure transparency on any non-trivial deviations from statutory procedures in its systematic disclosures of information per Requirement 2.2. </w:t>
      </w:r>
    </w:p>
    <w:p w14:paraId="6BE69D43" w14:textId="28554F70" w:rsidR="00F425D1" w:rsidRPr="005C3EC8" w:rsidRDefault="00F425D1" w:rsidP="0097728B">
      <w:pPr>
        <w:pStyle w:val="Heading2"/>
      </w:pPr>
      <w:bookmarkStart w:id="144" w:name="_Toc459133103"/>
      <w:bookmarkStart w:id="145" w:name="_Toc461803052"/>
      <w:bookmarkStart w:id="146" w:name="_Toc461787327"/>
      <w:bookmarkStart w:id="147" w:name="_Toc461795839"/>
      <w:r w:rsidRPr="005C3EC8">
        <w:t>License registers (#2.3)</w:t>
      </w:r>
      <w:bookmarkEnd w:id="144"/>
      <w:bookmarkEnd w:id="145"/>
      <w:bookmarkEnd w:id="146"/>
      <w:bookmarkEnd w:id="147"/>
    </w:p>
    <w:p w14:paraId="11D7194F" w14:textId="77777777" w:rsidR="0017680B" w:rsidRPr="005C3EC8" w:rsidRDefault="00F425D1" w:rsidP="0097728B">
      <w:pPr>
        <w:pStyle w:val="Heading3"/>
      </w:pPr>
      <w:r w:rsidRPr="005C3EC8">
        <w:t>Documentation of progress</w:t>
      </w:r>
    </w:p>
    <w:p w14:paraId="2B1E03AB" w14:textId="77777777" w:rsidR="0089329D" w:rsidRPr="005C3EC8" w:rsidRDefault="0089329D" w:rsidP="00C65785">
      <w:pPr>
        <w:pStyle w:val="Heading4"/>
      </w:pPr>
      <w:r w:rsidRPr="005C3EC8">
        <w:t>Oil and gas</w:t>
      </w:r>
    </w:p>
    <w:p w14:paraId="397F7D7B" w14:textId="2084F3F5" w:rsidR="0089329D" w:rsidRPr="005C3EC8" w:rsidRDefault="0089329D" w:rsidP="0089329D">
      <w:pPr>
        <w:spacing w:before="120"/>
        <w:rPr>
          <w:rFonts w:ascii="Calibri" w:hAnsi="Calibri"/>
        </w:rPr>
      </w:pPr>
      <w:r w:rsidRPr="005C3EC8">
        <w:rPr>
          <w:rFonts w:ascii="Calibri" w:hAnsi="Calibri"/>
          <w:b/>
          <w:i/>
        </w:rPr>
        <w:t>Systematic disclosures:</w:t>
      </w:r>
      <w:r w:rsidRPr="005C3EC8">
        <w:rPr>
          <w:rFonts w:ascii="Calibri" w:hAnsi="Calibri"/>
        </w:rPr>
        <w:t xml:space="preserve"> The OGA website</w:t>
      </w:r>
      <w:r w:rsidRPr="005C3EC8">
        <w:rPr>
          <w:rStyle w:val="FootnoteReference"/>
          <w:rFonts w:ascii="Calibri" w:hAnsi="Calibri"/>
        </w:rPr>
        <w:footnoteReference w:id="149"/>
      </w:r>
      <w:r w:rsidRPr="005C3EC8">
        <w:rPr>
          <w:rFonts w:ascii="Calibri" w:hAnsi="Calibri"/>
        </w:rPr>
        <w:t>, including field-level data</w:t>
      </w:r>
      <w:r w:rsidRPr="005C3EC8">
        <w:rPr>
          <w:rStyle w:val="FootnoteReference"/>
          <w:rFonts w:ascii="Calibri" w:hAnsi="Calibri"/>
        </w:rPr>
        <w:footnoteReference w:id="150"/>
      </w:r>
      <w:r w:rsidRPr="005C3EC8">
        <w:rPr>
          <w:rFonts w:ascii="Calibri" w:hAnsi="Calibri"/>
        </w:rPr>
        <w:t>, provides all information on oil and gas licenses as per Requirement 2.3 aside from dates of application. The OGA’s interactive maps and tools</w:t>
      </w:r>
      <w:r w:rsidRPr="005C3EC8">
        <w:rPr>
          <w:rStyle w:val="FootnoteReference"/>
          <w:rFonts w:ascii="Calibri" w:hAnsi="Calibri"/>
        </w:rPr>
        <w:footnoteReference w:id="151"/>
      </w:r>
      <w:r w:rsidRPr="005C3EC8">
        <w:rPr>
          <w:rFonts w:ascii="Calibri" w:hAnsi="Calibri"/>
        </w:rPr>
        <w:t xml:space="preserve"> and data centre</w:t>
      </w:r>
      <w:r w:rsidRPr="005C3EC8">
        <w:rPr>
          <w:rStyle w:val="FootnoteReference"/>
          <w:rFonts w:ascii="Calibri" w:hAnsi="Calibri"/>
        </w:rPr>
        <w:footnoteReference w:id="152"/>
      </w:r>
      <w:r w:rsidRPr="005C3EC8">
        <w:rPr>
          <w:rFonts w:ascii="Calibri" w:hAnsi="Calibri"/>
        </w:rPr>
        <w:t xml:space="preserve"> provide access to coordinates and license documents in a user-friendly open-data format.</w:t>
      </w:r>
      <w:r w:rsidR="00031309" w:rsidRPr="005C3EC8">
        <w:rPr>
          <w:rFonts w:ascii="Calibri" w:hAnsi="Calibri"/>
        </w:rPr>
        <w:t xml:space="preserve"> </w:t>
      </w:r>
      <w:r w:rsidRPr="005C3EC8">
        <w:rPr>
          <w:rFonts w:ascii="Calibri" w:hAnsi="Calibri"/>
        </w:rPr>
        <w:t>The DfE website provides data and documents related to the sole oil and gas license onshore Northern Ireland</w:t>
      </w:r>
      <w:r w:rsidR="00E235CB" w:rsidRPr="005C3EC8">
        <w:rPr>
          <w:rFonts w:ascii="Calibri" w:hAnsi="Calibri"/>
        </w:rPr>
        <w:t>, aside from the date of application</w:t>
      </w:r>
      <w:r w:rsidRPr="005C3EC8">
        <w:rPr>
          <w:rFonts w:ascii="Calibri" w:hAnsi="Calibri"/>
        </w:rPr>
        <w:t>.</w:t>
      </w:r>
      <w:r w:rsidRPr="005C3EC8">
        <w:rPr>
          <w:rStyle w:val="FootnoteReference"/>
          <w:rFonts w:ascii="Calibri" w:hAnsi="Calibri"/>
        </w:rPr>
        <w:footnoteReference w:id="153"/>
      </w:r>
    </w:p>
    <w:p w14:paraId="6AFDA0A9" w14:textId="77777777" w:rsidR="0089329D" w:rsidRPr="005C3EC8" w:rsidRDefault="0089329D" w:rsidP="0089329D">
      <w:pPr>
        <w:spacing w:before="120"/>
        <w:rPr>
          <w:rFonts w:ascii="Calibri" w:hAnsi="Calibri"/>
        </w:rPr>
      </w:pPr>
      <w:r w:rsidRPr="005C3EC8">
        <w:rPr>
          <w:rFonts w:ascii="Calibri" w:hAnsi="Calibri"/>
          <w:b/>
          <w:i/>
        </w:rPr>
        <w:t>2016 EITI Report:</w:t>
      </w:r>
      <w:r w:rsidRPr="005C3EC8">
        <w:rPr>
          <w:rFonts w:ascii="Calibri" w:hAnsi="Calibri"/>
        </w:rPr>
        <w:t xml:space="preserve"> The report confirms that OGA publishes licenses and license reports, including interactive maps (p.40), that cover all active oil and gas licenses in Great Britain and the UK Continental Shelf (UKCS) (p.42). A link</w:t>
      </w:r>
      <w:r w:rsidRPr="005C3EC8">
        <w:rPr>
          <w:rStyle w:val="FootnoteReference"/>
          <w:rFonts w:ascii="Calibri" w:hAnsi="Calibri"/>
        </w:rPr>
        <w:footnoteReference w:id="154"/>
      </w:r>
      <w:r w:rsidRPr="005C3EC8">
        <w:rPr>
          <w:rFonts w:ascii="Calibri" w:hAnsi="Calibri"/>
        </w:rPr>
        <w:t xml:space="preserve"> is provided to OGA’s license data (p.40), where data is searchable by license </w:t>
      </w:r>
      <w:r w:rsidRPr="005C3EC8">
        <w:rPr>
          <w:rFonts w:ascii="Calibri" w:hAnsi="Calibri"/>
        </w:rPr>
        <w:lastRenderedPageBreak/>
        <w:t>number, by block, by company and by area. In Northern Ireland, the report provides a link</w:t>
      </w:r>
      <w:r w:rsidRPr="005C3EC8">
        <w:rPr>
          <w:rStyle w:val="FootnoteReference"/>
          <w:rFonts w:ascii="Calibri" w:hAnsi="Calibri"/>
        </w:rPr>
        <w:footnoteReference w:id="155"/>
      </w:r>
      <w:r w:rsidRPr="005C3EC8">
        <w:rPr>
          <w:rFonts w:ascii="Calibri" w:hAnsi="Calibri"/>
        </w:rPr>
        <w:t xml:space="preserve"> to the DfE’s Petroleum licensing webpage, which publishes information on current onshore oil and gas licenses for which it has jurisdiction (p.40). The DfE webpage lists only one active oil and gas license</w:t>
      </w:r>
      <w:r w:rsidRPr="005C3EC8">
        <w:rPr>
          <w:rStyle w:val="FootnoteReference"/>
          <w:rFonts w:ascii="Calibri" w:hAnsi="Calibri"/>
        </w:rPr>
        <w:footnoteReference w:id="156"/>
      </w:r>
      <w:r w:rsidRPr="005C3EC8">
        <w:rPr>
          <w:rFonts w:ascii="Calibri" w:hAnsi="Calibri"/>
        </w:rPr>
        <w:t xml:space="preserve"> in June 2018, which is not held by a material company in the 2016 EITI Report.</w:t>
      </w:r>
    </w:p>
    <w:p w14:paraId="1F097074" w14:textId="77777777" w:rsidR="0089329D" w:rsidRPr="005C3EC8" w:rsidRDefault="0089329D" w:rsidP="0089329D">
      <w:pPr>
        <w:spacing w:before="120"/>
        <w:rPr>
          <w:rFonts w:ascii="Calibri" w:hAnsi="Calibri"/>
          <w:bCs/>
        </w:rPr>
      </w:pPr>
      <w:r w:rsidRPr="005C3EC8">
        <w:rPr>
          <w:rFonts w:ascii="Calibri" w:hAnsi="Calibri"/>
          <w:i/>
          <w:u w:val="single"/>
        </w:rPr>
        <w:t>Licenses held by material companies</w:t>
      </w:r>
      <w:r w:rsidRPr="005C3EC8">
        <w:rPr>
          <w:rFonts w:ascii="Calibri" w:hAnsi="Calibri"/>
        </w:rPr>
        <w:t>: The OGA license data webpage provides license information on all active licenses in Great Britain and the UKCS.</w:t>
      </w:r>
      <w:r w:rsidRPr="005C3EC8">
        <w:rPr>
          <w:rStyle w:val="FootnoteReference"/>
          <w:rFonts w:ascii="Calibri" w:hAnsi="Calibri"/>
        </w:rPr>
        <w:footnoteReference w:id="157"/>
      </w:r>
      <w:r w:rsidRPr="005C3EC8">
        <w:rPr>
          <w:rFonts w:ascii="Calibri" w:hAnsi="Calibri"/>
        </w:rPr>
        <w:t xml:space="preserve"> The DfE webpage on Petroleum licensing provides information on the sole onshore Northern Ireland oil and gas licenses, which is not held by a material company.</w:t>
      </w:r>
      <w:r w:rsidRPr="005C3EC8">
        <w:rPr>
          <w:rStyle w:val="FootnoteReference"/>
          <w:rFonts w:ascii="Calibri" w:hAnsi="Calibri"/>
        </w:rPr>
        <w:footnoteReference w:id="158"/>
      </w:r>
    </w:p>
    <w:p w14:paraId="482BCBC3" w14:textId="77777777" w:rsidR="0089329D" w:rsidRPr="005C3EC8" w:rsidRDefault="0089329D" w:rsidP="0089329D">
      <w:pPr>
        <w:spacing w:before="120"/>
        <w:rPr>
          <w:rFonts w:ascii="Calibri" w:hAnsi="Calibri"/>
          <w:bCs/>
        </w:rPr>
      </w:pPr>
      <w:r w:rsidRPr="005C3EC8">
        <w:rPr>
          <w:rFonts w:ascii="Calibri" w:hAnsi="Calibri"/>
          <w:i/>
          <w:u w:val="single"/>
        </w:rPr>
        <w:t>License-holder names</w:t>
      </w:r>
      <w:r w:rsidRPr="005C3EC8">
        <w:rPr>
          <w:rFonts w:ascii="Calibri" w:hAnsi="Calibri"/>
        </w:rPr>
        <w:t>: The OGA license data webpage provides license number, block number, name of license administrator and names of operating and partner companies for each block in the license.</w:t>
      </w:r>
      <w:r w:rsidRPr="005C3EC8">
        <w:rPr>
          <w:rStyle w:val="FootnoteReference"/>
          <w:rFonts w:ascii="Calibri" w:hAnsi="Calibri"/>
        </w:rPr>
        <w:footnoteReference w:id="159"/>
      </w:r>
      <w:r w:rsidRPr="005C3EC8">
        <w:rPr>
          <w:rFonts w:ascii="Calibri" w:hAnsi="Calibri"/>
        </w:rPr>
        <w:t xml:space="preserve"> The DfE webpage on Petroleum licensing provides the names of the two license-holder companies for the sole active onshore Northern Ireland oil and gas licenses.</w:t>
      </w:r>
      <w:r w:rsidRPr="005C3EC8">
        <w:rPr>
          <w:rStyle w:val="FootnoteReference"/>
          <w:rFonts w:ascii="Calibri" w:hAnsi="Calibri"/>
        </w:rPr>
        <w:footnoteReference w:id="160"/>
      </w:r>
    </w:p>
    <w:p w14:paraId="5334C577" w14:textId="77777777" w:rsidR="0089329D" w:rsidRPr="005C3EC8" w:rsidRDefault="0089329D" w:rsidP="0089329D">
      <w:pPr>
        <w:spacing w:before="120"/>
        <w:rPr>
          <w:rFonts w:ascii="Calibri" w:hAnsi="Calibri"/>
        </w:rPr>
      </w:pPr>
      <w:r w:rsidRPr="005C3EC8">
        <w:rPr>
          <w:rFonts w:ascii="Calibri" w:hAnsi="Calibri"/>
          <w:i/>
          <w:color w:val="000000" w:themeColor="text1"/>
          <w:u w:val="single"/>
        </w:rPr>
        <w:t>License coordinates</w:t>
      </w:r>
      <w:r w:rsidRPr="005C3EC8">
        <w:rPr>
          <w:rFonts w:ascii="Calibri" w:hAnsi="Calibri"/>
          <w:color w:val="000000" w:themeColor="text1"/>
        </w:rPr>
        <w:t xml:space="preserve">: </w:t>
      </w:r>
      <w:r w:rsidRPr="005C3EC8">
        <w:rPr>
          <w:rFonts w:ascii="Calibri" w:hAnsi="Calibri"/>
        </w:rPr>
        <w:t>The 2016 EITI Report provides a link</w:t>
      </w:r>
      <w:r w:rsidRPr="005C3EC8">
        <w:rPr>
          <w:rStyle w:val="FootnoteReference"/>
          <w:rFonts w:ascii="Calibri" w:hAnsi="Calibri"/>
        </w:rPr>
        <w:footnoteReference w:id="161"/>
      </w:r>
      <w:r w:rsidRPr="005C3EC8">
        <w:rPr>
          <w:rFonts w:ascii="Calibri" w:hAnsi="Calibri"/>
        </w:rPr>
        <w:t xml:space="preserve"> to the OGA webpage providing interactive oil and gas maps, that enable users to access license coordinates (p.40). For onshore Northern Ireland oil and gas licenses, the license document for the sole license awarded by DfE provides the geographical coordinates of the license.</w:t>
      </w:r>
      <w:r w:rsidRPr="005C3EC8">
        <w:rPr>
          <w:rStyle w:val="FootnoteReference"/>
          <w:rFonts w:ascii="Calibri" w:hAnsi="Calibri"/>
        </w:rPr>
        <w:footnoteReference w:id="162"/>
      </w:r>
    </w:p>
    <w:p w14:paraId="2A8846F7" w14:textId="77777777" w:rsidR="0089329D" w:rsidRPr="005C3EC8" w:rsidRDefault="0089329D" w:rsidP="0089329D">
      <w:pPr>
        <w:spacing w:before="120"/>
        <w:rPr>
          <w:rFonts w:ascii="Calibri" w:hAnsi="Calibri"/>
          <w:bCs/>
        </w:rPr>
      </w:pPr>
      <w:r w:rsidRPr="005C3EC8">
        <w:rPr>
          <w:rFonts w:ascii="Calibri" w:hAnsi="Calibri"/>
          <w:i/>
          <w:u w:val="single"/>
        </w:rPr>
        <w:t>Dates</w:t>
      </w:r>
      <w:r w:rsidRPr="005C3EC8">
        <w:rPr>
          <w:rFonts w:ascii="Calibri" w:hAnsi="Calibri"/>
        </w:rPr>
        <w:t xml:space="preserve">: </w:t>
      </w:r>
      <w:r w:rsidRPr="005C3EC8">
        <w:rPr>
          <w:rFonts w:ascii="Calibri" w:hAnsi="Calibri"/>
          <w:bCs/>
        </w:rPr>
        <w:t xml:space="preserve">The OGA license data webpage provides, for all active </w:t>
      </w:r>
      <w:r w:rsidRPr="005C3EC8">
        <w:rPr>
          <w:rFonts w:ascii="Calibri" w:hAnsi="Calibri"/>
          <w:bCs/>
          <w:i/>
        </w:rPr>
        <w:t>oil and gas</w:t>
      </w:r>
      <w:r w:rsidRPr="005C3EC8">
        <w:rPr>
          <w:rFonts w:ascii="Calibri" w:hAnsi="Calibri"/>
          <w:bCs/>
        </w:rPr>
        <w:t xml:space="preserve"> licenses in Great Britain and the UKCS, information including license start date, initial term end date, subsequent term end dates (where applicable), and end date, but not dates of application.</w:t>
      </w:r>
      <w:r w:rsidRPr="005C3EC8">
        <w:rPr>
          <w:rFonts w:ascii="Calibri" w:hAnsi="Calibri"/>
          <w:bCs/>
          <w:vertAlign w:val="superscript"/>
        </w:rPr>
        <w:footnoteReference w:id="163"/>
      </w:r>
      <w:r w:rsidRPr="005C3EC8">
        <w:rPr>
          <w:rFonts w:ascii="Calibri" w:hAnsi="Calibri"/>
          <w:bCs/>
        </w:rPr>
        <w:t xml:space="preserve"> The supplement to the 2016 EITI Report states that the OGA has not routinely collected dates of application for licences awarded, although it explains that the majority of licenses have been awarded through bidding rounds and that applications could “obviously be assumed” to have been received between the pre-determined opening and closing dates of the bidding round.</w:t>
      </w:r>
      <w:r w:rsidRPr="005C3EC8">
        <w:rPr>
          <w:rStyle w:val="FootnoteReference"/>
          <w:rFonts w:ascii="Calibri" w:hAnsi="Calibri"/>
          <w:bCs/>
        </w:rPr>
        <w:footnoteReference w:id="164"/>
      </w:r>
      <w:r w:rsidRPr="005C3EC8">
        <w:rPr>
          <w:rFonts w:ascii="Calibri" w:hAnsi="Calibri"/>
          <w:bCs/>
        </w:rPr>
        <w:t xml:space="preserve"> For the sole onshore Northern Ireland block, license documents available on the DfE webpage on Petroleum licensing provide the date of initial award of the license, date of assignment to a different consortium, and end date, but not date of initial application for the initial award in 2011.</w:t>
      </w:r>
      <w:r w:rsidRPr="005C3EC8">
        <w:rPr>
          <w:rStyle w:val="FootnoteReference"/>
          <w:rFonts w:ascii="Calibri" w:hAnsi="Calibri"/>
          <w:bCs/>
        </w:rPr>
        <w:footnoteReference w:id="165"/>
      </w:r>
    </w:p>
    <w:p w14:paraId="49173850" w14:textId="77777777" w:rsidR="0089329D" w:rsidRPr="005C3EC8" w:rsidRDefault="0089329D" w:rsidP="0089329D">
      <w:pPr>
        <w:spacing w:before="120"/>
        <w:rPr>
          <w:rFonts w:ascii="Calibri" w:hAnsi="Calibri"/>
          <w:bCs/>
        </w:rPr>
      </w:pPr>
      <w:r w:rsidRPr="005C3EC8">
        <w:rPr>
          <w:rFonts w:ascii="Calibri" w:hAnsi="Calibri"/>
          <w:i/>
          <w:u w:val="single"/>
        </w:rPr>
        <w:t>Commodity</w:t>
      </w:r>
      <w:r w:rsidRPr="005C3EC8">
        <w:rPr>
          <w:rFonts w:ascii="Calibri" w:hAnsi="Calibri"/>
        </w:rPr>
        <w:t xml:space="preserve">: The 2016 EITI Report only states that UK license and fiscal terms do not generally differentiate between conventional and unconventional hydrocarbon activities (p.51), implying that oil and gas licenses cover both commodities without explicitly stating so. </w:t>
      </w:r>
    </w:p>
    <w:p w14:paraId="1AD832F3" w14:textId="77777777" w:rsidR="0089329D" w:rsidRPr="005C3EC8" w:rsidRDefault="0089329D" w:rsidP="0089329D">
      <w:pPr>
        <w:spacing w:before="120"/>
        <w:rPr>
          <w:rFonts w:ascii="Calibri" w:hAnsi="Calibri"/>
        </w:rPr>
      </w:pPr>
      <w:r w:rsidRPr="005C3EC8">
        <w:rPr>
          <w:rFonts w:ascii="Calibri" w:hAnsi="Calibri"/>
          <w:i/>
          <w:u w:val="single"/>
        </w:rPr>
        <w:lastRenderedPageBreak/>
        <w:t>Licenses held by non-material companies:</w:t>
      </w:r>
      <w:r w:rsidRPr="005C3EC8">
        <w:rPr>
          <w:rFonts w:ascii="Calibri" w:hAnsi="Calibri"/>
        </w:rPr>
        <w:t xml:space="preserve"> The OGA license data webpage provides license information on all active licenses in Great Britain and the UKCS.</w:t>
      </w:r>
      <w:r w:rsidRPr="005C3EC8">
        <w:rPr>
          <w:rStyle w:val="FootnoteReference"/>
          <w:rFonts w:ascii="Calibri" w:hAnsi="Calibri"/>
        </w:rPr>
        <w:footnoteReference w:id="166"/>
      </w:r>
      <w:r w:rsidRPr="005C3EC8">
        <w:rPr>
          <w:rFonts w:ascii="Calibri" w:hAnsi="Calibri"/>
        </w:rPr>
        <w:t xml:space="preserve"> DfE’s Petroleum licensing webpage</w:t>
      </w:r>
      <w:r w:rsidRPr="005C3EC8">
        <w:rPr>
          <w:rStyle w:val="FootnoteReference"/>
          <w:rFonts w:ascii="Calibri" w:hAnsi="Calibri"/>
        </w:rPr>
        <w:footnoteReference w:id="167"/>
      </w:r>
      <w:r w:rsidRPr="005C3EC8">
        <w:rPr>
          <w:rFonts w:ascii="Calibri" w:hAnsi="Calibri"/>
        </w:rPr>
        <w:t xml:space="preserve"> provides information on the sole onshore oil and gas license, held by a company below the scope of EITI reporting. </w:t>
      </w:r>
    </w:p>
    <w:p w14:paraId="73275E9A" w14:textId="77777777" w:rsidR="0089329D" w:rsidRPr="005C3EC8" w:rsidRDefault="0089329D" w:rsidP="0089329D">
      <w:pPr>
        <w:spacing w:before="120"/>
        <w:rPr>
          <w:rFonts w:ascii="Calibri" w:hAnsi="Calibri"/>
          <w:bCs/>
        </w:rPr>
      </w:pPr>
      <w:r w:rsidRPr="005C3EC8">
        <w:rPr>
          <w:rFonts w:ascii="Calibri" w:hAnsi="Calibri"/>
          <w:i/>
          <w:u w:val="single"/>
        </w:rPr>
        <w:t>Public cadastre</w:t>
      </w:r>
      <w:r w:rsidRPr="005C3EC8">
        <w:rPr>
          <w:rFonts w:ascii="Calibri" w:hAnsi="Calibri"/>
          <w:u w:val="single"/>
        </w:rPr>
        <w:t>/register</w:t>
      </w:r>
      <w:r w:rsidRPr="005C3EC8">
        <w:rPr>
          <w:rFonts w:ascii="Calibri" w:hAnsi="Calibri"/>
        </w:rPr>
        <w:t xml:space="preserve">: The 2016 EITI Report refers to the registers of licenses maintained by OGA (for Great Britain and the UKCS) and DfE (onshore Northern Ireland) (pp.40,42), but without providing a clear description of the specific information accessible to the public. </w:t>
      </w:r>
    </w:p>
    <w:p w14:paraId="48654157" w14:textId="77777777" w:rsidR="0089329D" w:rsidRPr="005C3EC8" w:rsidRDefault="0089329D" w:rsidP="00C65785">
      <w:pPr>
        <w:pStyle w:val="Heading4"/>
      </w:pPr>
      <w:r w:rsidRPr="005C3EC8">
        <w:t>Mining and quarrying</w:t>
      </w:r>
    </w:p>
    <w:p w14:paraId="6F888922" w14:textId="278FD3B9" w:rsidR="0089329D" w:rsidRPr="005C3EC8" w:rsidRDefault="0089329D" w:rsidP="0089329D">
      <w:pPr>
        <w:spacing w:before="120"/>
        <w:rPr>
          <w:rFonts w:ascii="Calibri" w:hAnsi="Calibri"/>
        </w:rPr>
      </w:pPr>
      <w:r w:rsidRPr="005C3EC8">
        <w:rPr>
          <w:rFonts w:ascii="Calibri" w:hAnsi="Calibri"/>
        </w:rPr>
        <w:t>The BGS website provides a description of different types of mineral ownership – and the lack of a national licensing system for exploration and extraction – with links to relevant authorities.</w:t>
      </w:r>
      <w:r w:rsidRPr="005C3EC8">
        <w:rPr>
          <w:rStyle w:val="FootnoteReference"/>
          <w:rFonts w:ascii="Calibri" w:hAnsi="Calibri"/>
        </w:rPr>
        <w:footnoteReference w:id="168"/>
      </w:r>
      <w:r w:rsidRPr="005C3EC8">
        <w:rPr>
          <w:rFonts w:ascii="Calibri" w:hAnsi="Calibri"/>
        </w:rPr>
        <w:t xml:space="preserve"> The 2016 EITI Report </w:t>
      </w:r>
      <w:r w:rsidRPr="005C3EC8">
        <w:rPr>
          <w:rFonts w:ascii="Calibri" w:hAnsi="Calibri"/>
          <w:bCs/>
        </w:rPr>
        <w:t>confirms the lack of licenses for mineral rights in onshore Great Britain (England, Scotland and Wales), aside from coal, gold and silver (p.58).</w:t>
      </w:r>
      <w:r w:rsidRPr="005C3EC8">
        <w:rPr>
          <w:rFonts w:ascii="Calibri" w:hAnsi="Calibri"/>
        </w:rPr>
        <w:t xml:space="preserve"> </w:t>
      </w:r>
      <w:r w:rsidRPr="005C3EC8">
        <w:rPr>
          <w:rFonts w:ascii="Calibri" w:hAnsi="Calibri"/>
          <w:bCs/>
        </w:rPr>
        <w:t xml:space="preserve">While the 2016 EITI Report does not specify the licenses held by companies in the scope of EITI reporting, </w:t>
      </w:r>
      <w:r w:rsidRPr="005C3EC8">
        <w:rPr>
          <w:rFonts w:ascii="Calibri" w:hAnsi="Calibri"/>
        </w:rPr>
        <w:t xml:space="preserve">material mining and quarrying companies, based on their profile and payments, can be assumed to hold licenses in marine aggregates, land-based mining on TCE </w:t>
      </w:r>
      <w:r w:rsidR="00B46FDE" w:rsidRPr="005C3EC8">
        <w:rPr>
          <w:rFonts w:ascii="Calibri" w:hAnsi="Calibri"/>
        </w:rPr>
        <w:t>estates</w:t>
      </w:r>
      <w:r w:rsidRPr="005C3EC8">
        <w:rPr>
          <w:rFonts w:ascii="Calibri" w:hAnsi="Calibri"/>
        </w:rPr>
        <w:t xml:space="preserve"> and minerals licenses from the DfE in Northern Ireland, but no licenses in coal, gold or silver (</w:t>
      </w:r>
      <w:r w:rsidRPr="005C3EC8">
        <w:rPr>
          <w:rFonts w:ascii="Calibri" w:hAnsi="Calibri"/>
          <w:i/>
        </w:rPr>
        <w:t>see Requirement 4.1</w:t>
      </w:r>
      <w:r w:rsidRPr="005C3EC8">
        <w:rPr>
          <w:rFonts w:ascii="Calibri" w:hAnsi="Calibri"/>
        </w:rPr>
        <w:t>).</w:t>
      </w:r>
    </w:p>
    <w:p w14:paraId="6401D815" w14:textId="77777777" w:rsidR="0089329D" w:rsidRPr="005C3EC8" w:rsidRDefault="0089329D" w:rsidP="00C65785">
      <w:pPr>
        <w:pStyle w:val="Heading5"/>
      </w:pPr>
      <w:r w:rsidRPr="005C3EC8">
        <w:t>Marine aggregates licenses (TCE)</w:t>
      </w:r>
    </w:p>
    <w:p w14:paraId="35CB8BD9" w14:textId="5A62617F" w:rsidR="0089329D" w:rsidRPr="005C3EC8" w:rsidRDefault="0089329D" w:rsidP="0089329D">
      <w:pPr>
        <w:spacing w:before="120"/>
        <w:rPr>
          <w:rFonts w:ascii="Calibri" w:hAnsi="Calibri"/>
        </w:rPr>
      </w:pPr>
      <w:r w:rsidRPr="005C3EC8">
        <w:rPr>
          <w:rFonts w:ascii="Calibri" w:hAnsi="Calibri"/>
          <w:b/>
          <w:i/>
        </w:rPr>
        <w:t>Systematic disclosures:</w:t>
      </w:r>
      <w:r w:rsidRPr="005C3EC8">
        <w:rPr>
          <w:rFonts w:ascii="Calibri" w:hAnsi="Calibri"/>
        </w:rPr>
        <w:t xml:space="preserve"> The Crown Estate website </w:t>
      </w:r>
      <w:r w:rsidR="007422A0" w:rsidRPr="005C3EC8">
        <w:rPr>
          <w:rFonts w:ascii="Calibri" w:hAnsi="Calibri"/>
        </w:rPr>
        <w:t xml:space="preserve">operates a </w:t>
      </w:r>
      <w:r w:rsidRPr="005C3EC8">
        <w:rPr>
          <w:rFonts w:ascii="Calibri" w:hAnsi="Calibri"/>
        </w:rPr>
        <w:t>GIS</w:t>
      </w:r>
      <w:r w:rsidR="007422A0" w:rsidRPr="005C3EC8">
        <w:rPr>
          <w:rFonts w:ascii="Calibri" w:hAnsi="Calibri"/>
        </w:rPr>
        <w:t>- mapping and</w:t>
      </w:r>
      <w:r w:rsidRPr="005C3EC8">
        <w:rPr>
          <w:rFonts w:ascii="Calibri" w:hAnsi="Calibri"/>
        </w:rPr>
        <w:t xml:space="preserve"> data centre</w:t>
      </w:r>
      <w:r w:rsidRPr="005C3EC8">
        <w:rPr>
          <w:rStyle w:val="FootnoteReference"/>
          <w:rFonts w:ascii="Calibri" w:hAnsi="Calibri"/>
        </w:rPr>
        <w:footnoteReference w:id="169"/>
      </w:r>
      <w:r w:rsidRPr="005C3EC8">
        <w:rPr>
          <w:rFonts w:ascii="Calibri" w:hAnsi="Calibri"/>
        </w:rPr>
        <w:t xml:space="preserve"> for the licenses it manages, including data on marine aggregate licenses</w:t>
      </w:r>
      <w:r w:rsidRPr="005C3EC8">
        <w:rPr>
          <w:rStyle w:val="FootnoteReference"/>
          <w:rFonts w:ascii="Calibri" w:hAnsi="Calibri"/>
        </w:rPr>
        <w:footnoteReference w:id="170"/>
      </w:r>
      <w:r w:rsidRPr="005C3EC8">
        <w:rPr>
          <w:rFonts w:ascii="Calibri" w:hAnsi="Calibri"/>
        </w:rPr>
        <w:t xml:space="preserve"> but not specifically for the land-based mineral licenses.</w:t>
      </w:r>
      <w:r w:rsidRPr="005C3EC8">
        <w:rPr>
          <w:rStyle w:val="FootnoteReference"/>
          <w:rFonts w:ascii="Calibri" w:hAnsi="Calibri"/>
        </w:rPr>
        <w:footnoteReference w:id="171"/>
      </w:r>
      <w:r w:rsidRPr="005C3EC8">
        <w:rPr>
          <w:rFonts w:ascii="Calibri" w:hAnsi="Calibri"/>
        </w:rPr>
        <w:t xml:space="preserve"> However, while license-holder names and coordinates are provided</w:t>
      </w:r>
      <w:r w:rsidRPr="005C3EC8">
        <w:rPr>
          <w:rStyle w:val="FootnoteReference"/>
          <w:rFonts w:ascii="Calibri" w:hAnsi="Calibri"/>
        </w:rPr>
        <w:footnoteReference w:id="172"/>
      </w:r>
      <w:r w:rsidRPr="005C3EC8">
        <w:rPr>
          <w:rFonts w:ascii="Calibri" w:hAnsi="Calibri"/>
        </w:rPr>
        <w:t>, the dates of application, award and expiry are not publicly accessible. In England, the MMO website provides a public register of marine license applications and decisions.</w:t>
      </w:r>
      <w:r w:rsidRPr="005C3EC8">
        <w:rPr>
          <w:rStyle w:val="FootnoteReference"/>
          <w:rFonts w:ascii="Calibri" w:hAnsi="Calibri"/>
        </w:rPr>
        <w:footnoteReference w:id="173"/>
      </w:r>
      <w:r w:rsidRPr="005C3EC8">
        <w:rPr>
          <w:rFonts w:ascii="Calibri" w:hAnsi="Calibri"/>
        </w:rPr>
        <w:t xml:space="preserve"> The equivalent information is accessible on the marine licensing sections of the Natural Resources Wales (NRW)</w:t>
      </w:r>
      <w:r w:rsidRPr="005C3EC8">
        <w:rPr>
          <w:rStyle w:val="FootnoteReference"/>
          <w:rFonts w:ascii="Calibri" w:hAnsi="Calibri"/>
        </w:rPr>
        <w:footnoteReference w:id="174"/>
      </w:r>
      <w:r w:rsidRPr="005C3EC8">
        <w:rPr>
          <w:rFonts w:ascii="Calibri" w:hAnsi="Calibri"/>
        </w:rPr>
        <w:t>, Marine Scotland</w:t>
      </w:r>
      <w:r w:rsidRPr="005C3EC8">
        <w:rPr>
          <w:rStyle w:val="FootnoteReference"/>
          <w:rFonts w:ascii="Calibri" w:hAnsi="Calibri"/>
        </w:rPr>
        <w:footnoteReference w:id="175"/>
      </w:r>
      <w:r w:rsidRPr="005C3EC8">
        <w:rPr>
          <w:rFonts w:ascii="Calibri" w:hAnsi="Calibri"/>
        </w:rPr>
        <w:t>, and Northern Ireland’s Department of Agriculture, Environment and Rural Affairs (DAERA)</w:t>
      </w:r>
      <w:r w:rsidRPr="005C3EC8">
        <w:rPr>
          <w:rStyle w:val="FootnoteReference"/>
          <w:rFonts w:ascii="Calibri" w:hAnsi="Calibri"/>
        </w:rPr>
        <w:footnoteReference w:id="176"/>
      </w:r>
      <w:r w:rsidRPr="005C3EC8">
        <w:rPr>
          <w:rFonts w:ascii="Calibri" w:hAnsi="Calibri"/>
        </w:rPr>
        <w:t xml:space="preserve"> public websites. However, the search functions on these websites require knowledge of the specific case reference or license number.</w:t>
      </w:r>
    </w:p>
    <w:p w14:paraId="5CC0E516" w14:textId="77777777" w:rsidR="0089329D" w:rsidRPr="005C3EC8" w:rsidRDefault="0089329D" w:rsidP="0089329D">
      <w:pPr>
        <w:spacing w:before="120"/>
        <w:rPr>
          <w:rFonts w:ascii="Calibri" w:hAnsi="Calibri"/>
        </w:rPr>
      </w:pPr>
      <w:r w:rsidRPr="005C3EC8">
        <w:rPr>
          <w:rFonts w:ascii="Calibri" w:hAnsi="Calibri"/>
          <w:b/>
          <w:i/>
        </w:rPr>
        <w:t>2016 EITI Report:</w:t>
      </w:r>
      <w:r w:rsidRPr="005C3EC8">
        <w:rPr>
          <w:rFonts w:ascii="Calibri" w:hAnsi="Calibri"/>
        </w:rPr>
        <w:t xml:space="preserve"> For licenses for marine aggregates and mineral potash granted by TCE, the report notes that all licensed applications and exploration/option area details are published online free of charge and provides a link</w:t>
      </w:r>
      <w:r w:rsidRPr="005C3EC8">
        <w:rPr>
          <w:rStyle w:val="FootnoteReference"/>
          <w:rFonts w:ascii="Calibri" w:hAnsi="Calibri"/>
        </w:rPr>
        <w:footnoteReference w:id="177"/>
      </w:r>
      <w:r w:rsidRPr="005C3EC8">
        <w:rPr>
          <w:rFonts w:ascii="Calibri" w:hAnsi="Calibri"/>
        </w:rPr>
        <w:t xml:space="preserve"> to the general TCE website (p.60), but does not describe the information accessible from </w:t>
      </w:r>
      <w:r w:rsidRPr="005C3EC8">
        <w:rPr>
          <w:rFonts w:ascii="Calibri" w:hAnsi="Calibri"/>
        </w:rPr>
        <w:lastRenderedPageBreak/>
        <w:t xml:space="preserve">the TCE website in any detail. </w:t>
      </w:r>
    </w:p>
    <w:p w14:paraId="6F21745A" w14:textId="4DB36245" w:rsidR="0089329D" w:rsidRPr="005C3EC8" w:rsidRDefault="0089329D" w:rsidP="0089329D">
      <w:pPr>
        <w:spacing w:before="120"/>
        <w:rPr>
          <w:rFonts w:ascii="Calibri" w:hAnsi="Calibri"/>
        </w:rPr>
      </w:pPr>
      <w:r w:rsidRPr="005C3EC8">
        <w:rPr>
          <w:rFonts w:ascii="Calibri" w:hAnsi="Calibri"/>
          <w:i/>
          <w:u w:val="single"/>
        </w:rPr>
        <w:t>Licenses held by material companies</w:t>
      </w:r>
      <w:r w:rsidRPr="005C3EC8">
        <w:rPr>
          <w:rFonts w:ascii="Calibri" w:hAnsi="Calibri"/>
        </w:rPr>
        <w:t xml:space="preserve">: </w:t>
      </w:r>
      <w:r w:rsidR="00BC5CA0" w:rsidRPr="005C3EC8">
        <w:rPr>
          <w:rFonts w:ascii="Calibri" w:hAnsi="Calibri"/>
        </w:rPr>
        <w:t>However, based on the license-level reporting of payments by mining and quarrying on the UKEITI website</w:t>
      </w:r>
      <w:r w:rsidR="00BC5CA0" w:rsidRPr="005C3EC8">
        <w:rPr>
          <w:rStyle w:val="FootnoteReference"/>
          <w:rFonts w:ascii="Calibri" w:hAnsi="Calibri"/>
        </w:rPr>
        <w:footnoteReference w:id="178"/>
      </w:r>
      <w:r w:rsidR="00BC5CA0" w:rsidRPr="005C3EC8">
        <w:rPr>
          <w:rFonts w:ascii="Calibri" w:hAnsi="Calibri"/>
        </w:rPr>
        <w:t xml:space="preserve"> indicates that material companies held marine dredging leases from TCE. </w:t>
      </w:r>
      <w:r w:rsidRPr="005C3EC8">
        <w:rPr>
          <w:rFonts w:ascii="Calibri" w:hAnsi="Calibri"/>
        </w:rPr>
        <w:t xml:space="preserve">There is </w:t>
      </w:r>
      <w:r w:rsidR="00BC5CA0" w:rsidRPr="005C3EC8">
        <w:rPr>
          <w:rFonts w:ascii="Calibri" w:hAnsi="Calibri"/>
        </w:rPr>
        <w:t xml:space="preserve">also </w:t>
      </w:r>
      <w:r w:rsidRPr="005C3EC8">
        <w:rPr>
          <w:rFonts w:ascii="Calibri" w:hAnsi="Calibri"/>
        </w:rPr>
        <w:t xml:space="preserve">evidence that at least one </w:t>
      </w:r>
      <w:r w:rsidR="00BC5CA0" w:rsidRPr="005C3EC8">
        <w:rPr>
          <w:rFonts w:ascii="Calibri" w:hAnsi="Calibri"/>
        </w:rPr>
        <w:t>material company</w:t>
      </w:r>
      <w:r w:rsidR="00BC5CA0" w:rsidRPr="005C3EC8">
        <w:rPr>
          <w:rStyle w:val="FootnoteReference"/>
          <w:rFonts w:ascii="Calibri" w:hAnsi="Calibri"/>
        </w:rPr>
        <w:footnoteReference w:id="179"/>
      </w:r>
      <w:r w:rsidRPr="005C3EC8">
        <w:rPr>
          <w:rFonts w:ascii="Calibri" w:hAnsi="Calibri"/>
        </w:rPr>
        <w:t xml:space="preserve"> </w:t>
      </w:r>
      <w:r w:rsidR="00BC5CA0" w:rsidRPr="005C3EC8">
        <w:rPr>
          <w:rFonts w:ascii="Calibri" w:hAnsi="Calibri"/>
        </w:rPr>
        <w:t>holding a potash mining license</w:t>
      </w:r>
      <w:r w:rsidRPr="005C3EC8">
        <w:rPr>
          <w:rFonts w:ascii="Calibri" w:hAnsi="Calibri"/>
        </w:rPr>
        <w:t xml:space="preserve"> in the year under review (p</w:t>
      </w:r>
      <w:r w:rsidR="00BC5CA0" w:rsidRPr="005C3EC8">
        <w:rPr>
          <w:rFonts w:ascii="Calibri" w:hAnsi="Calibri"/>
        </w:rPr>
        <w:t>p</w:t>
      </w:r>
      <w:r w:rsidRPr="005C3EC8">
        <w:rPr>
          <w:rFonts w:ascii="Calibri" w:hAnsi="Calibri"/>
        </w:rPr>
        <w:t>.</w:t>
      </w:r>
      <w:r w:rsidR="00BC5CA0" w:rsidRPr="005C3EC8">
        <w:rPr>
          <w:rFonts w:ascii="Calibri" w:hAnsi="Calibri"/>
        </w:rPr>
        <w:t>61,</w:t>
      </w:r>
      <w:r w:rsidRPr="005C3EC8">
        <w:rPr>
          <w:rFonts w:ascii="Calibri" w:hAnsi="Calibri"/>
        </w:rPr>
        <w:t xml:space="preserve">79). </w:t>
      </w:r>
    </w:p>
    <w:p w14:paraId="71798818" w14:textId="6B1B1CFD" w:rsidR="0089329D" w:rsidRPr="005C3EC8" w:rsidRDefault="0089329D" w:rsidP="0089329D">
      <w:pPr>
        <w:spacing w:before="120"/>
        <w:rPr>
          <w:rFonts w:ascii="Calibri" w:hAnsi="Calibri"/>
        </w:rPr>
      </w:pPr>
      <w:r w:rsidRPr="005C3EC8">
        <w:rPr>
          <w:rFonts w:ascii="Calibri" w:hAnsi="Calibri"/>
          <w:i/>
          <w:u w:val="single"/>
        </w:rPr>
        <w:t>License-holder names</w:t>
      </w:r>
      <w:r w:rsidRPr="005C3EC8">
        <w:rPr>
          <w:rFonts w:ascii="Calibri" w:hAnsi="Calibri"/>
        </w:rPr>
        <w:t>: The TCE website provides the names of operators of all active marine aggregate licenses</w:t>
      </w:r>
      <w:r w:rsidRPr="005C3EC8">
        <w:rPr>
          <w:rStyle w:val="FootnoteReference"/>
          <w:rFonts w:ascii="Calibri" w:hAnsi="Calibri"/>
        </w:rPr>
        <w:footnoteReference w:id="180"/>
      </w:r>
      <w:r w:rsidRPr="005C3EC8">
        <w:rPr>
          <w:rFonts w:ascii="Calibri" w:hAnsi="Calibri"/>
        </w:rPr>
        <w:t>, but not of marine potash license-holders.</w:t>
      </w:r>
      <w:r w:rsidR="001D00B1" w:rsidRPr="005C3EC8">
        <w:rPr>
          <w:rFonts w:ascii="Calibri" w:hAnsi="Calibri"/>
        </w:rPr>
        <w:t xml:space="preserve"> The license-level reporting of payments by mining and quarrying on the UKEITI website</w:t>
      </w:r>
      <w:r w:rsidR="001D00B1" w:rsidRPr="005C3EC8">
        <w:rPr>
          <w:rStyle w:val="FootnoteReference"/>
          <w:rFonts w:ascii="Calibri" w:hAnsi="Calibri"/>
        </w:rPr>
        <w:footnoteReference w:id="181"/>
      </w:r>
      <w:r w:rsidR="001D00B1" w:rsidRPr="005C3EC8">
        <w:rPr>
          <w:rFonts w:ascii="Calibri" w:hAnsi="Calibri"/>
        </w:rPr>
        <w:t xml:space="preserve"> indicates many of the names of licenses held by material companies, albeit with some gaps in the license names. It is unclear whether material companies held additional licenses for which they did not make payments to TCE.</w:t>
      </w:r>
    </w:p>
    <w:p w14:paraId="5E66F408" w14:textId="019DD3EA" w:rsidR="0089329D" w:rsidRPr="005C3EC8" w:rsidRDefault="0089329D" w:rsidP="0089329D">
      <w:pPr>
        <w:spacing w:before="120"/>
        <w:rPr>
          <w:rFonts w:ascii="Calibri" w:hAnsi="Calibri"/>
          <w:color w:val="000000" w:themeColor="text1"/>
        </w:rPr>
      </w:pPr>
      <w:r w:rsidRPr="005C3EC8">
        <w:rPr>
          <w:rFonts w:ascii="Calibri" w:hAnsi="Calibri"/>
          <w:i/>
          <w:color w:val="000000" w:themeColor="text1"/>
          <w:u w:val="single"/>
        </w:rPr>
        <w:t>License coordinates</w:t>
      </w:r>
      <w:r w:rsidRPr="005C3EC8">
        <w:rPr>
          <w:rFonts w:ascii="Calibri" w:hAnsi="Calibri"/>
          <w:color w:val="000000" w:themeColor="text1"/>
        </w:rPr>
        <w:t>:</w:t>
      </w:r>
      <w:r w:rsidR="007422A0" w:rsidRPr="005C3EC8">
        <w:rPr>
          <w:rFonts w:ascii="Calibri" w:hAnsi="Calibri"/>
          <w:color w:val="000000" w:themeColor="text1"/>
        </w:rPr>
        <w:t xml:space="preserve"> The regional dredging area charts on TCE’s Marine Aggregates Information website provides maps for the seven key zones of the UK</w:t>
      </w:r>
      <w:r w:rsidR="007422A0" w:rsidRPr="005C3EC8">
        <w:rPr>
          <w:rStyle w:val="FootnoteReference"/>
          <w:rFonts w:ascii="Calibri" w:hAnsi="Calibri"/>
          <w:color w:val="000000" w:themeColor="text1"/>
        </w:rPr>
        <w:footnoteReference w:id="182"/>
      </w:r>
      <w:r w:rsidR="007422A0" w:rsidRPr="005C3EC8">
        <w:rPr>
          <w:rFonts w:ascii="Calibri" w:hAnsi="Calibri"/>
          <w:color w:val="000000" w:themeColor="text1"/>
        </w:rPr>
        <w:t xml:space="preserve">, from which coordinates can be approximated. </w:t>
      </w:r>
    </w:p>
    <w:p w14:paraId="2EACC5BA" w14:textId="77777777" w:rsidR="0089329D" w:rsidRPr="005C3EC8" w:rsidRDefault="0089329D" w:rsidP="0089329D">
      <w:pPr>
        <w:spacing w:before="120"/>
        <w:rPr>
          <w:rFonts w:ascii="Calibri" w:hAnsi="Calibri"/>
        </w:rPr>
      </w:pPr>
      <w:r w:rsidRPr="005C3EC8">
        <w:rPr>
          <w:rFonts w:ascii="Calibri" w:hAnsi="Calibri"/>
          <w:i/>
          <w:u w:val="single"/>
        </w:rPr>
        <w:t>Dates</w:t>
      </w:r>
      <w:r w:rsidRPr="005C3EC8">
        <w:rPr>
          <w:rFonts w:ascii="Calibri" w:hAnsi="Calibri"/>
        </w:rPr>
        <w:t>: The TCE website</w:t>
      </w:r>
      <w:r w:rsidRPr="005C3EC8">
        <w:rPr>
          <w:rStyle w:val="FootnoteReference"/>
          <w:rFonts w:ascii="Calibri" w:hAnsi="Calibri"/>
        </w:rPr>
        <w:footnoteReference w:id="183"/>
      </w:r>
      <w:r w:rsidRPr="005C3EC8">
        <w:rPr>
          <w:rFonts w:ascii="Calibri" w:hAnsi="Calibri"/>
        </w:rPr>
        <w:t xml:space="preserve"> does not appear to provide the dates of application, award and expiry for each marine aggregate license held by companies in the 2016 EITI Report. </w:t>
      </w:r>
    </w:p>
    <w:p w14:paraId="352A3CD9" w14:textId="77777777" w:rsidR="0089329D" w:rsidRPr="005C3EC8" w:rsidRDefault="0089329D" w:rsidP="0089329D">
      <w:pPr>
        <w:spacing w:before="120"/>
        <w:rPr>
          <w:rFonts w:ascii="Calibri" w:hAnsi="Calibri"/>
        </w:rPr>
      </w:pPr>
      <w:r w:rsidRPr="005C3EC8">
        <w:rPr>
          <w:rFonts w:ascii="Calibri" w:hAnsi="Calibri"/>
          <w:i/>
          <w:u w:val="single"/>
        </w:rPr>
        <w:t>Commodity</w:t>
      </w:r>
      <w:r w:rsidRPr="005C3EC8">
        <w:rPr>
          <w:rFonts w:ascii="Calibri" w:hAnsi="Calibri"/>
        </w:rPr>
        <w:t>: The TCE website implies that licenses are awarded for marine aggregate (sand and gravel)</w:t>
      </w:r>
      <w:r w:rsidRPr="005C3EC8">
        <w:rPr>
          <w:rStyle w:val="FootnoteReference"/>
          <w:rFonts w:ascii="Calibri" w:hAnsi="Calibri"/>
        </w:rPr>
        <w:footnoteReference w:id="184"/>
      </w:r>
      <w:r w:rsidRPr="005C3EC8">
        <w:rPr>
          <w:rFonts w:ascii="Calibri" w:hAnsi="Calibri"/>
        </w:rPr>
        <w:t xml:space="preserve"> and land-based salt and potash</w:t>
      </w:r>
      <w:r w:rsidRPr="005C3EC8">
        <w:rPr>
          <w:rStyle w:val="FootnoteReference"/>
          <w:rFonts w:ascii="Calibri" w:hAnsi="Calibri"/>
        </w:rPr>
        <w:footnoteReference w:id="185"/>
      </w:r>
      <w:r w:rsidRPr="005C3EC8">
        <w:rPr>
          <w:rFonts w:ascii="Calibri" w:hAnsi="Calibri"/>
        </w:rPr>
        <w:t xml:space="preserve"> separately, but only provides a list of licenses for marine aggregate</w:t>
      </w:r>
      <w:r w:rsidRPr="005C3EC8">
        <w:rPr>
          <w:rStyle w:val="FootnoteReference"/>
          <w:rFonts w:ascii="Calibri" w:hAnsi="Calibri"/>
        </w:rPr>
        <w:footnoteReference w:id="186"/>
      </w:r>
      <w:r w:rsidRPr="005C3EC8">
        <w:rPr>
          <w:rFonts w:ascii="Calibri" w:hAnsi="Calibri"/>
        </w:rPr>
        <w:t xml:space="preserve">, not mineral potash. </w:t>
      </w:r>
    </w:p>
    <w:p w14:paraId="306D273A" w14:textId="5823B408" w:rsidR="0089329D" w:rsidRPr="005C3EC8" w:rsidRDefault="0089329D" w:rsidP="00C65785">
      <w:pPr>
        <w:pStyle w:val="Heading5"/>
      </w:pPr>
      <w:r w:rsidRPr="005C3EC8">
        <w:t xml:space="preserve">Terrestrial mining licenses on TCE </w:t>
      </w:r>
      <w:r w:rsidR="00B46FDE" w:rsidRPr="005C3EC8">
        <w:t>estates</w:t>
      </w:r>
    </w:p>
    <w:p w14:paraId="6686A01A" w14:textId="63EF6606" w:rsidR="0089329D" w:rsidRPr="005C3EC8" w:rsidRDefault="0089329D" w:rsidP="0089329D">
      <w:pPr>
        <w:spacing w:before="120"/>
        <w:rPr>
          <w:rFonts w:ascii="Calibri" w:hAnsi="Calibri"/>
        </w:rPr>
      </w:pPr>
      <w:r w:rsidRPr="005C3EC8">
        <w:rPr>
          <w:rFonts w:ascii="Calibri" w:hAnsi="Calibri"/>
          <w:b/>
          <w:i/>
        </w:rPr>
        <w:t>Systematic disclosures:</w:t>
      </w:r>
      <w:r w:rsidRPr="005C3EC8">
        <w:rPr>
          <w:rFonts w:ascii="Calibri" w:hAnsi="Calibri"/>
        </w:rPr>
        <w:t xml:space="preserve"> The Crown Estate website operates a maps and GIS data centre</w:t>
      </w:r>
      <w:r w:rsidRPr="005C3EC8">
        <w:rPr>
          <w:rStyle w:val="FootnoteReference"/>
          <w:rFonts w:ascii="Calibri" w:hAnsi="Calibri"/>
        </w:rPr>
        <w:footnoteReference w:id="187"/>
      </w:r>
      <w:r w:rsidRPr="005C3EC8">
        <w:rPr>
          <w:rFonts w:ascii="Calibri" w:hAnsi="Calibri"/>
        </w:rPr>
        <w:t xml:space="preserve"> for the marine aggregate </w:t>
      </w:r>
      <w:r w:rsidR="002C6785" w:rsidRPr="005C3EC8">
        <w:rPr>
          <w:rFonts w:ascii="Calibri" w:hAnsi="Calibri"/>
        </w:rPr>
        <w:t>agreements,</w:t>
      </w:r>
      <w:r w:rsidRPr="005C3EC8">
        <w:rPr>
          <w:rFonts w:ascii="Calibri" w:hAnsi="Calibri"/>
        </w:rPr>
        <w:t xml:space="preserve"> but not specifically for the land-based mineral licenses</w:t>
      </w:r>
      <w:r w:rsidR="002C6785" w:rsidRPr="005C3EC8">
        <w:rPr>
          <w:rFonts w:ascii="Calibri" w:hAnsi="Calibri"/>
        </w:rPr>
        <w:t>, where the TCE website is more general</w:t>
      </w:r>
      <w:r w:rsidRPr="005C3EC8">
        <w:rPr>
          <w:rFonts w:ascii="Calibri" w:hAnsi="Calibri"/>
        </w:rPr>
        <w:t>.</w:t>
      </w:r>
      <w:r w:rsidRPr="005C3EC8">
        <w:rPr>
          <w:rStyle w:val="FootnoteReference"/>
          <w:rFonts w:ascii="Calibri" w:hAnsi="Calibri"/>
        </w:rPr>
        <w:footnoteReference w:id="188"/>
      </w:r>
      <w:r w:rsidR="002C6785" w:rsidRPr="005C3EC8">
        <w:rPr>
          <w:rFonts w:ascii="Calibri" w:hAnsi="Calibri"/>
        </w:rPr>
        <w:t xml:space="preserve"> However, the TCE website’s “Our Assets” section provides information on holders of leases on TCE </w:t>
      </w:r>
      <w:r w:rsidR="00B46FDE" w:rsidRPr="005C3EC8">
        <w:rPr>
          <w:rFonts w:ascii="Calibri" w:hAnsi="Calibri"/>
        </w:rPr>
        <w:t>estates</w:t>
      </w:r>
      <w:r w:rsidR="002C6785" w:rsidRPr="005C3EC8">
        <w:rPr>
          <w:rStyle w:val="FootnoteReference"/>
          <w:rFonts w:ascii="Calibri" w:hAnsi="Calibri"/>
        </w:rPr>
        <w:footnoteReference w:id="189"/>
      </w:r>
      <w:r w:rsidR="001D00B1" w:rsidRPr="005C3EC8">
        <w:rPr>
          <w:rFonts w:ascii="Calibri" w:hAnsi="Calibri"/>
        </w:rPr>
        <w:t xml:space="preserve">, albeit without dates of application, award or expiry. It is assumed that these licenses cover all non-energy and non-coal minerals. </w:t>
      </w:r>
    </w:p>
    <w:p w14:paraId="55B902F3" w14:textId="0E8B4C6A" w:rsidR="0089329D" w:rsidRPr="005C3EC8" w:rsidRDefault="0089329D" w:rsidP="0089329D">
      <w:pPr>
        <w:spacing w:before="120"/>
        <w:rPr>
          <w:rFonts w:ascii="Calibri" w:hAnsi="Calibri"/>
        </w:rPr>
      </w:pPr>
      <w:r w:rsidRPr="005C3EC8">
        <w:rPr>
          <w:rFonts w:ascii="Calibri" w:hAnsi="Calibri"/>
          <w:b/>
          <w:i/>
        </w:rPr>
        <w:t>2016 EITI Report:</w:t>
      </w:r>
      <w:r w:rsidRPr="005C3EC8">
        <w:rPr>
          <w:rFonts w:ascii="Calibri" w:hAnsi="Calibri"/>
        </w:rPr>
        <w:t xml:space="preserve"> </w:t>
      </w:r>
      <w:r w:rsidR="00171632" w:rsidRPr="005C3EC8">
        <w:rPr>
          <w:rFonts w:ascii="Calibri" w:hAnsi="Calibri"/>
        </w:rPr>
        <w:t>While the report refers to the TCE’s responsibility for managing licenses for terrestrial mining on its lands (p.61), it does not clarify the existence or public accessibility of TCE’s register of land-</w:t>
      </w:r>
      <w:r w:rsidR="00171632" w:rsidRPr="005C3EC8">
        <w:rPr>
          <w:rFonts w:ascii="Calibri" w:hAnsi="Calibri"/>
        </w:rPr>
        <w:lastRenderedPageBreak/>
        <w:t xml:space="preserve">based mining agreements. </w:t>
      </w:r>
    </w:p>
    <w:p w14:paraId="35B307A2" w14:textId="37FADFC8" w:rsidR="0089329D" w:rsidRPr="005C3EC8" w:rsidRDefault="0089329D" w:rsidP="0089329D">
      <w:pPr>
        <w:spacing w:before="120"/>
        <w:rPr>
          <w:rFonts w:ascii="Calibri" w:hAnsi="Calibri"/>
        </w:rPr>
      </w:pPr>
      <w:r w:rsidRPr="005C3EC8">
        <w:rPr>
          <w:rFonts w:ascii="Calibri" w:hAnsi="Calibri"/>
          <w:i/>
          <w:u w:val="single"/>
        </w:rPr>
        <w:t>Licenses held by material companies</w:t>
      </w:r>
      <w:r w:rsidRPr="005C3EC8">
        <w:rPr>
          <w:rFonts w:ascii="Calibri" w:hAnsi="Calibri"/>
        </w:rPr>
        <w:t>:</w:t>
      </w:r>
      <w:r w:rsidR="00AE3F6D" w:rsidRPr="005C3EC8">
        <w:rPr>
          <w:rFonts w:ascii="Calibri" w:hAnsi="Calibri"/>
        </w:rPr>
        <w:t xml:space="preserve"> The number of agreements involving material companies in the 2016 EITI Report and TCE for terrestrial mining or quarrying on TCE </w:t>
      </w:r>
      <w:r w:rsidR="00B46FDE" w:rsidRPr="005C3EC8">
        <w:rPr>
          <w:rFonts w:ascii="Calibri" w:hAnsi="Calibri"/>
        </w:rPr>
        <w:t>estates</w:t>
      </w:r>
      <w:r w:rsidR="00AE3F6D" w:rsidRPr="005C3EC8">
        <w:rPr>
          <w:rFonts w:ascii="Calibri" w:hAnsi="Calibri"/>
        </w:rPr>
        <w:t xml:space="preserve"> is unclea</w:t>
      </w:r>
      <w:r w:rsidR="003927E1" w:rsidRPr="005C3EC8">
        <w:rPr>
          <w:rFonts w:ascii="Calibri" w:hAnsi="Calibri"/>
        </w:rPr>
        <w:t xml:space="preserve">r from </w:t>
      </w:r>
      <w:r w:rsidR="00AE3F6D" w:rsidRPr="005C3EC8">
        <w:rPr>
          <w:rFonts w:ascii="Calibri" w:hAnsi="Calibri"/>
        </w:rPr>
        <w:t xml:space="preserve">EITI Report </w:t>
      </w:r>
      <w:r w:rsidR="003927E1" w:rsidRPr="005C3EC8">
        <w:rPr>
          <w:rFonts w:ascii="Calibri" w:hAnsi="Calibri"/>
        </w:rPr>
        <w:t>itself. However, based on the license-level reporting</w:t>
      </w:r>
      <w:r w:rsidR="00BC5CA0" w:rsidRPr="005C3EC8">
        <w:rPr>
          <w:rFonts w:ascii="Calibri" w:hAnsi="Calibri"/>
        </w:rPr>
        <w:t xml:space="preserve"> of payments</w:t>
      </w:r>
      <w:r w:rsidR="003927E1" w:rsidRPr="005C3EC8">
        <w:rPr>
          <w:rFonts w:ascii="Calibri" w:hAnsi="Calibri"/>
        </w:rPr>
        <w:t xml:space="preserve"> by mining and quarrying </w:t>
      </w:r>
      <w:r w:rsidR="00BC5CA0" w:rsidRPr="005C3EC8">
        <w:rPr>
          <w:rFonts w:ascii="Calibri" w:hAnsi="Calibri"/>
        </w:rPr>
        <w:t>on the UKEITI website</w:t>
      </w:r>
      <w:r w:rsidR="00BC5CA0" w:rsidRPr="005C3EC8">
        <w:rPr>
          <w:rStyle w:val="FootnoteReference"/>
          <w:rFonts w:ascii="Calibri" w:hAnsi="Calibri"/>
        </w:rPr>
        <w:footnoteReference w:id="190"/>
      </w:r>
      <w:r w:rsidR="00BC5CA0" w:rsidRPr="005C3EC8">
        <w:rPr>
          <w:rFonts w:ascii="Calibri" w:hAnsi="Calibri"/>
        </w:rPr>
        <w:t xml:space="preserve"> indicates that material companies held terrestrial mining and quarrying leases from TCE.</w:t>
      </w:r>
    </w:p>
    <w:p w14:paraId="79D8FAE2" w14:textId="1B114E0C" w:rsidR="002C6785" w:rsidRPr="005C3EC8" w:rsidRDefault="002C6785" w:rsidP="0089329D">
      <w:pPr>
        <w:spacing w:before="120"/>
        <w:rPr>
          <w:rFonts w:ascii="Calibri" w:hAnsi="Calibri"/>
        </w:rPr>
      </w:pPr>
      <w:r w:rsidRPr="005C3EC8">
        <w:rPr>
          <w:rFonts w:ascii="Calibri" w:hAnsi="Calibri"/>
          <w:i/>
          <w:u w:val="single"/>
        </w:rPr>
        <w:t>License-holder names</w:t>
      </w:r>
      <w:r w:rsidRPr="005C3EC8">
        <w:rPr>
          <w:rFonts w:ascii="Calibri" w:hAnsi="Calibri"/>
        </w:rPr>
        <w:t>:</w:t>
      </w:r>
      <w:r w:rsidR="001D00B1" w:rsidRPr="005C3EC8">
        <w:rPr>
          <w:rFonts w:ascii="Calibri" w:hAnsi="Calibri"/>
        </w:rPr>
        <w:t xml:space="preserve"> The license-level reporting of payments by mining and quarrying on the UKEITI website</w:t>
      </w:r>
      <w:r w:rsidR="001D00B1" w:rsidRPr="005C3EC8">
        <w:rPr>
          <w:rStyle w:val="FootnoteReference"/>
          <w:rFonts w:ascii="Calibri" w:hAnsi="Calibri"/>
        </w:rPr>
        <w:footnoteReference w:id="191"/>
      </w:r>
      <w:r w:rsidR="001D00B1" w:rsidRPr="005C3EC8">
        <w:rPr>
          <w:rFonts w:ascii="Calibri" w:hAnsi="Calibri"/>
        </w:rPr>
        <w:t xml:space="preserve"> indicates many of the names of licenses held by material companies, albeit with some gaps in the license names. It is unclear whether material companies held additional licenses for which they did not make payments to TCE. </w:t>
      </w:r>
    </w:p>
    <w:p w14:paraId="0F543085" w14:textId="34E00EDE" w:rsidR="002C6785" w:rsidRPr="005C3EC8" w:rsidRDefault="002C6785" w:rsidP="0089329D">
      <w:pPr>
        <w:spacing w:before="120"/>
        <w:rPr>
          <w:rFonts w:ascii="Calibri" w:hAnsi="Calibri"/>
          <w:color w:val="000000" w:themeColor="text1"/>
        </w:rPr>
      </w:pPr>
      <w:r w:rsidRPr="005C3EC8">
        <w:rPr>
          <w:rFonts w:ascii="Calibri" w:hAnsi="Calibri"/>
          <w:i/>
          <w:color w:val="000000" w:themeColor="text1"/>
          <w:u w:val="single"/>
        </w:rPr>
        <w:t>License coordinates</w:t>
      </w:r>
      <w:r w:rsidRPr="005C3EC8">
        <w:rPr>
          <w:rFonts w:ascii="Calibri" w:hAnsi="Calibri"/>
          <w:color w:val="000000" w:themeColor="text1"/>
        </w:rPr>
        <w:t>:</w:t>
      </w:r>
      <w:r w:rsidR="001D00B1" w:rsidRPr="005C3EC8">
        <w:rPr>
          <w:rFonts w:ascii="Calibri" w:hAnsi="Calibri"/>
        </w:rPr>
        <w:t xml:space="preserve"> The TCE website’s “Our Assets” section provides information on coordinates of leases on TCE </w:t>
      </w:r>
      <w:r w:rsidR="00B46FDE" w:rsidRPr="005C3EC8">
        <w:rPr>
          <w:rFonts w:ascii="Calibri" w:hAnsi="Calibri"/>
        </w:rPr>
        <w:t>estates</w:t>
      </w:r>
      <w:r w:rsidR="001D00B1" w:rsidRPr="005C3EC8">
        <w:rPr>
          <w:rFonts w:ascii="Calibri" w:hAnsi="Calibri"/>
        </w:rPr>
        <w:t>.</w:t>
      </w:r>
      <w:r w:rsidR="001D00B1" w:rsidRPr="005C3EC8">
        <w:rPr>
          <w:rStyle w:val="FootnoteReference"/>
          <w:rFonts w:ascii="Calibri" w:hAnsi="Calibri"/>
        </w:rPr>
        <w:footnoteReference w:id="192"/>
      </w:r>
    </w:p>
    <w:p w14:paraId="5288157D" w14:textId="0DD7B7B2" w:rsidR="002C6785" w:rsidRPr="005C3EC8" w:rsidRDefault="002C6785" w:rsidP="0089329D">
      <w:pPr>
        <w:spacing w:before="120"/>
        <w:rPr>
          <w:rFonts w:ascii="Calibri" w:hAnsi="Calibri"/>
        </w:rPr>
      </w:pPr>
      <w:r w:rsidRPr="005C3EC8">
        <w:rPr>
          <w:rFonts w:ascii="Calibri" w:hAnsi="Calibri"/>
          <w:i/>
          <w:u w:val="single"/>
        </w:rPr>
        <w:t>Dates</w:t>
      </w:r>
      <w:r w:rsidRPr="005C3EC8">
        <w:rPr>
          <w:rFonts w:ascii="Calibri" w:hAnsi="Calibri"/>
        </w:rPr>
        <w:t>:</w:t>
      </w:r>
      <w:r w:rsidR="001D00B1" w:rsidRPr="005C3EC8">
        <w:rPr>
          <w:rFonts w:ascii="Calibri" w:hAnsi="Calibri"/>
        </w:rPr>
        <w:t xml:space="preserve"> There is no publicly-available information on dates of</w:t>
      </w:r>
      <w:r w:rsidR="00181ED6" w:rsidRPr="005C3EC8">
        <w:rPr>
          <w:rFonts w:ascii="Calibri" w:hAnsi="Calibri"/>
        </w:rPr>
        <w:t xml:space="preserve"> application, award or</w:t>
      </w:r>
      <w:r w:rsidR="001D00B1" w:rsidRPr="005C3EC8">
        <w:rPr>
          <w:rFonts w:ascii="Calibri" w:hAnsi="Calibri"/>
        </w:rPr>
        <w:t xml:space="preserve"> expiry of leases </w:t>
      </w:r>
      <w:r w:rsidR="00B46FDE" w:rsidRPr="005C3EC8">
        <w:rPr>
          <w:rFonts w:ascii="Calibri" w:hAnsi="Calibri"/>
        </w:rPr>
        <w:t xml:space="preserve">for land-based mining on </w:t>
      </w:r>
      <w:r w:rsidR="001D00B1" w:rsidRPr="005C3EC8">
        <w:rPr>
          <w:rFonts w:ascii="Calibri" w:hAnsi="Calibri"/>
        </w:rPr>
        <w:t xml:space="preserve">TCE </w:t>
      </w:r>
      <w:r w:rsidR="00B46FDE" w:rsidRPr="005C3EC8">
        <w:rPr>
          <w:rFonts w:ascii="Calibri" w:hAnsi="Calibri"/>
        </w:rPr>
        <w:t xml:space="preserve">estates </w:t>
      </w:r>
      <w:r w:rsidR="001D00B1" w:rsidRPr="005C3EC8">
        <w:rPr>
          <w:rFonts w:ascii="Calibri" w:hAnsi="Calibri"/>
        </w:rPr>
        <w:t xml:space="preserve">held by material companies, either in the 2016 EITI Report or the TCE website. </w:t>
      </w:r>
    </w:p>
    <w:p w14:paraId="65887049" w14:textId="09A03CAC" w:rsidR="00B46FDE" w:rsidRPr="005C3EC8" w:rsidRDefault="002C6785" w:rsidP="0089329D">
      <w:pPr>
        <w:spacing w:before="120"/>
        <w:rPr>
          <w:rFonts w:ascii="Calibri" w:hAnsi="Calibri"/>
        </w:rPr>
      </w:pPr>
      <w:r w:rsidRPr="005C3EC8">
        <w:rPr>
          <w:rFonts w:ascii="Calibri" w:hAnsi="Calibri"/>
          <w:i/>
          <w:u w:val="single"/>
        </w:rPr>
        <w:t>Commodity</w:t>
      </w:r>
      <w:r w:rsidRPr="005C3EC8">
        <w:rPr>
          <w:rFonts w:ascii="Calibri" w:hAnsi="Calibri"/>
        </w:rPr>
        <w:t>:</w:t>
      </w:r>
      <w:r w:rsidR="00B46FDE" w:rsidRPr="005C3EC8">
        <w:rPr>
          <w:rFonts w:ascii="Calibri" w:hAnsi="Calibri"/>
        </w:rPr>
        <w:t xml:space="preserve"> It is unclear whether the TCE website’s “Our Assets” section provides information on the commodity(</w:t>
      </w:r>
      <w:proofErr w:type="spellStart"/>
      <w:r w:rsidR="00B46FDE" w:rsidRPr="005C3EC8">
        <w:rPr>
          <w:rFonts w:ascii="Calibri" w:hAnsi="Calibri"/>
        </w:rPr>
        <w:t>ies</w:t>
      </w:r>
      <w:proofErr w:type="spellEnd"/>
      <w:r w:rsidR="00B46FDE" w:rsidRPr="005C3EC8">
        <w:rPr>
          <w:rFonts w:ascii="Calibri" w:hAnsi="Calibri"/>
        </w:rPr>
        <w:t>) covered by individual leases for land-based mining on TCE estates.</w:t>
      </w:r>
      <w:r w:rsidR="00B46FDE" w:rsidRPr="005C3EC8">
        <w:rPr>
          <w:rStyle w:val="FootnoteReference"/>
          <w:rFonts w:ascii="Calibri" w:hAnsi="Calibri"/>
        </w:rPr>
        <w:footnoteReference w:id="193"/>
      </w:r>
    </w:p>
    <w:p w14:paraId="36C96BF0" w14:textId="77777777" w:rsidR="0089329D" w:rsidRPr="005C3EC8" w:rsidRDefault="0089329D" w:rsidP="00C65785">
      <w:pPr>
        <w:pStyle w:val="Heading5"/>
      </w:pPr>
      <w:r w:rsidRPr="005C3EC8">
        <w:t>Northern Ireland mining licenses (DfE)</w:t>
      </w:r>
    </w:p>
    <w:p w14:paraId="683EAF0D" w14:textId="77777777" w:rsidR="0089329D" w:rsidRPr="005C3EC8" w:rsidRDefault="0089329D" w:rsidP="0089329D">
      <w:pPr>
        <w:spacing w:before="120"/>
        <w:rPr>
          <w:rFonts w:ascii="Calibri" w:hAnsi="Calibri"/>
        </w:rPr>
      </w:pPr>
      <w:r w:rsidRPr="005C3EC8">
        <w:rPr>
          <w:rFonts w:ascii="Calibri" w:hAnsi="Calibri"/>
          <w:b/>
          <w:i/>
        </w:rPr>
        <w:t>Systematic disclosures:</w:t>
      </w:r>
      <w:r w:rsidRPr="005C3EC8">
        <w:rPr>
          <w:rFonts w:ascii="Calibri" w:hAnsi="Calibri"/>
        </w:rPr>
        <w:t xml:space="preserve"> Northern Ireland’s DfE provides a map of active mining licenses</w:t>
      </w:r>
      <w:r w:rsidRPr="005C3EC8">
        <w:rPr>
          <w:rStyle w:val="FootnoteReference"/>
          <w:rFonts w:ascii="Calibri" w:hAnsi="Calibri"/>
        </w:rPr>
        <w:footnoteReference w:id="194"/>
      </w:r>
      <w:r w:rsidRPr="005C3EC8">
        <w:rPr>
          <w:rFonts w:ascii="Calibri" w:hAnsi="Calibri"/>
        </w:rPr>
        <w:t xml:space="preserve">, although it provides only license-holder names and license coordinates, not the dates of application, award and expiry. </w:t>
      </w:r>
    </w:p>
    <w:p w14:paraId="47CE6FE5" w14:textId="77777777" w:rsidR="0089329D" w:rsidRPr="005C3EC8" w:rsidRDefault="0089329D" w:rsidP="0089329D">
      <w:pPr>
        <w:spacing w:before="120"/>
        <w:rPr>
          <w:rFonts w:ascii="Calibri" w:hAnsi="Calibri"/>
        </w:rPr>
      </w:pPr>
      <w:r w:rsidRPr="005C3EC8">
        <w:rPr>
          <w:rFonts w:ascii="Calibri" w:hAnsi="Calibri"/>
          <w:b/>
          <w:i/>
        </w:rPr>
        <w:t>2016 EITI Report:</w:t>
      </w:r>
      <w:r w:rsidRPr="005C3EC8">
        <w:rPr>
          <w:rFonts w:ascii="Calibri" w:hAnsi="Calibri"/>
        </w:rPr>
        <w:t xml:space="preserve"> For MPLs awarded by Northern Ireland’s DfE, the report only provides a cursory description of the process for awarding licenses (p.59), but does not confirm whether the DfE publishes information on active MPLs. The DfE webpage on ‘Minerals and petroleum legislation and policy’ provides a Minerals License Map that shows 15 active MPLs as of April 2018.</w:t>
      </w:r>
      <w:r w:rsidRPr="005C3EC8">
        <w:rPr>
          <w:rStyle w:val="FootnoteReference"/>
          <w:rFonts w:ascii="Calibri" w:hAnsi="Calibri"/>
        </w:rPr>
        <w:footnoteReference w:id="195"/>
      </w:r>
      <w:r w:rsidRPr="005C3EC8">
        <w:rPr>
          <w:rFonts w:ascii="Calibri" w:hAnsi="Calibri"/>
        </w:rPr>
        <w:t xml:space="preserve"> The information provided includes license number, license-holder name and coordinates, but no dates of application, award or expiry.</w:t>
      </w:r>
    </w:p>
    <w:p w14:paraId="55A78CCA" w14:textId="77777777" w:rsidR="0089329D" w:rsidRPr="005C3EC8" w:rsidRDefault="0089329D" w:rsidP="0089329D">
      <w:pPr>
        <w:spacing w:before="120"/>
        <w:rPr>
          <w:rFonts w:ascii="Calibri" w:hAnsi="Calibri"/>
        </w:rPr>
      </w:pPr>
      <w:r w:rsidRPr="005C3EC8">
        <w:rPr>
          <w:rFonts w:ascii="Calibri" w:hAnsi="Calibri"/>
          <w:i/>
          <w:u w:val="single"/>
        </w:rPr>
        <w:t>Licenses held by material companies</w:t>
      </w:r>
      <w:r w:rsidRPr="005C3EC8">
        <w:rPr>
          <w:rFonts w:ascii="Calibri" w:hAnsi="Calibri"/>
        </w:rPr>
        <w:t>: Based on the DfE’s Minerals License Map for MPLs in Northern Ireland, it appears that one company</w:t>
      </w:r>
      <w:r w:rsidRPr="005C3EC8">
        <w:rPr>
          <w:rStyle w:val="FootnoteReference"/>
          <w:rFonts w:ascii="Calibri" w:hAnsi="Calibri"/>
        </w:rPr>
        <w:footnoteReference w:id="196"/>
      </w:r>
      <w:r w:rsidRPr="005C3EC8">
        <w:rPr>
          <w:rFonts w:ascii="Calibri" w:hAnsi="Calibri"/>
        </w:rPr>
        <w:t xml:space="preserve"> in the scope of 2016 EITI reporting held five active MPLs as of </w:t>
      </w:r>
      <w:r w:rsidRPr="005C3EC8">
        <w:rPr>
          <w:rFonts w:ascii="Calibri" w:hAnsi="Calibri"/>
        </w:rPr>
        <w:lastRenderedPageBreak/>
        <w:t>April 2018</w:t>
      </w:r>
      <w:r w:rsidRPr="005C3EC8">
        <w:rPr>
          <w:rStyle w:val="FootnoteReference"/>
          <w:rFonts w:ascii="Calibri" w:hAnsi="Calibri"/>
        </w:rPr>
        <w:footnoteReference w:id="197"/>
      </w:r>
      <w:r w:rsidRPr="005C3EC8">
        <w:rPr>
          <w:rFonts w:ascii="Calibri" w:hAnsi="Calibri"/>
        </w:rPr>
        <w:t>, although it is unclear from the DfE website or the 2016 EITI Report whether these licenses were active in 2016.</w:t>
      </w:r>
    </w:p>
    <w:p w14:paraId="17D1111B" w14:textId="77777777" w:rsidR="0089329D" w:rsidRPr="005C3EC8" w:rsidRDefault="0089329D" w:rsidP="0089329D">
      <w:pPr>
        <w:spacing w:before="120"/>
        <w:rPr>
          <w:rFonts w:ascii="Calibri" w:hAnsi="Calibri"/>
        </w:rPr>
      </w:pPr>
      <w:r w:rsidRPr="005C3EC8">
        <w:rPr>
          <w:rFonts w:ascii="Calibri" w:hAnsi="Calibri"/>
          <w:i/>
          <w:u w:val="single"/>
        </w:rPr>
        <w:t>License-holder names</w:t>
      </w:r>
      <w:r w:rsidRPr="005C3EC8">
        <w:rPr>
          <w:rFonts w:ascii="Calibri" w:hAnsi="Calibri"/>
        </w:rPr>
        <w:t>: The DfE’s Minerals License Map of MPLs in Northern Ireland provides license-holder names for the 15 MPLs active as of April 2018.</w:t>
      </w:r>
      <w:r w:rsidRPr="005C3EC8">
        <w:rPr>
          <w:rStyle w:val="FootnoteReference"/>
          <w:rFonts w:ascii="Calibri" w:hAnsi="Calibri"/>
        </w:rPr>
        <w:footnoteReference w:id="198"/>
      </w:r>
    </w:p>
    <w:p w14:paraId="4A89E59E" w14:textId="77777777" w:rsidR="0089329D" w:rsidRPr="005C3EC8" w:rsidRDefault="0089329D" w:rsidP="0089329D">
      <w:pPr>
        <w:spacing w:before="120"/>
        <w:rPr>
          <w:rFonts w:ascii="Calibri" w:hAnsi="Calibri"/>
        </w:rPr>
      </w:pPr>
      <w:r w:rsidRPr="005C3EC8">
        <w:rPr>
          <w:rFonts w:ascii="Calibri" w:hAnsi="Calibri"/>
          <w:i/>
          <w:color w:val="000000" w:themeColor="text1"/>
          <w:u w:val="single"/>
        </w:rPr>
        <w:t>License coordinates</w:t>
      </w:r>
      <w:r w:rsidRPr="005C3EC8">
        <w:rPr>
          <w:rFonts w:ascii="Calibri" w:hAnsi="Calibri"/>
          <w:color w:val="000000" w:themeColor="text1"/>
        </w:rPr>
        <w:t xml:space="preserve">: </w:t>
      </w:r>
      <w:r w:rsidRPr="005C3EC8">
        <w:rPr>
          <w:rFonts w:ascii="Calibri" w:hAnsi="Calibri"/>
        </w:rPr>
        <w:t>The DfE’s Minerals License Map of MPLs in Northern Ireland consists of a map of 15 MPLs active as of April 2018</w:t>
      </w:r>
      <w:r w:rsidRPr="005C3EC8">
        <w:rPr>
          <w:rStyle w:val="FootnoteReference"/>
          <w:rFonts w:ascii="Calibri" w:hAnsi="Calibri"/>
        </w:rPr>
        <w:footnoteReference w:id="199"/>
      </w:r>
      <w:r w:rsidRPr="005C3EC8">
        <w:rPr>
          <w:rFonts w:ascii="Calibri" w:hAnsi="Calibri"/>
        </w:rPr>
        <w:t>, from which it is possible to estimate coordinates of each license.</w:t>
      </w:r>
    </w:p>
    <w:p w14:paraId="273AA9B4" w14:textId="77777777" w:rsidR="0089329D" w:rsidRPr="005C3EC8" w:rsidRDefault="0089329D" w:rsidP="0089329D">
      <w:pPr>
        <w:spacing w:before="120"/>
        <w:rPr>
          <w:rFonts w:ascii="Calibri" w:hAnsi="Calibri"/>
        </w:rPr>
      </w:pPr>
      <w:r w:rsidRPr="005C3EC8">
        <w:rPr>
          <w:rFonts w:ascii="Calibri" w:hAnsi="Calibri"/>
          <w:i/>
          <w:u w:val="single"/>
        </w:rPr>
        <w:t>Dates</w:t>
      </w:r>
      <w:r w:rsidRPr="005C3EC8">
        <w:rPr>
          <w:rFonts w:ascii="Calibri" w:hAnsi="Calibri"/>
        </w:rPr>
        <w:t>: The DfE’s Minerals License Map of MPLs in Northern Ireland does not provide the dates of application, award or expiry for any of the 15 MPLs active as of April 2018.</w:t>
      </w:r>
      <w:r w:rsidRPr="005C3EC8">
        <w:rPr>
          <w:rStyle w:val="FootnoteReference"/>
          <w:rFonts w:ascii="Calibri" w:hAnsi="Calibri"/>
        </w:rPr>
        <w:footnoteReference w:id="200"/>
      </w:r>
    </w:p>
    <w:p w14:paraId="108D26ED" w14:textId="77777777" w:rsidR="0089329D" w:rsidRPr="005C3EC8" w:rsidRDefault="0089329D" w:rsidP="0089329D">
      <w:pPr>
        <w:spacing w:before="120"/>
        <w:rPr>
          <w:rFonts w:ascii="Calibri" w:hAnsi="Calibri"/>
        </w:rPr>
      </w:pPr>
      <w:r w:rsidRPr="005C3EC8">
        <w:rPr>
          <w:rFonts w:ascii="Calibri" w:hAnsi="Calibri"/>
          <w:i/>
          <w:u w:val="single"/>
        </w:rPr>
        <w:t>Commodity</w:t>
      </w:r>
      <w:r w:rsidRPr="005C3EC8">
        <w:rPr>
          <w:rFonts w:ascii="Calibri" w:hAnsi="Calibri"/>
        </w:rPr>
        <w:t>: The DfE’s Minerals License Map of MPLs in Northern Ireland does not provide the specific commodity(</w:t>
      </w:r>
      <w:proofErr w:type="spellStart"/>
      <w:r w:rsidRPr="005C3EC8">
        <w:rPr>
          <w:rFonts w:ascii="Calibri" w:hAnsi="Calibri"/>
        </w:rPr>
        <w:t>ies</w:t>
      </w:r>
      <w:proofErr w:type="spellEnd"/>
      <w:r w:rsidRPr="005C3EC8">
        <w:rPr>
          <w:rFonts w:ascii="Calibri" w:hAnsi="Calibri"/>
        </w:rPr>
        <w:t>) covered by each of the 15 MPLs active as of April 2018.</w:t>
      </w:r>
      <w:r w:rsidRPr="005C3EC8">
        <w:rPr>
          <w:rStyle w:val="FootnoteReference"/>
          <w:rFonts w:ascii="Calibri" w:hAnsi="Calibri"/>
        </w:rPr>
        <w:footnoteReference w:id="201"/>
      </w:r>
      <w:r w:rsidRPr="005C3EC8">
        <w:rPr>
          <w:rFonts w:ascii="Calibri" w:hAnsi="Calibri"/>
        </w:rPr>
        <w:t xml:space="preserve"> However, the DfE’s ‘Minerals licensing’ webpage indicates that MPLs are awarded for precious metals exploration</w:t>
      </w:r>
      <w:r w:rsidRPr="005C3EC8">
        <w:rPr>
          <w:rStyle w:val="FootnoteReference"/>
          <w:rFonts w:ascii="Calibri" w:hAnsi="Calibri"/>
        </w:rPr>
        <w:footnoteReference w:id="202"/>
      </w:r>
      <w:r w:rsidRPr="005C3EC8">
        <w:rPr>
          <w:rFonts w:ascii="Calibri" w:hAnsi="Calibri"/>
        </w:rPr>
        <w:t>, implying that MPLs cover all types of precious metals.</w:t>
      </w:r>
    </w:p>
    <w:p w14:paraId="121AFEFC" w14:textId="758E8517" w:rsidR="0089329D" w:rsidRPr="005C3EC8" w:rsidRDefault="00D32D8A" w:rsidP="00C65785">
      <w:pPr>
        <w:pStyle w:val="Heading5"/>
      </w:pPr>
      <w:r w:rsidRPr="005C3EC8">
        <w:t xml:space="preserve">Licenses held by non-material companies: </w:t>
      </w:r>
      <w:r w:rsidR="0089329D" w:rsidRPr="005C3EC8">
        <w:t>Coal Authority licenses</w:t>
      </w:r>
    </w:p>
    <w:p w14:paraId="30B4B575" w14:textId="77777777" w:rsidR="0089329D" w:rsidRPr="005C3EC8" w:rsidRDefault="0089329D" w:rsidP="0089329D">
      <w:pPr>
        <w:spacing w:before="120"/>
        <w:rPr>
          <w:rFonts w:ascii="Calibri" w:hAnsi="Calibri"/>
        </w:rPr>
      </w:pPr>
      <w:r w:rsidRPr="005C3EC8">
        <w:rPr>
          <w:rFonts w:ascii="Calibri" w:hAnsi="Calibri"/>
          <w:b/>
          <w:i/>
        </w:rPr>
        <w:t>Systematic disclosures:</w:t>
      </w:r>
      <w:r w:rsidRPr="005C3EC8">
        <w:rPr>
          <w:rFonts w:ascii="Calibri" w:hAnsi="Calibri"/>
        </w:rPr>
        <w:t xml:space="preserve"> The Coal Authority provides an online search tool</w:t>
      </w:r>
      <w:r w:rsidRPr="005C3EC8">
        <w:rPr>
          <w:rStyle w:val="FootnoteReference"/>
          <w:rFonts w:ascii="Calibri" w:hAnsi="Calibri"/>
        </w:rPr>
        <w:footnoteReference w:id="203"/>
      </w:r>
      <w:r w:rsidRPr="005C3EC8">
        <w:rPr>
          <w:rFonts w:ascii="Calibri" w:hAnsi="Calibri"/>
        </w:rPr>
        <w:t>, with reports upon request, which include license-holder names and coordinates, although information accessible online does not explicitly state whether all information listed under Requirement 2.3.b (e.g. including dates of application, award and expiry) is available upon request.</w:t>
      </w:r>
    </w:p>
    <w:p w14:paraId="1FA20DEA" w14:textId="77777777" w:rsidR="0089329D" w:rsidRPr="005C3EC8" w:rsidRDefault="0089329D" w:rsidP="0089329D">
      <w:pPr>
        <w:spacing w:before="120"/>
        <w:rPr>
          <w:rFonts w:ascii="Calibri" w:hAnsi="Calibri"/>
        </w:rPr>
      </w:pPr>
      <w:r w:rsidRPr="005C3EC8">
        <w:rPr>
          <w:rFonts w:ascii="Calibri" w:hAnsi="Calibri"/>
          <w:b/>
          <w:i/>
        </w:rPr>
        <w:t>2016 EITI Report:</w:t>
      </w:r>
      <w:r w:rsidRPr="005C3EC8">
        <w:rPr>
          <w:rFonts w:ascii="Calibri" w:hAnsi="Calibri"/>
        </w:rPr>
        <w:t xml:space="preserve"> The report states that the Coal Authority holds an offline public registry of coal licences and does not publish licences online, but provides a link</w:t>
      </w:r>
      <w:r w:rsidRPr="005C3EC8">
        <w:rPr>
          <w:rFonts w:ascii="Calibri" w:hAnsi="Calibri"/>
          <w:vertAlign w:val="superscript"/>
        </w:rPr>
        <w:footnoteReference w:id="204"/>
      </w:r>
      <w:r w:rsidRPr="005C3EC8">
        <w:rPr>
          <w:rFonts w:ascii="Calibri" w:hAnsi="Calibri"/>
        </w:rPr>
        <w:t xml:space="preserve"> to Coal Authority contact details, from which license details can be requested (p.58), albeit without clearly describing the specific license information available.</w:t>
      </w:r>
    </w:p>
    <w:p w14:paraId="26FC9DA1" w14:textId="77777777" w:rsidR="0089329D" w:rsidRPr="005C3EC8" w:rsidRDefault="0089329D" w:rsidP="0089329D">
      <w:pPr>
        <w:spacing w:before="120"/>
        <w:rPr>
          <w:rFonts w:ascii="Calibri" w:hAnsi="Calibri"/>
        </w:rPr>
      </w:pPr>
      <w:r w:rsidRPr="005C3EC8">
        <w:rPr>
          <w:rFonts w:ascii="Calibri" w:hAnsi="Calibri"/>
          <w:i/>
          <w:u w:val="single"/>
        </w:rPr>
        <w:t>Licenses held by material companies</w:t>
      </w:r>
      <w:r w:rsidRPr="005C3EC8">
        <w:rPr>
          <w:rFonts w:ascii="Calibri" w:hAnsi="Calibri"/>
        </w:rPr>
        <w:t>: No coal mining company appears to have been included in the scope of reporting (</w:t>
      </w:r>
      <w:r w:rsidRPr="005C3EC8">
        <w:rPr>
          <w:rFonts w:ascii="Calibri" w:hAnsi="Calibri"/>
          <w:i/>
        </w:rPr>
        <w:t>see Requirement 4.1</w:t>
      </w:r>
      <w:r w:rsidRPr="005C3EC8">
        <w:rPr>
          <w:rFonts w:ascii="Calibri" w:hAnsi="Calibri"/>
        </w:rPr>
        <w:t xml:space="preserve">). However, it is notable that the report provides two sets of estimates of coal mines. On the one hand, it states that, in March 2017, there were ten surface coal mining licenses held by nine companies and three underground coal mining licenses held by three companies, alongside 13 UGC licenses, all of which were conditional and thus non-operational in 2016 (p.59). On the other hand, the report elsewhere states that there were 21 operating coal surface mines and no commercial-scale operating underground mine in March 2016 (p.62). </w:t>
      </w:r>
    </w:p>
    <w:p w14:paraId="4437F83D" w14:textId="4EFFB066" w:rsidR="0089329D" w:rsidRPr="005C3EC8" w:rsidRDefault="00D32D8A" w:rsidP="00C65785">
      <w:pPr>
        <w:pStyle w:val="Heading5"/>
      </w:pPr>
      <w:r w:rsidRPr="005C3EC8">
        <w:lastRenderedPageBreak/>
        <w:t xml:space="preserve">Licenses held by non-material companies: </w:t>
      </w:r>
      <w:r w:rsidR="0089329D" w:rsidRPr="005C3EC8">
        <w:t>Gold and silver</w:t>
      </w:r>
    </w:p>
    <w:p w14:paraId="323B1254" w14:textId="78CB75EF" w:rsidR="0089329D" w:rsidRPr="005C3EC8" w:rsidRDefault="0089329D" w:rsidP="0089329D">
      <w:pPr>
        <w:spacing w:before="120"/>
        <w:rPr>
          <w:rFonts w:ascii="Calibri" w:hAnsi="Calibri"/>
        </w:rPr>
      </w:pPr>
      <w:r w:rsidRPr="005C3EC8">
        <w:rPr>
          <w:rFonts w:ascii="Calibri" w:hAnsi="Calibri"/>
          <w:b/>
          <w:i/>
        </w:rPr>
        <w:t>Systematic disclosures:</w:t>
      </w:r>
      <w:r w:rsidRPr="005C3EC8">
        <w:rPr>
          <w:rFonts w:ascii="Calibri" w:hAnsi="Calibri"/>
        </w:rPr>
        <w:t xml:space="preserve"> </w:t>
      </w:r>
      <w:r w:rsidR="00D32D8A" w:rsidRPr="005C3EC8">
        <w:rPr>
          <w:rFonts w:ascii="Calibri" w:hAnsi="Calibri"/>
        </w:rPr>
        <w:t>The Crown Estate website operates a maps and GIS data centre</w:t>
      </w:r>
      <w:r w:rsidR="00D32D8A" w:rsidRPr="005C3EC8">
        <w:rPr>
          <w:rStyle w:val="FootnoteReference"/>
          <w:rFonts w:ascii="Calibri" w:hAnsi="Calibri"/>
        </w:rPr>
        <w:footnoteReference w:id="205"/>
      </w:r>
      <w:r w:rsidR="00D32D8A" w:rsidRPr="005C3EC8">
        <w:rPr>
          <w:rFonts w:ascii="Calibri" w:hAnsi="Calibri"/>
        </w:rPr>
        <w:t xml:space="preserve"> for marine aggregate agreements, while the TCE website’s “Our Assets” section provides information on holders of leases on TCE estates</w:t>
      </w:r>
      <w:r w:rsidR="00D32D8A" w:rsidRPr="005C3EC8">
        <w:rPr>
          <w:rStyle w:val="FootnoteReference"/>
          <w:rFonts w:ascii="Calibri" w:hAnsi="Calibri"/>
        </w:rPr>
        <w:footnoteReference w:id="206"/>
      </w:r>
      <w:r w:rsidR="00D32D8A" w:rsidRPr="005C3EC8">
        <w:rPr>
          <w:rFonts w:ascii="Calibri" w:hAnsi="Calibri"/>
        </w:rPr>
        <w:t xml:space="preserve">. However, neither of these two websites appears to list active gold or silver option agreements granted by TCE. </w:t>
      </w:r>
    </w:p>
    <w:p w14:paraId="1F3AF603" w14:textId="77777777" w:rsidR="0089329D" w:rsidRPr="005C3EC8" w:rsidRDefault="0089329D" w:rsidP="0089329D">
      <w:pPr>
        <w:spacing w:before="120"/>
        <w:rPr>
          <w:rFonts w:ascii="Calibri" w:hAnsi="Calibri"/>
        </w:rPr>
      </w:pPr>
      <w:r w:rsidRPr="005C3EC8">
        <w:rPr>
          <w:rFonts w:ascii="Calibri" w:hAnsi="Calibri"/>
          <w:b/>
          <w:i/>
        </w:rPr>
        <w:t>2016 EITI Report:</w:t>
      </w:r>
      <w:r w:rsidRPr="005C3EC8">
        <w:rPr>
          <w:rFonts w:ascii="Calibri" w:hAnsi="Calibri"/>
        </w:rPr>
        <w:t xml:space="preserve"> It is unclear from the report whether there were any active gold or silver mining rights from the TCE in 2016 (p.61).</w:t>
      </w:r>
    </w:p>
    <w:p w14:paraId="33FC8E3B" w14:textId="2E800695" w:rsidR="0089329D" w:rsidRPr="005C3EC8" w:rsidRDefault="0089329D" w:rsidP="0089329D">
      <w:pPr>
        <w:spacing w:before="120"/>
        <w:rPr>
          <w:rFonts w:ascii="Calibri" w:hAnsi="Calibri"/>
          <w:b/>
          <w:i/>
        </w:rPr>
      </w:pPr>
      <w:r w:rsidRPr="005C3EC8">
        <w:rPr>
          <w:rFonts w:ascii="Calibri" w:hAnsi="Calibri"/>
          <w:i/>
          <w:u w:val="single"/>
        </w:rPr>
        <w:t>Licenses held by material companies</w:t>
      </w:r>
      <w:r w:rsidRPr="005C3EC8">
        <w:rPr>
          <w:rFonts w:ascii="Calibri" w:hAnsi="Calibri"/>
        </w:rPr>
        <w:t>:</w:t>
      </w:r>
      <w:r w:rsidR="00D32D8A" w:rsidRPr="005C3EC8">
        <w:rPr>
          <w:rFonts w:ascii="Calibri" w:hAnsi="Calibri"/>
        </w:rPr>
        <w:t xml:space="preserve"> None of the companies listed in the  2016 EITI Report appear </w:t>
      </w:r>
      <w:proofErr w:type="spellStart"/>
      <w:r w:rsidR="00D32D8A" w:rsidRPr="005C3EC8">
        <w:rPr>
          <w:rFonts w:ascii="Calibri" w:hAnsi="Calibri"/>
        </w:rPr>
        <w:t>tohold</w:t>
      </w:r>
      <w:proofErr w:type="spellEnd"/>
      <w:r w:rsidR="00D32D8A" w:rsidRPr="005C3EC8">
        <w:rPr>
          <w:rFonts w:ascii="Calibri" w:hAnsi="Calibri"/>
        </w:rPr>
        <w:t xml:space="preserve"> any active gold or silver option agreement from TCE. </w:t>
      </w:r>
    </w:p>
    <w:p w14:paraId="0EA78D39" w14:textId="4FD5B684" w:rsidR="00316BA0" w:rsidRPr="005C3EC8" w:rsidRDefault="00D32D8A" w:rsidP="00F425D1">
      <w:pPr>
        <w:spacing w:before="120"/>
        <w:rPr>
          <w:rFonts w:ascii="Calibri" w:hAnsi="Calibri"/>
        </w:rPr>
      </w:pPr>
      <w:r w:rsidRPr="005C3EC8">
        <w:rPr>
          <w:rFonts w:ascii="Calibri" w:hAnsi="Calibri"/>
          <w:i/>
          <w:u w:val="single"/>
        </w:rPr>
        <w:t>Public cadastre</w:t>
      </w:r>
      <w:r w:rsidRPr="005C3EC8">
        <w:rPr>
          <w:rFonts w:ascii="Calibri" w:hAnsi="Calibri"/>
          <w:u w:val="single"/>
        </w:rPr>
        <w:t>/register</w:t>
      </w:r>
      <w:r w:rsidRPr="005C3EC8">
        <w:rPr>
          <w:rFonts w:ascii="Calibri" w:hAnsi="Calibri"/>
        </w:rPr>
        <w:t xml:space="preserve">: </w:t>
      </w:r>
      <w:r w:rsidR="0089329D" w:rsidRPr="005C3EC8">
        <w:rPr>
          <w:rFonts w:ascii="Calibri" w:hAnsi="Calibri"/>
        </w:rPr>
        <w:t xml:space="preserve">While the 2016 EITI Report refers to license registers maintained by the Oil and Gas Authority, the Coal Authority, and The Crown Estate for marine commercial agreements, it does not comment on the efficiency or comprehensiveness of existing license registers, nor itemise the public accessibility of specific information listed under Requirement 2.3.b. </w:t>
      </w:r>
      <w:r w:rsidR="005E4E5C" w:rsidRPr="005C3EC8">
        <w:rPr>
          <w:rFonts w:ascii="Calibri" w:hAnsi="Calibri"/>
          <w:color w:val="000000" w:themeColor="text1"/>
        </w:rPr>
        <w:t xml:space="preserve"> </w:t>
      </w:r>
    </w:p>
    <w:p w14:paraId="3BA2E30C" w14:textId="06D1772A" w:rsidR="004336C3" w:rsidRPr="005C3EC8" w:rsidRDefault="00F425D1" w:rsidP="001A25A8">
      <w:pPr>
        <w:pStyle w:val="Heading3"/>
      </w:pPr>
      <w:r w:rsidRPr="005C3EC8">
        <w:t>Stakeholder views</w:t>
      </w:r>
    </w:p>
    <w:p w14:paraId="147CE181" w14:textId="58053799" w:rsidR="001A25A8" w:rsidRPr="005C3EC8" w:rsidRDefault="001A25A8" w:rsidP="001A25A8">
      <w:pPr>
        <w:spacing w:before="120"/>
        <w:rPr>
          <w:rFonts w:ascii="Calibri" w:hAnsi="Calibri"/>
          <w:bCs/>
        </w:rPr>
      </w:pPr>
      <w:r w:rsidRPr="005C3EC8">
        <w:rPr>
          <w:rFonts w:ascii="Calibri" w:hAnsi="Calibri"/>
          <w:bCs/>
        </w:rPr>
        <w:t xml:space="preserve">In terms of </w:t>
      </w:r>
      <w:r w:rsidRPr="005C3EC8">
        <w:rPr>
          <w:rFonts w:ascii="Calibri" w:hAnsi="Calibri"/>
          <w:bCs/>
          <w:i/>
        </w:rPr>
        <w:t>oil and gas</w:t>
      </w:r>
      <w:r w:rsidRPr="005C3EC8">
        <w:rPr>
          <w:rFonts w:ascii="Calibri" w:hAnsi="Calibri"/>
          <w:bCs/>
        </w:rPr>
        <w:t>, an MSG member noted that the MSG had discussed the issue of dates of application for oil and gas licenses on several occasions, but had decided that these were not relevant in the UK context. While he noted that it would have been possible to reconstitute the year of the date of application for all licenses, he questioned the value of such information in the UK, noting the lack of demand from civil society. The member confirmed that coordinates for all oil and gas licenses were available from the OGA’s GIS website, while the full text of oil and gas licenses was accessible through the OGA’s Energy Portal.</w:t>
      </w:r>
      <w:r w:rsidRPr="005C3EC8">
        <w:rPr>
          <w:rStyle w:val="FootnoteReference"/>
          <w:rFonts w:ascii="Calibri" w:hAnsi="Calibri"/>
          <w:bCs/>
        </w:rPr>
        <w:footnoteReference w:id="207"/>
      </w:r>
      <w:r w:rsidRPr="005C3EC8">
        <w:rPr>
          <w:rFonts w:ascii="Calibri" w:hAnsi="Calibri"/>
          <w:bCs/>
        </w:rPr>
        <w:t xml:space="preserve"> </w:t>
      </w:r>
    </w:p>
    <w:p w14:paraId="4ECF3D33" w14:textId="6D6A9A92" w:rsidR="001A25A8" w:rsidRPr="005C3EC8" w:rsidRDefault="001A25A8" w:rsidP="001A25A8">
      <w:pPr>
        <w:spacing w:before="120"/>
        <w:rPr>
          <w:rFonts w:ascii="Calibri" w:hAnsi="Calibri"/>
          <w:bCs/>
        </w:rPr>
      </w:pPr>
      <w:r w:rsidRPr="005C3EC8">
        <w:rPr>
          <w:rFonts w:ascii="Calibri" w:hAnsi="Calibri"/>
          <w:bCs/>
        </w:rPr>
        <w:t>In</w:t>
      </w:r>
      <w:r w:rsidRPr="005C3EC8">
        <w:rPr>
          <w:rFonts w:ascii="Calibri" w:hAnsi="Calibri"/>
          <w:bCs/>
          <w:i/>
        </w:rPr>
        <w:t xml:space="preserve"> coal, </w:t>
      </w:r>
      <w:r w:rsidRPr="005C3EC8">
        <w:rPr>
          <w:rFonts w:ascii="Calibri" w:hAnsi="Calibri"/>
          <w:bCs/>
        </w:rPr>
        <w:t>a government representative confirmed that license-holder names and coordinates were accessible for all coal-related licenses through the Coal Authority’s online cadastral portal. However, it was confirmed that dates of application, award and expiry were accessible from the Coal Authority upon request.</w:t>
      </w:r>
      <w:r w:rsidRPr="005C3EC8">
        <w:rPr>
          <w:rStyle w:val="FootnoteReference"/>
          <w:rFonts w:ascii="Calibri" w:hAnsi="Calibri"/>
          <w:bCs/>
        </w:rPr>
        <w:footnoteReference w:id="208"/>
      </w:r>
      <w:r w:rsidRPr="005C3EC8">
        <w:rPr>
          <w:rFonts w:ascii="Calibri" w:hAnsi="Calibri"/>
          <w:bCs/>
        </w:rPr>
        <w:t xml:space="preserve"> The IA confirmed that the Coal Authority maintained an offline license register, from which all data on active licenses per Requirement 2.3.b was freely accessible. </w:t>
      </w:r>
    </w:p>
    <w:p w14:paraId="34B167E8" w14:textId="4E7EEB5D" w:rsidR="00002474" w:rsidRPr="005C3EC8" w:rsidRDefault="001A25A8" w:rsidP="00CE5454">
      <w:pPr>
        <w:spacing w:before="120"/>
        <w:rPr>
          <w:rFonts w:ascii="Calibri" w:hAnsi="Calibri"/>
          <w:bCs/>
        </w:rPr>
      </w:pPr>
      <w:r w:rsidRPr="005C3EC8">
        <w:rPr>
          <w:rFonts w:ascii="Calibri" w:hAnsi="Calibri"/>
          <w:bCs/>
        </w:rPr>
        <w:t>In terms of</w:t>
      </w:r>
      <w:r w:rsidRPr="005C3EC8">
        <w:rPr>
          <w:rFonts w:ascii="Calibri" w:hAnsi="Calibri"/>
          <w:bCs/>
          <w:i/>
        </w:rPr>
        <w:t xml:space="preserve"> licenses awarded by TCE, </w:t>
      </w:r>
      <w:r w:rsidRPr="005C3EC8">
        <w:rPr>
          <w:rFonts w:ascii="Calibri" w:hAnsi="Calibri"/>
          <w:bCs/>
        </w:rPr>
        <w:t xml:space="preserve">several industry </w:t>
      </w:r>
      <w:r w:rsidR="006869F6" w:rsidRPr="005C3EC8">
        <w:rPr>
          <w:rFonts w:ascii="Calibri" w:hAnsi="Calibri"/>
          <w:bCs/>
        </w:rPr>
        <w:t xml:space="preserve">and </w:t>
      </w:r>
      <w:r w:rsidR="008B4DB2" w:rsidRPr="005C3EC8">
        <w:rPr>
          <w:rFonts w:ascii="Calibri" w:hAnsi="Calibri"/>
          <w:bCs/>
        </w:rPr>
        <w:t xml:space="preserve">public-sector </w:t>
      </w:r>
      <w:r w:rsidRPr="005C3EC8">
        <w:rPr>
          <w:rFonts w:ascii="Calibri" w:hAnsi="Calibri"/>
          <w:bCs/>
        </w:rPr>
        <w:t xml:space="preserve">MSG members considered that license data for marine aggregates mining, including license coordinates, were accessible upon request from </w:t>
      </w:r>
      <w:r w:rsidR="007E14C9" w:rsidRPr="005C3EC8">
        <w:rPr>
          <w:rFonts w:ascii="Calibri" w:hAnsi="Calibri"/>
          <w:bCs/>
        </w:rPr>
        <w:t>the MMO</w:t>
      </w:r>
      <w:r w:rsidRPr="005C3EC8">
        <w:rPr>
          <w:rFonts w:ascii="Calibri" w:hAnsi="Calibri"/>
          <w:bCs/>
        </w:rPr>
        <w:t xml:space="preserve">. An industry representative explained that the year of award of TCE-awarded </w:t>
      </w:r>
      <w:r w:rsidR="007E14C9" w:rsidRPr="005C3EC8">
        <w:rPr>
          <w:rFonts w:ascii="Calibri" w:hAnsi="Calibri"/>
          <w:bCs/>
        </w:rPr>
        <w:t xml:space="preserve">marine aggregates agreements </w:t>
      </w:r>
      <w:r w:rsidRPr="005C3EC8">
        <w:rPr>
          <w:rFonts w:ascii="Calibri" w:hAnsi="Calibri"/>
          <w:bCs/>
        </w:rPr>
        <w:t>could be estimated based on the license number, accessible through the TCE website.</w:t>
      </w:r>
      <w:r w:rsidRPr="005C3EC8">
        <w:rPr>
          <w:rFonts w:ascii="Calibri" w:hAnsi="Calibri"/>
          <w:bCs/>
          <w:vertAlign w:val="superscript"/>
        </w:rPr>
        <w:footnoteReference w:id="209"/>
      </w:r>
      <w:r w:rsidRPr="005C3EC8">
        <w:rPr>
          <w:rFonts w:ascii="Calibri" w:hAnsi="Calibri"/>
          <w:bCs/>
        </w:rPr>
        <w:t xml:space="preserve"> </w:t>
      </w:r>
      <w:r w:rsidR="007E14C9" w:rsidRPr="005C3EC8">
        <w:rPr>
          <w:rFonts w:ascii="Calibri" w:hAnsi="Calibri"/>
          <w:bCs/>
        </w:rPr>
        <w:t xml:space="preserve">A public-sector representative considered that dates of award and expiry for all marine licenses could be requested from the MMO. While it was unclear whether dates of application for marine licenses were accessible from the MMO upon request, the official noted that the vast majority of marine </w:t>
      </w:r>
      <w:r w:rsidR="007E14C9" w:rsidRPr="005C3EC8">
        <w:rPr>
          <w:rFonts w:ascii="Calibri" w:hAnsi="Calibri"/>
          <w:bCs/>
        </w:rPr>
        <w:lastRenderedPageBreak/>
        <w:t xml:space="preserve">aggregates agreements were granted through open tender, implying that the deadline for tenders could be used as a proxy for the date of application for all but the few marine aggregates agreements awarded through open tender. </w:t>
      </w:r>
      <w:r w:rsidR="000C61C3" w:rsidRPr="005C3EC8">
        <w:rPr>
          <w:rFonts w:ascii="Calibri" w:hAnsi="Calibri"/>
          <w:bCs/>
        </w:rPr>
        <w:t xml:space="preserve">Of the 65 marine aggregates agreements active at any one time, the official noted that only a few would have been granted bilaterally, outside of tender rounds. </w:t>
      </w:r>
      <w:r w:rsidR="00B23997" w:rsidRPr="005C3EC8">
        <w:rPr>
          <w:rFonts w:ascii="Calibri" w:hAnsi="Calibri"/>
          <w:bCs/>
        </w:rPr>
        <w:t>A private-sector representative explained that all land-based mineral leases on TCE land were available through the HM Land Registry website.</w:t>
      </w:r>
      <w:r w:rsidR="00B23997" w:rsidRPr="005C3EC8">
        <w:rPr>
          <w:rStyle w:val="FootnoteReference"/>
          <w:rFonts w:ascii="Calibri" w:hAnsi="Calibri"/>
          <w:bCs/>
        </w:rPr>
        <w:footnoteReference w:id="210"/>
      </w:r>
    </w:p>
    <w:p w14:paraId="3F41D48D" w14:textId="5AD4D266" w:rsidR="00203076" w:rsidRPr="005C3EC8" w:rsidRDefault="00203076" w:rsidP="00CE5454">
      <w:pPr>
        <w:spacing w:before="120"/>
        <w:rPr>
          <w:rFonts w:ascii="Calibri" w:hAnsi="Calibri"/>
          <w:bCs/>
        </w:rPr>
      </w:pPr>
      <w:r w:rsidRPr="005C3EC8">
        <w:rPr>
          <w:rFonts w:ascii="Calibri" w:hAnsi="Calibri"/>
          <w:bCs/>
        </w:rPr>
        <w:t xml:space="preserve">In terms of </w:t>
      </w:r>
      <w:r w:rsidRPr="005C3EC8">
        <w:rPr>
          <w:rFonts w:ascii="Calibri" w:hAnsi="Calibri"/>
          <w:bCs/>
          <w:i/>
        </w:rPr>
        <w:t>Minerals Licenses in Northern Ireland</w:t>
      </w:r>
      <w:r w:rsidRPr="005C3EC8">
        <w:rPr>
          <w:rFonts w:ascii="Calibri" w:hAnsi="Calibri"/>
          <w:bCs/>
        </w:rPr>
        <w:t xml:space="preserve">, a government representative confirmed that the DfE’s maps of Minerals Licenses provided the license numbers, license-holder names, minerals covered and an approximation of </w:t>
      </w:r>
      <w:r w:rsidR="007F6D1F" w:rsidRPr="005C3EC8">
        <w:rPr>
          <w:rFonts w:ascii="Calibri" w:hAnsi="Calibri"/>
          <w:bCs/>
        </w:rPr>
        <w:t>geographical</w:t>
      </w:r>
      <w:r w:rsidRPr="005C3EC8">
        <w:rPr>
          <w:rFonts w:ascii="Calibri" w:hAnsi="Calibri"/>
          <w:bCs/>
        </w:rPr>
        <w:t xml:space="preserve"> coordinates, but expressed uncertainty over the public accessibility of dates of application, award and expiry for active Minerals Licenses. </w:t>
      </w:r>
      <w:r w:rsidR="00AE147F" w:rsidRPr="005C3EC8">
        <w:rPr>
          <w:rFonts w:ascii="Calibri" w:hAnsi="Calibri"/>
          <w:bCs/>
        </w:rPr>
        <w:t xml:space="preserve">However, the representative noted that the year of award could be estimated for all Minerals Licenses, using the number in the license name as a proxy for the year of award (e.g. 2018 for KBRI-18). </w:t>
      </w:r>
      <w:r w:rsidR="00EA3FF0" w:rsidRPr="005C3EC8">
        <w:rPr>
          <w:rFonts w:ascii="Calibri" w:hAnsi="Calibri"/>
          <w:bCs/>
        </w:rPr>
        <w:t xml:space="preserve">Given that all Minerals Licenses were awarded for a period of six years, the representative noted that a rough estimation of the year of expiry could also be made on the basis of the license name. </w:t>
      </w:r>
    </w:p>
    <w:p w14:paraId="4CBE49EB" w14:textId="30F87F59" w:rsidR="001E68AF" w:rsidRPr="005C3EC8" w:rsidRDefault="00F425D1">
      <w:pPr>
        <w:pStyle w:val="Heading3"/>
      </w:pPr>
      <w:bookmarkStart w:id="148" w:name="_Toc459133106"/>
      <w:bookmarkStart w:id="149" w:name="_Toc461803055"/>
      <w:r w:rsidRPr="005C3EC8">
        <w:t>Initial assessment</w:t>
      </w:r>
      <w:bookmarkEnd w:id="148"/>
      <w:bookmarkEnd w:id="149"/>
    </w:p>
    <w:p w14:paraId="537DF57C" w14:textId="4790FB95" w:rsidR="001A746F" w:rsidRPr="005C3EC8" w:rsidRDefault="00F425D1" w:rsidP="001A746F">
      <w:pPr>
        <w:spacing w:before="120"/>
        <w:rPr>
          <w:rFonts w:ascii="Calibri" w:hAnsi="Calibri"/>
        </w:rPr>
      </w:pPr>
      <w:r w:rsidRPr="005C3EC8">
        <w:rPr>
          <w:rFonts w:ascii="Calibri" w:hAnsi="Calibri"/>
        </w:rPr>
        <w:t>The</w:t>
      </w:r>
      <w:r w:rsidRPr="005C3EC8">
        <w:rPr>
          <w:rFonts w:ascii="Calibri" w:hAnsi="Calibri"/>
          <w:b/>
        </w:rPr>
        <w:t xml:space="preserve"> </w:t>
      </w:r>
      <w:r w:rsidRPr="005C3EC8">
        <w:rPr>
          <w:rFonts w:ascii="Calibri" w:hAnsi="Calibri"/>
        </w:rPr>
        <w:t xml:space="preserve">International Secretariat’s initial assessment is that </w:t>
      </w:r>
      <w:r w:rsidR="001A746F" w:rsidRPr="005C3EC8">
        <w:rPr>
          <w:rFonts w:ascii="Calibri" w:hAnsi="Calibri"/>
          <w:bCs/>
        </w:rPr>
        <w:t>the UK</w:t>
      </w:r>
      <w:r w:rsidR="00151988" w:rsidRPr="005C3EC8">
        <w:rPr>
          <w:rFonts w:ascii="Calibri" w:hAnsi="Calibri"/>
        </w:rPr>
        <w:t xml:space="preserve"> </w:t>
      </w:r>
      <w:r w:rsidRPr="005C3EC8">
        <w:rPr>
          <w:rFonts w:ascii="Calibri" w:hAnsi="Calibri"/>
        </w:rPr>
        <w:t xml:space="preserve">has made </w:t>
      </w:r>
      <w:r w:rsidR="001A746F" w:rsidRPr="003B7537">
        <w:rPr>
          <w:rFonts w:ascii="Calibri" w:hAnsi="Calibri"/>
          <w:b/>
          <w:bCs/>
        </w:rPr>
        <w:t>meaningful</w:t>
      </w:r>
      <w:r w:rsidR="001A746F" w:rsidRPr="004D19B1">
        <w:rPr>
          <w:rFonts w:ascii="Calibri" w:hAnsi="Calibri"/>
          <w:b/>
          <w:bCs/>
        </w:rPr>
        <w:t xml:space="preserve"> </w:t>
      </w:r>
      <w:r w:rsidRPr="003B7537">
        <w:rPr>
          <w:rFonts w:ascii="Calibri" w:hAnsi="Calibri"/>
          <w:b/>
        </w:rPr>
        <w:t>progress</w:t>
      </w:r>
      <w:r w:rsidRPr="005C3EC8">
        <w:rPr>
          <w:rFonts w:ascii="Calibri" w:hAnsi="Calibri"/>
        </w:rPr>
        <w:t xml:space="preserve"> towards meeting this requirement. </w:t>
      </w:r>
      <w:r w:rsidR="001A746F" w:rsidRPr="005C3EC8">
        <w:rPr>
          <w:rFonts w:ascii="Calibri" w:hAnsi="Calibri"/>
        </w:rPr>
        <w:t xml:space="preserve">The 2016 EITI Report provides guidance on accessing the register of licenses in oil and gas (from OGA and DfE), in coal (from the Coal Authority) and marine aggregates and marine potash </w:t>
      </w:r>
      <w:r w:rsidR="0030101D" w:rsidRPr="005C3EC8">
        <w:rPr>
          <w:rFonts w:ascii="Calibri" w:hAnsi="Calibri"/>
        </w:rPr>
        <w:t>(</w:t>
      </w:r>
      <w:r w:rsidR="001A746F" w:rsidRPr="005C3EC8">
        <w:rPr>
          <w:rFonts w:ascii="Calibri" w:hAnsi="Calibri"/>
        </w:rPr>
        <w:t>from TCE</w:t>
      </w:r>
      <w:r w:rsidR="0030101D" w:rsidRPr="005C3EC8">
        <w:rPr>
          <w:rFonts w:ascii="Calibri" w:hAnsi="Calibri"/>
        </w:rPr>
        <w:t>)</w:t>
      </w:r>
      <w:r w:rsidR="001A746F" w:rsidRPr="005C3EC8">
        <w:rPr>
          <w:rFonts w:ascii="Calibri" w:hAnsi="Calibri"/>
        </w:rPr>
        <w:t>. However, the report does not provide guidance on accessing the register of licenses for Mineral Licenses by Northern Ireland’s DfE</w:t>
      </w:r>
      <w:r w:rsidR="0030101D" w:rsidRPr="005C3EC8">
        <w:rPr>
          <w:rFonts w:ascii="Calibri" w:hAnsi="Calibri"/>
        </w:rPr>
        <w:t xml:space="preserve">, several of which are held by at least </w:t>
      </w:r>
      <w:r w:rsidR="00623D5C" w:rsidRPr="005C3EC8">
        <w:rPr>
          <w:rFonts w:ascii="Calibri" w:hAnsi="Calibri"/>
        </w:rPr>
        <w:t>one material</w:t>
      </w:r>
      <w:r w:rsidR="0030101D" w:rsidRPr="005C3EC8">
        <w:rPr>
          <w:rFonts w:ascii="Calibri" w:hAnsi="Calibri"/>
        </w:rPr>
        <w:t xml:space="preserve"> company in the 2016 EITI Report.</w:t>
      </w:r>
      <w:r w:rsidR="001A746F" w:rsidRPr="005C3EC8">
        <w:rPr>
          <w:rFonts w:ascii="Calibri" w:hAnsi="Calibri"/>
        </w:rPr>
        <w:t xml:space="preserve"> In oil and gas, all information mandated under Requirement 2.3.b is publicly accessible for all active licenses, aside from dates of application. In coal, </w:t>
      </w:r>
      <w:r w:rsidR="0030101D" w:rsidRPr="005C3EC8">
        <w:rPr>
          <w:rFonts w:ascii="Calibri" w:hAnsi="Calibri"/>
        </w:rPr>
        <w:t xml:space="preserve">it appears that all information listed under </w:t>
      </w:r>
      <w:r w:rsidR="001A746F" w:rsidRPr="005C3EC8">
        <w:rPr>
          <w:rFonts w:ascii="Calibri" w:hAnsi="Calibri"/>
        </w:rPr>
        <w:t xml:space="preserve">Requirement 2.3.b is accessible upon request from the Coal Authority. The TCE website provides much information on marine aggregates licenses, aside from dates of application, award and expiry, but does not provide information on active marine potash licenses. </w:t>
      </w:r>
      <w:r w:rsidR="0030101D" w:rsidRPr="005C3EC8">
        <w:rPr>
          <w:rFonts w:ascii="Calibri" w:hAnsi="Calibri"/>
        </w:rPr>
        <w:t xml:space="preserve">The lack of publicly-accessible information on silver and gold Option Agreements is less material, since none appear to </w:t>
      </w:r>
      <w:r w:rsidR="00623D5C" w:rsidRPr="005C3EC8">
        <w:rPr>
          <w:rFonts w:ascii="Calibri" w:hAnsi="Calibri"/>
        </w:rPr>
        <w:t>have been</w:t>
      </w:r>
      <w:r w:rsidR="0030101D" w:rsidRPr="005C3EC8">
        <w:rPr>
          <w:rFonts w:ascii="Calibri" w:hAnsi="Calibri"/>
        </w:rPr>
        <w:t xml:space="preserve"> held by companies in the s</w:t>
      </w:r>
      <w:r w:rsidR="001A746F" w:rsidRPr="005C3EC8">
        <w:rPr>
          <w:rFonts w:ascii="Calibri" w:hAnsi="Calibri"/>
        </w:rPr>
        <w:t xml:space="preserve">cope of EITI reporting in 2016. The DfE website provides access to much </w:t>
      </w:r>
      <w:r w:rsidR="0030101D" w:rsidRPr="005C3EC8">
        <w:rPr>
          <w:rFonts w:ascii="Calibri" w:hAnsi="Calibri"/>
        </w:rPr>
        <w:t xml:space="preserve">of the required </w:t>
      </w:r>
      <w:r w:rsidR="001A746F" w:rsidRPr="005C3EC8">
        <w:rPr>
          <w:rFonts w:ascii="Calibri" w:hAnsi="Calibri"/>
        </w:rPr>
        <w:t xml:space="preserve">information aside from dates of application, award and expiry. </w:t>
      </w:r>
    </w:p>
    <w:p w14:paraId="4596CAF1" w14:textId="254BFBC6" w:rsidR="00F425D1" w:rsidRPr="005C3EC8" w:rsidRDefault="001A746F" w:rsidP="00F425D1">
      <w:pPr>
        <w:spacing w:before="120"/>
        <w:rPr>
          <w:rFonts w:ascii="Calibri" w:hAnsi="Calibri"/>
        </w:rPr>
      </w:pPr>
      <w:r w:rsidRPr="005C3EC8">
        <w:rPr>
          <w:rFonts w:ascii="Calibri" w:hAnsi="Calibri"/>
        </w:rPr>
        <w:t xml:space="preserve">In accordance with Requirement 2.3, the UK should </w:t>
      </w:r>
      <w:r w:rsidR="00730476" w:rsidRPr="005C3EC8">
        <w:rPr>
          <w:rFonts w:ascii="Calibri" w:hAnsi="Calibri"/>
        </w:rPr>
        <w:t>maintain a publicly available register or cadastre system(s), including comprehensive information on all active licenses held by all mining and quarrying companies included in the scope of EITI reporting. In the interim the UK should ensure that future EITI reporting provides the information set out under Requirement 2.3.b for all mining and quarrying companies.</w:t>
      </w:r>
      <w:r w:rsidR="00FC299B" w:rsidRPr="005C3EC8">
        <w:rPr>
          <w:rFonts w:ascii="Calibri" w:hAnsi="Calibri"/>
        </w:rPr>
        <w:t xml:space="preserve"> The UK is encouraged to consider the extent to which integration of EITI </w:t>
      </w:r>
      <w:r w:rsidR="008C7584" w:rsidRPr="005C3EC8">
        <w:rPr>
          <w:rFonts w:ascii="Calibri" w:hAnsi="Calibri"/>
        </w:rPr>
        <w:t xml:space="preserve">reporting </w:t>
      </w:r>
      <w:r w:rsidR="00FC299B" w:rsidRPr="005C3EC8">
        <w:rPr>
          <w:rFonts w:ascii="Calibri" w:hAnsi="Calibri"/>
        </w:rPr>
        <w:t xml:space="preserve">with the work of organisations like the British Geological Survey </w:t>
      </w:r>
      <w:r w:rsidR="008C7584" w:rsidRPr="005C3EC8">
        <w:rPr>
          <w:rFonts w:ascii="Calibri" w:hAnsi="Calibri"/>
        </w:rPr>
        <w:t xml:space="preserve">could </w:t>
      </w:r>
      <w:r w:rsidR="00FC299B" w:rsidRPr="005C3EC8">
        <w:rPr>
          <w:rFonts w:ascii="Calibri" w:hAnsi="Calibri"/>
        </w:rPr>
        <w:t xml:space="preserve">ensure systematic disclosure of information mandated under Requirement 2.3.b. </w:t>
      </w:r>
    </w:p>
    <w:p w14:paraId="21404976" w14:textId="58C794F5" w:rsidR="00F425D1" w:rsidRPr="005C3EC8" w:rsidRDefault="00F425D1" w:rsidP="0097728B">
      <w:pPr>
        <w:pStyle w:val="Heading2"/>
      </w:pPr>
      <w:bookmarkStart w:id="150" w:name="_Toc459133107"/>
      <w:bookmarkStart w:id="151" w:name="_Toc461803056"/>
      <w:bookmarkStart w:id="152" w:name="_Toc461787328"/>
      <w:bookmarkStart w:id="153" w:name="_Toc461795840"/>
      <w:bookmarkStart w:id="154" w:name="_Toc462149184"/>
      <w:r w:rsidRPr="005C3EC8">
        <w:lastRenderedPageBreak/>
        <w:t>Contract disclosures (#2.4)</w:t>
      </w:r>
      <w:bookmarkEnd w:id="150"/>
      <w:bookmarkEnd w:id="151"/>
      <w:bookmarkEnd w:id="152"/>
      <w:bookmarkEnd w:id="153"/>
      <w:bookmarkEnd w:id="154"/>
    </w:p>
    <w:p w14:paraId="5E4D5867" w14:textId="4AE05153" w:rsidR="00247985" w:rsidRPr="005C3EC8" w:rsidRDefault="00F425D1" w:rsidP="0097728B">
      <w:pPr>
        <w:pStyle w:val="Heading3"/>
      </w:pPr>
      <w:r w:rsidRPr="005C3EC8">
        <w:t>Documentation of progress</w:t>
      </w:r>
    </w:p>
    <w:p w14:paraId="56FDC79F" w14:textId="1044DDF0" w:rsidR="00FB72C9" w:rsidRPr="005C3EC8" w:rsidRDefault="00023287" w:rsidP="00405360">
      <w:pPr>
        <w:spacing w:before="120"/>
        <w:rPr>
          <w:rFonts w:ascii="Calibri" w:hAnsi="Calibri"/>
          <w:b/>
        </w:rPr>
      </w:pPr>
      <w:r w:rsidRPr="005C3EC8">
        <w:rPr>
          <w:rFonts w:ascii="Calibri" w:hAnsi="Calibri"/>
          <w:b/>
          <w:i/>
          <w:u w:val="single"/>
        </w:rPr>
        <w:t>Government policy</w:t>
      </w:r>
      <w:r w:rsidRPr="005C3EC8">
        <w:rPr>
          <w:rFonts w:ascii="Calibri" w:hAnsi="Calibri"/>
          <w:b/>
        </w:rPr>
        <w:t xml:space="preserve"> </w:t>
      </w:r>
    </w:p>
    <w:p w14:paraId="486E13C4" w14:textId="1FAA6C4F" w:rsidR="006A6461" w:rsidRPr="005C3EC8" w:rsidRDefault="006A6461" w:rsidP="006A6461">
      <w:pPr>
        <w:spacing w:before="120"/>
        <w:rPr>
          <w:rFonts w:ascii="Calibri" w:hAnsi="Calibri"/>
        </w:rPr>
      </w:pPr>
      <w:r w:rsidRPr="005C3EC8">
        <w:rPr>
          <w:rFonts w:ascii="Calibri" w:hAnsi="Calibri"/>
          <w:b/>
          <w:i/>
        </w:rPr>
        <w:t>Systematic disclosures</w:t>
      </w:r>
      <w:r w:rsidRPr="005C3EC8">
        <w:rPr>
          <w:rFonts w:ascii="Calibri" w:hAnsi="Calibri"/>
          <w:i/>
        </w:rPr>
        <w:t xml:space="preserve">: </w:t>
      </w:r>
      <w:r w:rsidR="00510F26" w:rsidRPr="005C3EC8">
        <w:rPr>
          <w:rFonts w:ascii="Calibri" w:hAnsi="Calibri"/>
        </w:rPr>
        <w:t>While there are no contracts in the UK extractive industries</w:t>
      </w:r>
      <w:r w:rsidR="00816349" w:rsidRPr="005C3EC8">
        <w:rPr>
          <w:rFonts w:ascii="Calibri" w:hAnsi="Calibri"/>
        </w:rPr>
        <w:t>, as confirmed in successive EITI Reports</w:t>
      </w:r>
      <w:r w:rsidR="00510F26" w:rsidRPr="005C3EC8">
        <w:rPr>
          <w:rFonts w:ascii="Calibri" w:hAnsi="Calibri"/>
        </w:rPr>
        <w:t>, t</w:t>
      </w:r>
      <w:r w:rsidRPr="005C3EC8">
        <w:rPr>
          <w:rFonts w:ascii="Calibri" w:hAnsi="Calibri"/>
        </w:rPr>
        <w:t>he UK Government’s commitment to open contracting is enshrined in several policy documents including successive Open Government Partnership national action plans</w:t>
      </w:r>
      <w:r w:rsidR="00301269" w:rsidRPr="005C3EC8">
        <w:rPr>
          <w:rStyle w:val="FootnoteReference"/>
          <w:rFonts w:ascii="Calibri" w:hAnsi="Calibri"/>
        </w:rPr>
        <w:footnoteReference w:id="211"/>
      </w:r>
      <w:r w:rsidR="00EA149B" w:rsidRPr="005C3EC8">
        <w:rPr>
          <w:rFonts w:ascii="Calibri" w:hAnsi="Calibri"/>
        </w:rPr>
        <w:t xml:space="preserve"> and the UK Government Open Contracting webpage.</w:t>
      </w:r>
      <w:r w:rsidR="00EA149B" w:rsidRPr="005C3EC8">
        <w:rPr>
          <w:rStyle w:val="FootnoteReference"/>
          <w:rFonts w:ascii="Calibri" w:hAnsi="Calibri"/>
        </w:rPr>
        <w:footnoteReference w:id="212"/>
      </w:r>
    </w:p>
    <w:p w14:paraId="5E4F0F8B" w14:textId="77285784" w:rsidR="00B200BA" w:rsidRPr="005C3EC8" w:rsidRDefault="006A6461" w:rsidP="006A6461">
      <w:pPr>
        <w:spacing w:before="120"/>
        <w:rPr>
          <w:rFonts w:ascii="Calibri" w:hAnsi="Calibri"/>
        </w:rPr>
      </w:pPr>
      <w:r w:rsidRPr="005C3EC8">
        <w:rPr>
          <w:rFonts w:ascii="Calibri" w:hAnsi="Calibri"/>
          <w:b/>
          <w:i/>
        </w:rPr>
        <w:t>2016 EITI Report</w:t>
      </w:r>
      <w:r w:rsidRPr="005C3EC8">
        <w:rPr>
          <w:rFonts w:ascii="Calibri" w:hAnsi="Calibri"/>
          <w:i/>
        </w:rPr>
        <w:t xml:space="preserve">: </w:t>
      </w:r>
      <w:r w:rsidR="00324574" w:rsidRPr="005C3EC8">
        <w:rPr>
          <w:rFonts w:ascii="Calibri" w:hAnsi="Calibri"/>
        </w:rPr>
        <w:t>T</w:t>
      </w:r>
      <w:r w:rsidR="00B200BA" w:rsidRPr="005C3EC8">
        <w:rPr>
          <w:rFonts w:ascii="Calibri" w:hAnsi="Calibri"/>
        </w:rPr>
        <w:t xml:space="preserve">he 2016 EITI Report clarifies that there are no </w:t>
      </w:r>
      <w:r w:rsidR="0037449E" w:rsidRPr="005C3EC8">
        <w:rPr>
          <w:rFonts w:ascii="Calibri" w:hAnsi="Calibri"/>
        </w:rPr>
        <w:t>contracts in the extractive industries aside from agreements with the TCE</w:t>
      </w:r>
      <w:r w:rsidR="00324574" w:rsidRPr="005C3EC8">
        <w:rPr>
          <w:rFonts w:ascii="Calibri" w:hAnsi="Calibri"/>
        </w:rPr>
        <w:t xml:space="preserve"> for certain minerals.</w:t>
      </w:r>
      <w:r w:rsidR="0037449E" w:rsidRPr="005C3EC8">
        <w:rPr>
          <w:rFonts w:ascii="Calibri" w:hAnsi="Calibri"/>
        </w:rPr>
        <w:t xml:space="preserve"> </w:t>
      </w:r>
      <w:r w:rsidR="00324574" w:rsidRPr="005C3EC8">
        <w:rPr>
          <w:rFonts w:ascii="Calibri" w:hAnsi="Calibri"/>
        </w:rPr>
        <w:t xml:space="preserve">While the report indicates that the full-text of all oil and gas licenses is available from the OGA and DfE, </w:t>
      </w:r>
      <w:r w:rsidR="0037449E" w:rsidRPr="005C3EC8">
        <w:rPr>
          <w:rFonts w:ascii="Calibri" w:hAnsi="Calibri"/>
        </w:rPr>
        <w:t>it is unclear from the report whether the government has a policy to publish the full text of all licenses</w:t>
      </w:r>
      <w:r w:rsidR="00324574" w:rsidRPr="005C3EC8">
        <w:rPr>
          <w:rFonts w:ascii="Calibri" w:hAnsi="Calibri"/>
        </w:rPr>
        <w:t xml:space="preserve"> in the mining and quarrying sector</w:t>
      </w:r>
      <w:r w:rsidR="0037449E" w:rsidRPr="005C3EC8">
        <w:rPr>
          <w:rFonts w:ascii="Calibri" w:hAnsi="Calibri"/>
        </w:rPr>
        <w:t xml:space="preserve">. </w:t>
      </w:r>
    </w:p>
    <w:p w14:paraId="0E19DD8C" w14:textId="05A118E6" w:rsidR="00FB72C9" w:rsidRPr="005C3EC8" w:rsidRDefault="00324574" w:rsidP="00405360">
      <w:pPr>
        <w:spacing w:before="120"/>
        <w:rPr>
          <w:rFonts w:ascii="Calibri" w:hAnsi="Calibri"/>
          <w:b/>
          <w:color w:val="000000" w:themeColor="text1"/>
        </w:rPr>
      </w:pPr>
      <w:r w:rsidRPr="005C3EC8">
        <w:rPr>
          <w:rFonts w:ascii="Calibri" w:hAnsi="Calibri"/>
          <w:b/>
          <w:i/>
          <w:color w:val="000000" w:themeColor="text1"/>
          <w:u w:val="single"/>
        </w:rPr>
        <w:t>Actual practice</w:t>
      </w:r>
      <w:r w:rsidRPr="005C3EC8">
        <w:rPr>
          <w:rFonts w:ascii="Calibri" w:hAnsi="Calibri"/>
          <w:b/>
          <w:color w:val="000000" w:themeColor="text1"/>
        </w:rPr>
        <w:t xml:space="preserve"> </w:t>
      </w:r>
    </w:p>
    <w:p w14:paraId="28D3C704" w14:textId="616968F5" w:rsidR="00F16637" w:rsidRPr="005C3EC8" w:rsidRDefault="00F16637" w:rsidP="006A6461">
      <w:pPr>
        <w:spacing w:before="120"/>
        <w:rPr>
          <w:rFonts w:ascii="Calibri" w:hAnsi="Calibri"/>
          <w:b/>
          <w:i/>
        </w:rPr>
      </w:pPr>
      <w:r w:rsidRPr="005C3EC8">
        <w:rPr>
          <w:rFonts w:ascii="Calibri" w:hAnsi="Calibri"/>
          <w:b/>
          <w:i/>
        </w:rPr>
        <w:t>Systematic disclosures</w:t>
      </w:r>
      <w:r w:rsidRPr="005C3EC8">
        <w:rPr>
          <w:rFonts w:ascii="Calibri" w:hAnsi="Calibri"/>
          <w:i/>
        </w:rPr>
        <w:t xml:space="preserve">: </w:t>
      </w:r>
      <w:r w:rsidRPr="005C3EC8">
        <w:rPr>
          <w:rFonts w:ascii="Calibri" w:hAnsi="Calibri"/>
        </w:rPr>
        <w:t>The OGA website provides access to the full text of all oil and gas licenses.</w:t>
      </w:r>
      <w:r w:rsidRPr="005C3EC8">
        <w:rPr>
          <w:rStyle w:val="FootnoteReference"/>
          <w:rFonts w:ascii="Calibri" w:hAnsi="Calibri"/>
        </w:rPr>
        <w:footnoteReference w:id="213"/>
      </w:r>
    </w:p>
    <w:p w14:paraId="1C7A054E" w14:textId="62B5BA31" w:rsidR="00FA280B" w:rsidRPr="005C3EC8" w:rsidRDefault="006A6461" w:rsidP="006A6461">
      <w:pPr>
        <w:spacing w:before="120"/>
        <w:rPr>
          <w:rFonts w:ascii="Calibri" w:hAnsi="Calibri"/>
        </w:rPr>
      </w:pPr>
      <w:r w:rsidRPr="005C3EC8">
        <w:rPr>
          <w:rFonts w:ascii="Calibri" w:hAnsi="Calibri"/>
          <w:b/>
          <w:i/>
        </w:rPr>
        <w:t>2016 EITI Report</w:t>
      </w:r>
      <w:r w:rsidRPr="005C3EC8">
        <w:rPr>
          <w:rFonts w:ascii="Calibri" w:hAnsi="Calibri"/>
          <w:i/>
        </w:rPr>
        <w:t xml:space="preserve">: </w:t>
      </w:r>
      <w:r w:rsidR="00FA280B" w:rsidRPr="005C3EC8">
        <w:rPr>
          <w:rFonts w:ascii="Calibri" w:hAnsi="Calibri"/>
        </w:rPr>
        <w:t xml:space="preserve">In </w:t>
      </w:r>
      <w:r w:rsidR="00FA280B" w:rsidRPr="005C3EC8">
        <w:rPr>
          <w:rFonts w:ascii="Calibri" w:hAnsi="Calibri"/>
          <w:i/>
        </w:rPr>
        <w:t>oil and gas</w:t>
      </w:r>
      <w:r w:rsidR="00FA280B" w:rsidRPr="005C3EC8">
        <w:rPr>
          <w:rFonts w:ascii="Calibri" w:hAnsi="Calibri"/>
        </w:rPr>
        <w:t>, the report confirms that the regulatory system is based on petroleum licenses, not contracts (pp.</w:t>
      </w:r>
      <w:r w:rsidR="00B200BA" w:rsidRPr="005C3EC8">
        <w:rPr>
          <w:rFonts w:ascii="Calibri" w:hAnsi="Calibri"/>
        </w:rPr>
        <w:t>39,</w:t>
      </w:r>
      <w:r w:rsidR="00FA280B" w:rsidRPr="005C3EC8">
        <w:rPr>
          <w:rFonts w:ascii="Calibri" w:hAnsi="Calibri"/>
        </w:rPr>
        <w:t xml:space="preserve">41-42). </w:t>
      </w:r>
      <w:r w:rsidR="00B200BA" w:rsidRPr="005C3EC8">
        <w:rPr>
          <w:rFonts w:ascii="Calibri" w:hAnsi="Calibri"/>
        </w:rPr>
        <w:t xml:space="preserve">The report confirms that the full-text of respective oil and gas licenses is accessible through the OGA and DfE websites (p.40). The report clarifies that model clauses of oil and gas licenses are required to be published in secondary legislation, aside from “particular cases”, and that model clauses have been published in full in the license document in practice (pp.41-42). </w:t>
      </w:r>
    </w:p>
    <w:p w14:paraId="60FE38A2" w14:textId="77777777" w:rsidR="00B200BA" w:rsidRPr="005C3EC8" w:rsidRDefault="00FA280B" w:rsidP="00405360">
      <w:pPr>
        <w:spacing w:before="120"/>
        <w:rPr>
          <w:rFonts w:ascii="Calibri" w:hAnsi="Calibri"/>
          <w:bCs/>
        </w:rPr>
      </w:pPr>
      <w:r w:rsidRPr="005C3EC8">
        <w:rPr>
          <w:rFonts w:ascii="Calibri" w:hAnsi="Calibri"/>
        </w:rPr>
        <w:t xml:space="preserve">In </w:t>
      </w:r>
      <w:r w:rsidRPr="005C3EC8">
        <w:rPr>
          <w:rFonts w:ascii="Calibri" w:hAnsi="Calibri"/>
          <w:i/>
        </w:rPr>
        <w:t>mining and quarrying</w:t>
      </w:r>
      <w:r w:rsidRPr="005C3EC8">
        <w:rPr>
          <w:rFonts w:ascii="Calibri" w:hAnsi="Calibri"/>
        </w:rPr>
        <w:t>, the report confirms that</w:t>
      </w:r>
      <w:r w:rsidR="00A23682" w:rsidRPr="005C3EC8">
        <w:rPr>
          <w:rFonts w:ascii="Calibri" w:hAnsi="Calibri"/>
        </w:rPr>
        <w:t xml:space="preserve"> most mining activities onshore</w:t>
      </w:r>
      <w:r w:rsidR="00B200BA" w:rsidRPr="005C3EC8">
        <w:rPr>
          <w:rFonts w:ascii="Calibri" w:hAnsi="Calibri"/>
        </w:rPr>
        <w:t xml:space="preserve"> Great Britain</w:t>
      </w:r>
      <w:r w:rsidR="00A23682" w:rsidRPr="005C3EC8">
        <w:rPr>
          <w:rFonts w:ascii="Calibri" w:hAnsi="Calibri"/>
        </w:rPr>
        <w:t xml:space="preserve"> do not require a license or contract, aside from </w:t>
      </w:r>
      <w:r w:rsidR="00B200BA" w:rsidRPr="005C3EC8">
        <w:rPr>
          <w:rFonts w:ascii="Calibri" w:hAnsi="Calibri"/>
          <w:bCs/>
        </w:rPr>
        <w:t xml:space="preserve">coal, gold and silver (p.58). </w:t>
      </w:r>
    </w:p>
    <w:p w14:paraId="1EE70153" w14:textId="13CF88E1" w:rsidR="00B024B9" w:rsidRPr="005C3EC8" w:rsidRDefault="00B200BA" w:rsidP="00405360">
      <w:pPr>
        <w:spacing w:before="120"/>
        <w:rPr>
          <w:rFonts w:ascii="Calibri" w:hAnsi="Calibri"/>
          <w:bCs/>
        </w:rPr>
      </w:pPr>
      <w:r w:rsidRPr="005C3EC8">
        <w:rPr>
          <w:rFonts w:ascii="Calibri" w:hAnsi="Calibri"/>
          <w:bCs/>
        </w:rPr>
        <w:t xml:space="preserve">For coal licenses, the report confirms that information about active licenses is available upon request from the Coal Authority (p.58), but does not confirm whether this includes the full text of each active coal license. </w:t>
      </w:r>
    </w:p>
    <w:p w14:paraId="1BC2D40A" w14:textId="16782515" w:rsidR="00B200BA" w:rsidRPr="005C3EC8" w:rsidRDefault="0037449E" w:rsidP="00405360">
      <w:pPr>
        <w:spacing w:before="120"/>
        <w:rPr>
          <w:rFonts w:ascii="Calibri" w:hAnsi="Calibri"/>
          <w:bCs/>
        </w:rPr>
      </w:pPr>
      <w:r w:rsidRPr="005C3EC8">
        <w:rPr>
          <w:rFonts w:ascii="Calibri" w:hAnsi="Calibri"/>
        </w:rPr>
        <w:t>For licenses for marine aggregates and mineral potash granted by TCE, the report notes that all licensed applications and exploration/option area details are published online free of charge and provides a link</w:t>
      </w:r>
      <w:r w:rsidRPr="005C3EC8">
        <w:rPr>
          <w:rStyle w:val="FootnoteReference"/>
          <w:rFonts w:ascii="Calibri" w:hAnsi="Calibri"/>
        </w:rPr>
        <w:footnoteReference w:id="214"/>
      </w:r>
      <w:r w:rsidRPr="005C3EC8">
        <w:rPr>
          <w:rFonts w:ascii="Calibri" w:hAnsi="Calibri"/>
        </w:rPr>
        <w:t xml:space="preserve"> to the general TCE website (p.60). </w:t>
      </w:r>
      <w:r w:rsidR="00B200BA" w:rsidRPr="005C3EC8">
        <w:rPr>
          <w:rFonts w:ascii="Calibri" w:hAnsi="Calibri"/>
          <w:bCs/>
        </w:rPr>
        <w:t xml:space="preserve">For gold and silver licenses, it is unclear from the </w:t>
      </w:r>
      <w:r w:rsidRPr="005C3EC8">
        <w:rPr>
          <w:rFonts w:ascii="Calibri" w:hAnsi="Calibri"/>
          <w:bCs/>
        </w:rPr>
        <w:t>r</w:t>
      </w:r>
      <w:r w:rsidR="00B200BA" w:rsidRPr="005C3EC8">
        <w:rPr>
          <w:rFonts w:ascii="Calibri" w:hAnsi="Calibri"/>
          <w:bCs/>
        </w:rPr>
        <w:t xml:space="preserve">eport or the TCE website whether there were any active gold or silver licenses in 2016. The report does not provide guidance on accessing the full text of gold and silver licenses, if applicable. </w:t>
      </w:r>
      <w:r w:rsidR="00F654B7" w:rsidRPr="005C3EC8">
        <w:rPr>
          <w:rFonts w:ascii="Calibri" w:hAnsi="Calibri"/>
        </w:rPr>
        <w:t xml:space="preserve">The report only states that TCE does not disclose contracts and agreements relating to minerals where they contain commercially </w:t>
      </w:r>
      <w:r w:rsidR="00F654B7" w:rsidRPr="005C3EC8">
        <w:rPr>
          <w:rFonts w:ascii="Calibri" w:hAnsi="Calibri"/>
        </w:rPr>
        <w:lastRenderedPageBreak/>
        <w:t>confidential information (p.60).</w:t>
      </w:r>
    </w:p>
    <w:p w14:paraId="2AE83858" w14:textId="3F66602F" w:rsidR="00120EC9" w:rsidRPr="005C3EC8" w:rsidRDefault="0037449E" w:rsidP="00405360">
      <w:pPr>
        <w:spacing w:before="120"/>
        <w:rPr>
          <w:rFonts w:ascii="Calibri" w:hAnsi="Calibri"/>
        </w:rPr>
      </w:pPr>
      <w:r w:rsidRPr="005C3EC8">
        <w:rPr>
          <w:rFonts w:ascii="Calibri" w:hAnsi="Calibri"/>
        </w:rPr>
        <w:t>For MPLs awarded by Northern Ireland’s DfE, the report only provides a cursory description of the allocation process (p.59), but does not confirm whether the DfE publishes the full text of all active MPLs on its website.</w:t>
      </w:r>
      <w:r w:rsidR="00F654B7" w:rsidRPr="005C3EC8">
        <w:rPr>
          <w:rFonts w:ascii="Calibri" w:hAnsi="Calibri"/>
        </w:rPr>
        <w:t xml:space="preserve"> The DfE webpage on ‘Minerals licensing’ does not appear to provide access to the full text of MPLs in Northern Ireland.</w:t>
      </w:r>
      <w:r w:rsidR="00F654B7" w:rsidRPr="005C3EC8">
        <w:rPr>
          <w:rStyle w:val="FootnoteReference"/>
          <w:rFonts w:ascii="Calibri" w:hAnsi="Calibri"/>
        </w:rPr>
        <w:footnoteReference w:id="215"/>
      </w:r>
    </w:p>
    <w:p w14:paraId="56F8D60E" w14:textId="77777777" w:rsidR="00247985" w:rsidRPr="005C3EC8" w:rsidRDefault="00545BBC">
      <w:pPr>
        <w:pStyle w:val="Heading3"/>
      </w:pPr>
      <w:r w:rsidRPr="005C3EC8">
        <w:t>Stakeholder views</w:t>
      </w:r>
    </w:p>
    <w:p w14:paraId="0D5D1E31" w14:textId="62E1782B" w:rsidR="00104EF1" w:rsidRPr="005C3EC8" w:rsidRDefault="00F16637" w:rsidP="00104EF1">
      <w:pPr>
        <w:spacing w:before="120"/>
        <w:rPr>
          <w:rFonts w:ascii="Calibri" w:hAnsi="Calibri"/>
          <w:bCs/>
        </w:rPr>
      </w:pPr>
      <w:r w:rsidRPr="005C3EC8">
        <w:rPr>
          <w:rFonts w:ascii="Calibri" w:hAnsi="Calibri"/>
          <w:bCs/>
        </w:rPr>
        <w:t xml:space="preserve">There were no particular views from stakeholders consulted on the public accessibility of licenses, other than general comments on the relative lack of information on licenses in mining and quarrying </w:t>
      </w:r>
      <w:r w:rsidR="00104EF1" w:rsidRPr="005C3EC8">
        <w:rPr>
          <w:rFonts w:ascii="Calibri" w:hAnsi="Calibri"/>
          <w:bCs/>
        </w:rPr>
        <w:t>compared to</w:t>
      </w:r>
      <w:r w:rsidRPr="005C3EC8">
        <w:rPr>
          <w:rFonts w:ascii="Calibri" w:hAnsi="Calibri"/>
          <w:bCs/>
        </w:rPr>
        <w:t xml:space="preserve"> oil and gas. </w:t>
      </w:r>
      <w:r w:rsidR="00104EF1" w:rsidRPr="005C3EC8">
        <w:rPr>
          <w:rFonts w:ascii="Calibri" w:hAnsi="Calibri"/>
          <w:bCs/>
        </w:rPr>
        <w:t>Several CSN representatives noted that there had been a challenge in ensuring the public accessibility of license agreements awarded by the CA. Several CSN representatives called for the publication of oil and gas companies’ decommissioning agreements, although they recognised this was not strictly required under the EITI Standard. Given that such agreements gave oil and gas companies significant allowances for decommissioning, the CSN representatives considered that these agreements should be in the public domain.</w:t>
      </w:r>
    </w:p>
    <w:p w14:paraId="7597F72F" w14:textId="18431199" w:rsidR="001E68AF" w:rsidRPr="005C3EC8" w:rsidRDefault="00F425D1">
      <w:pPr>
        <w:pStyle w:val="Heading3"/>
      </w:pPr>
      <w:bookmarkStart w:id="155" w:name="_Toc459133110"/>
      <w:bookmarkStart w:id="156" w:name="_Toc461803059"/>
      <w:r w:rsidRPr="005C3EC8">
        <w:t>Initial assessment</w:t>
      </w:r>
      <w:bookmarkEnd w:id="155"/>
      <w:bookmarkEnd w:id="156"/>
    </w:p>
    <w:p w14:paraId="65AB457A" w14:textId="6886A4EE" w:rsidR="00B15B0D" w:rsidRPr="005C3EC8" w:rsidRDefault="00F425D1" w:rsidP="00F425D1">
      <w:pPr>
        <w:spacing w:before="120"/>
        <w:rPr>
          <w:rFonts w:ascii="Calibri" w:hAnsi="Calibri"/>
        </w:rPr>
      </w:pPr>
      <w:r w:rsidRPr="005C3EC8">
        <w:rPr>
          <w:rFonts w:ascii="Calibri" w:hAnsi="Calibri"/>
        </w:rPr>
        <w:t xml:space="preserve">The International Secretariat’s initial assessment is that </w:t>
      </w:r>
      <w:r w:rsidR="00AF1D53" w:rsidRPr="005C3EC8">
        <w:rPr>
          <w:rFonts w:ascii="Calibri" w:hAnsi="Calibri"/>
          <w:bCs/>
        </w:rPr>
        <w:t>the UK</w:t>
      </w:r>
      <w:r w:rsidR="00405360" w:rsidRPr="005C3EC8">
        <w:rPr>
          <w:rFonts w:ascii="Calibri" w:hAnsi="Calibri"/>
        </w:rPr>
        <w:t xml:space="preserve"> </w:t>
      </w:r>
      <w:r w:rsidRPr="005C3EC8">
        <w:rPr>
          <w:rFonts w:ascii="Calibri" w:hAnsi="Calibri"/>
        </w:rPr>
        <w:t xml:space="preserve">has made </w:t>
      </w:r>
      <w:r w:rsidR="0009146C" w:rsidRPr="003B7537">
        <w:rPr>
          <w:rFonts w:ascii="Calibri" w:hAnsi="Calibri"/>
          <w:b/>
          <w:bCs/>
        </w:rPr>
        <w:t>satisfactory</w:t>
      </w:r>
      <w:r w:rsidR="00AF1D53" w:rsidRPr="004D19B1">
        <w:rPr>
          <w:rFonts w:ascii="Calibri" w:hAnsi="Calibri"/>
          <w:b/>
          <w:bCs/>
        </w:rPr>
        <w:t xml:space="preserve"> </w:t>
      </w:r>
      <w:r w:rsidRPr="003B7537">
        <w:rPr>
          <w:rFonts w:ascii="Calibri" w:hAnsi="Calibri"/>
          <w:b/>
        </w:rPr>
        <w:t>progress</w:t>
      </w:r>
      <w:r w:rsidRPr="005C3EC8">
        <w:rPr>
          <w:rFonts w:ascii="Calibri" w:hAnsi="Calibri"/>
        </w:rPr>
        <w:t xml:space="preserve"> towards meeting this requirement. </w:t>
      </w:r>
      <w:r w:rsidR="00997C18" w:rsidRPr="005C3EC8">
        <w:rPr>
          <w:rFonts w:ascii="Calibri" w:hAnsi="Calibri"/>
        </w:rPr>
        <w:t>The 2016 EITI Report clarifies that there are no contracts in the UK extractive industries, aside from agreements concluded for marine aggregates and marine potash with TCE. The report clarifies the practice of publishing licenses, and the accessibility of published licenses, for most mineral commodities, although there are gaps in terms of Mineral Prospecting Licenses onshore Northern Ireland.</w:t>
      </w:r>
    </w:p>
    <w:p w14:paraId="5F92E76C" w14:textId="7E4E54BB" w:rsidR="00997C18" w:rsidRPr="005C3EC8" w:rsidRDefault="0009146C" w:rsidP="00F425D1">
      <w:pPr>
        <w:spacing w:before="120"/>
        <w:rPr>
          <w:rFonts w:ascii="Calibri" w:hAnsi="Calibri"/>
        </w:rPr>
      </w:pPr>
      <w:r w:rsidRPr="005C3EC8">
        <w:rPr>
          <w:rFonts w:ascii="Calibri" w:hAnsi="Calibri"/>
        </w:rPr>
        <w:t>To strengthen implementation</w:t>
      </w:r>
      <w:r w:rsidR="00997C18" w:rsidRPr="005C3EC8">
        <w:rPr>
          <w:rFonts w:ascii="Calibri" w:hAnsi="Calibri"/>
        </w:rPr>
        <w:t xml:space="preserve">, the UK </w:t>
      </w:r>
      <w:r w:rsidR="00EF1A87" w:rsidRPr="005C3EC8">
        <w:rPr>
          <w:rFonts w:ascii="Calibri" w:hAnsi="Calibri"/>
        </w:rPr>
        <w:t xml:space="preserve">may wish to consider options for more systematic disclosure of agreements peripheral to the operating contracts, such as Decommissioning Deeds, Planning Permits (including Section 106 agreements) and others. </w:t>
      </w:r>
    </w:p>
    <w:p w14:paraId="7980B881" w14:textId="293C3F99" w:rsidR="00A441F1" w:rsidRPr="005C3EC8" w:rsidRDefault="000722F1" w:rsidP="0097728B">
      <w:pPr>
        <w:pStyle w:val="Heading2"/>
      </w:pPr>
      <w:bookmarkStart w:id="157" w:name="_Toc459133111"/>
      <w:bookmarkStart w:id="158" w:name="_Toc461803060"/>
      <w:bookmarkStart w:id="159" w:name="_Toc461787329"/>
      <w:bookmarkStart w:id="160" w:name="_Toc461795841"/>
      <w:bookmarkStart w:id="161" w:name="_Toc462149185"/>
      <w:r w:rsidRPr="005C3EC8">
        <w:t>B</w:t>
      </w:r>
      <w:r w:rsidR="00A441F1" w:rsidRPr="005C3EC8">
        <w:t>eneficial ownership disclosure (#</w:t>
      </w:r>
      <w:r w:rsidR="00EE25D1" w:rsidRPr="005C3EC8">
        <w:t>2</w:t>
      </w:r>
      <w:r w:rsidR="00A441F1" w:rsidRPr="005C3EC8">
        <w:t>.</w:t>
      </w:r>
      <w:r w:rsidR="00EE25D1" w:rsidRPr="005C3EC8">
        <w:t>5</w:t>
      </w:r>
      <w:r w:rsidR="00A441F1" w:rsidRPr="005C3EC8">
        <w:t>)</w:t>
      </w:r>
      <w:bookmarkEnd w:id="157"/>
      <w:bookmarkEnd w:id="158"/>
      <w:bookmarkEnd w:id="159"/>
      <w:bookmarkEnd w:id="160"/>
      <w:bookmarkEnd w:id="161"/>
    </w:p>
    <w:p w14:paraId="34468C6C" w14:textId="77777777" w:rsidR="00247985" w:rsidRPr="005C3EC8" w:rsidRDefault="00F425D1" w:rsidP="0097728B">
      <w:pPr>
        <w:pStyle w:val="Heading3"/>
      </w:pPr>
      <w:r w:rsidRPr="005C3EC8">
        <w:t>Documentation of progress</w:t>
      </w:r>
    </w:p>
    <w:p w14:paraId="493C50DC" w14:textId="36ED385E" w:rsidR="00F425D1" w:rsidRPr="005C3EC8" w:rsidRDefault="00F425D1" w:rsidP="00F425D1">
      <w:pPr>
        <w:spacing w:before="120"/>
        <w:rPr>
          <w:rFonts w:ascii="Calibri" w:hAnsi="Calibri"/>
          <w:b/>
          <w:bCs/>
        </w:rPr>
      </w:pPr>
      <w:r w:rsidRPr="005C3EC8">
        <w:rPr>
          <w:rFonts w:ascii="Calibri" w:hAnsi="Calibri"/>
          <w:b/>
          <w:i/>
          <w:u w:val="single"/>
        </w:rPr>
        <w:t>Government policy</w:t>
      </w:r>
    </w:p>
    <w:p w14:paraId="680E537D" w14:textId="0938A1E9" w:rsidR="00D76FFC" w:rsidRPr="005C3EC8" w:rsidRDefault="00510F26" w:rsidP="00510F26">
      <w:pPr>
        <w:spacing w:before="120"/>
        <w:rPr>
          <w:rFonts w:ascii="Calibri" w:hAnsi="Calibri"/>
        </w:rPr>
      </w:pPr>
      <w:r w:rsidRPr="005C3EC8">
        <w:rPr>
          <w:rFonts w:ascii="Calibri" w:hAnsi="Calibri"/>
          <w:b/>
          <w:i/>
        </w:rPr>
        <w:t>Systematic disclosures</w:t>
      </w:r>
      <w:r w:rsidRPr="005C3EC8">
        <w:rPr>
          <w:rFonts w:ascii="Calibri" w:hAnsi="Calibri"/>
          <w:i/>
        </w:rPr>
        <w:t xml:space="preserve">: </w:t>
      </w:r>
      <w:r w:rsidRPr="005C3EC8">
        <w:rPr>
          <w:rFonts w:ascii="Calibri" w:hAnsi="Calibri"/>
        </w:rPr>
        <w:t>The 2015 Small Business, Enterprise and Employment Act introduced legal provisions requiring “persons with significant control” (PSCs)</w:t>
      </w:r>
      <w:r w:rsidR="009C1396" w:rsidRPr="005C3EC8">
        <w:rPr>
          <w:rFonts w:ascii="Calibri" w:hAnsi="Calibri"/>
        </w:rPr>
        <w:t xml:space="preserve"> to disclose their ultimate beneficial ownership of companies</w:t>
      </w:r>
      <w:r w:rsidRPr="005C3EC8">
        <w:rPr>
          <w:rFonts w:ascii="Calibri" w:hAnsi="Calibri"/>
        </w:rPr>
        <w:t>, in line with the definition of beneficial owners in EITI Requirement 2.5, under Part 21A.</w:t>
      </w:r>
      <w:r w:rsidRPr="005C3EC8">
        <w:rPr>
          <w:rStyle w:val="FootnoteReference"/>
          <w:rFonts w:ascii="Calibri" w:hAnsi="Calibri"/>
        </w:rPr>
        <w:footnoteReference w:id="216"/>
      </w:r>
      <w:r w:rsidR="009C1396" w:rsidRPr="005C3EC8">
        <w:rPr>
          <w:rFonts w:ascii="Calibri" w:hAnsi="Calibri"/>
        </w:rPr>
        <w:t xml:space="preserve"> </w:t>
      </w:r>
      <w:r w:rsidR="00D76FFC" w:rsidRPr="005C3EC8">
        <w:rPr>
          <w:rFonts w:ascii="Calibri" w:hAnsi="Calibri"/>
        </w:rPr>
        <w:t xml:space="preserve">In December 2017, the EU reached agreement on amendments to the 4th AMLD Anti-Money Laundering Directive which requires public access to beneficial ownership registers on companies, </w:t>
      </w:r>
      <w:r w:rsidR="00D76FFC" w:rsidRPr="005C3EC8">
        <w:rPr>
          <w:rFonts w:ascii="Calibri" w:hAnsi="Calibri"/>
        </w:rPr>
        <w:lastRenderedPageBreak/>
        <w:t>interconnecting national registers to facilitate cooperation between Member States, and extending the information available to national authorities.</w:t>
      </w:r>
      <w:r w:rsidR="00D76FFC" w:rsidRPr="005C3EC8">
        <w:rPr>
          <w:rStyle w:val="FootnoteReference"/>
          <w:rFonts w:ascii="Calibri" w:hAnsi="Calibri"/>
        </w:rPr>
        <w:footnoteReference w:id="217"/>
      </w:r>
      <w:r w:rsidR="001743AB" w:rsidRPr="005C3EC8">
        <w:rPr>
          <w:rFonts w:ascii="Calibri" w:hAnsi="Calibri"/>
        </w:rPr>
        <w:t xml:space="preserve">  </w:t>
      </w:r>
    </w:p>
    <w:p w14:paraId="2255E237" w14:textId="08A5D308" w:rsidR="00B1317F" w:rsidRPr="005C3EC8" w:rsidRDefault="00B1317F" w:rsidP="00510F26">
      <w:pPr>
        <w:spacing w:before="120"/>
        <w:rPr>
          <w:rFonts w:ascii="Calibri" w:hAnsi="Calibri"/>
        </w:rPr>
      </w:pPr>
      <w:r w:rsidRPr="005C3EC8">
        <w:rPr>
          <w:rFonts w:ascii="Calibri" w:hAnsi="Calibri"/>
        </w:rPr>
        <w:t xml:space="preserve">Implementing </w:t>
      </w:r>
      <w:r w:rsidR="006E3ED2" w:rsidRPr="005C3EC8">
        <w:rPr>
          <w:rFonts w:ascii="Calibri" w:hAnsi="Calibri"/>
        </w:rPr>
        <w:t>regulations</w:t>
      </w:r>
      <w:r w:rsidRPr="005C3EC8">
        <w:rPr>
          <w:rFonts w:ascii="Calibri" w:hAnsi="Calibri"/>
        </w:rPr>
        <w:t xml:space="preserve"> </w:t>
      </w:r>
      <w:r w:rsidR="006E3ED2" w:rsidRPr="005C3EC8">
        <w:rPr>
          <w:rFonts w:ascii="Calibri" w:hAnsi="Calibri"/>
        </w:rPr>
        <w:t>enacted</w:t>
      </w:r>
      <w:r w:rsidRPr="005C3EC8">
        <w:rPr>
          <w:rFonts w:ascii="Calibri" w:hAnsi="Calibri"/>
        </w:rPr>
        <w:t xml:space="preserve"> in 2016 </w:t>
      </w:r>
      <w:r w:rsidR="006E3ED2" w:rsidRPr="005C3EC8">
        <w:rPr>
          <w:rFonts w:ascii="Calibri" w:hAnsi="Calibri"/>
        </w:rPr>
        <w:t>provided guidelines for the establishment of a register of PSCs</w:t>
      </w:r>
      <w:r w:rsidR="00612106" w:rsidRPr="005C3EC8">
        <w:rPr>
          <w:rFonts w:ascii="Calibri" w:hAnsi="Calibri"/>
        </w:rPr>
        <w:t>.</w:t>
      </w:r>
      <w:r w:rsidR="006E3ED2" w:rsidRPr="005C3EC8">
        <w:rPr>
          <w:rStyle w:val="FootnoteReference"/>
          <w:rFonts w:ascii="Calibri" w:hAnsi="Calibri"/>
        </w:rPr>
        <w:footnoteReference w:id="218"/>
      </w:r>
      <w:r w:rsidR="00612106" w:rsidRPr="005C3EC8">
        <w:rPr>
          <w:rFonts w:ascii="Calibri" w:hAnsi="Calibri"/>
        </w:rPr>
        <w:t xml:space="preserve"> </w:t>
      </w:r>
      <w:r w:rsidR="00593B78" w:rsidRPr="005C3EC8">
        <w:rPr>
          <w:rFonts w:ascii="Calibri" w:hAnsi="Calibri"/>
        </w:rPr>
        <w:t>The government webpage on PSC requirements</w:t>
      </w:r>
      <w:r w:rsidR="00593B78" w:rsidRPr="005C3EC8">
        <w:rPr>
          <w:rStyle w:val="FootnoteReference"/>
          <w:rFonts w:ascii="Calibri" w:hAnsi="Calibri"/>
        </w:rPr>
        <w:footnoteReference w:id="219"/>
      </w:r>
      <w:r w:rsidR="00593B78" w:rsidRPr="005C3EC8">
        <w:rPr>
          <w:rFonts w:ascii="Calibri" w:hAnsi="Calibri"/>
        </w:rPr>
        <w:t xml:space="preserve"> provides guidance for companies on compliance with the PSC disclosure requirements, as does t</w:t>
      </w:r>
      <w:r w:rsidR="00612106" w:rsidRPr="005C3EC8">
        <w:rPr>
          <w:rFonts w:ascii="Calibri" w:hAnsi="Calibri"/>
        </w:rPr>
        <w:t>he Department for BEIS.</w:t>
      </w:r>
      <w:r w:rsidR="00612106" w:rsidRPr="005C3EC8">
        <w:rPr>
          <w:rStyle w:val="FootnoteReference"/>
          <w:rFonts w:ascii="Calibri" w:hAnsi="Calibri"/>
        </w:rPr>
        <w:footnoteReference w:id="220"/>
      </w:r>
    </w:p>
    <w:p w14:paraId="733EF553" w14:textId="0A49BB8B" w:rsidR="00510F26" w:rsidRPr="005C3EC8" w:rsidRDefault="009C1396" w:rsidP="00510F26">
      <w:pPr>
        <w:spacing w:before="120"/>
        <w:rPr>
          <w:rFonts w:ascii="Calibri" w:hAnsi="Calibri"/>
        </w:rPr>
      </w:pPr>
      <w:r w:rsidRPr="005C3EC8">
        <w:rPr>
          <w:rFonts w:ascii="Calibri" w:hAnsi="Calibri"/>
        </w:rPr>
        <w:t>The UKEITI beneficial ownership roadmap to 2020 reaffirms the government’s commitment to beneficial ownership transparency</w:t>
      </w:r>
      <w:r w:rsidR="00F67808" w:rsidRPr="005C3EC8">
        <w:rPr>
          <w:rFonts w:ascii="Calibri" w:hAnsi="Calibri"/>
        </w:rPr>
        <w:t xml:space="preserve"> and sets out specific</w:t>
      </w:r>
      <w:r w:rsidR="0095683C" w:rsidRPr="005C3EC8">
        <w:rPr>
          <w:rFonts w:ascii="Calibri" w:hAnsi="Calibri"/>
        </w:rPr>
        <w:t xml:space="preserve"> activities in the 2017-20 period including reviews of </w:t>
      </w:r>
      <w:r w:rsidR="000350DE" w:rsidRPr="005C3EC8">
        <w:rPr>
          <w:rFonts w:ascii="Calibri" w:hAnsi="Calibri"/>
        </w:rPr>
        <w:t xml:space="preserve">reporting templates and quality assurances for </w:t>
      </w:r>
      <w:r w:rsidR="0095683C" w:rsidRPr="005C3EC8">
        <w:rPr>
          <w:rFonts w:ascii="Calibri" w:hAnsi="Calibri"/>
        </w:rPr>
        <w:t xml:space="preserve">beneficial ownership </w:t>
      </w:r>
      <w:r w:rsidR="000350DE" w:rsidRPr="005C3EC8">
        <w:rPr>
          <w:rFonts w:ascii="Calibri" w:hAnsi="Calibri"/>
        </w:rPr>
        <w:t>reporting</w:t>
      </w:r>
      <w:r w:rsidRPr="005C3EC8">
        <w:rPr>
          <w:rFonts w:ascii="Calibri" w:hAnsi="Calibri"/>
        </w:rPr>
        <w:t>.</w:t>
      </w:r>
      <w:r w:rsidRPr="005C3EC8">
        <w:rPr>
          <w:rStyle w:val="FootnoteReference"/>
          <w:rFonts w:ascii="Calibri" w:hAnsi="Calibri"/>
        </w:rPr>
        <w:footnoteReference w:id="221"/>
      </w:r>
      <w:r w:rsidR="006E3ED2" w:rsidRPr="005C3EC8">
        <w:rPr>
          <w:rFonts w:ascii="Calibri" w:hAnsi="Calibri"/>
        </w:rPr>
        <w:t xml:space="preserve"> The UKEITI has issued guidance for companies on beneficial ownership.</w:t>
      </w:r>
      <w:r w:rsidR="006E3ED2" w:rsidRPr="005C3EC8">
        <w:rPr>
          <w:rStyle w:val="FootnoteReference"/>
          <w:rFonts w:ascii="Calibri" w:hAnsi="Calibri"/>
        </w:rPr>
        <w:footnoteReference w:id="222"/>
      </w:r>
    </w:p>
    <w:p w14:paraId="67B28EB0" w14:textId="530A665B" w:rsidR="00A32AD6" w:rsidRPr="005C3EC8" w:rsidRDefault="00510F26" w:rsidP="00A32AD6">
      <w:pPr>
        <w:spacing w:before="120"/>
        <w:rPr>
          <w:rFonts w:ascii="Calibri" w:hAnsi="Calibri"/>
        </w:rPr>
      </w:pPr>
      <w:r w:rsidRPr="005C3EC8">
        <w:rPr>
          <w:rFonts w:ascii="Calibri" w:hAnsi="Calibri"/>
          <w:b/>
          <w:i/>
        </w:rPr>
        <w:t>2016 EITI Report</w:t>
      </w:r>
      <w:r w:rsidRPr="005C3EC8">
        <w:rPr>
          <w:rFonts w:ascii="Calibri" w:hAnsi="Calibri"/>
          <w:i/>
        </w:rPr>
        <w:t>:</w:t>
      </w:r>
      <w:r w:rsidRPr="005C3EC8">
        <w:rPr>
          <w:rFonts w:ascii="Calibri" w:hAnsi="Calibri"/>
        </w:rPr>
        <w:t xml:space="preserve"> </w:t>
      </w:r>
      <w:r w:rsidR="0064612B" w:rsidRPr="005C3EC8">
        <w:rPr>
          <w:rFonts w:ascii="Calibri" w:hAnsi="Calibri"/>
        </w:rPr>
        <w:t xml:space="preserve">The report confirms the alignment in the MSG’s approach with provisions of the Small Business, Enterprise and Employment Act 2015 that require companies incorporated in the UK from 30 June 2016 to submit information on PSCs along with a statement of confirmation (p.76). </w:t>
      </w:r>
      <w:r w:rsidR="00A32AD6" w:rsidRPr="005C3EC8">
        <w:rPr>
          <w:rFonts w:ascii="Calibri" w:hAnsi="Calibri"/>
        </w:rPr>
        <w:t xml:space="preserve">The report confirms the MSG’s approval </w:t>
      </w:r>
      <w:r w:rsidR="00002934" w:rsidRPr="005C3EC8">
        <w:rPr>
          <w:rFonts w:ascii="Calibri" w:hAnsi="Calibri"/>
        </w:rPr>
        <w:t xml:space="preserve">of and provides a link to the </w:t>
      </w:r>
      <w:r w:rsidR="00A32AD6" w:rsidRPr="005C3EC8">
        <w:rPr>
          <w:rFonts w:ascii="Calibri" w:hAnsi="Calibri"/>
        </w:rPr>
        <w:t xml:space="preserve">three-year </w:t>
      </w:r>
      <w:r w:rsidR="00002934" w:rsidRPr="005C3EC8">
        <w:rPr>
          <w:rFonts w:ascii="Calibri" w:hAnsi="Calibri"/>
        </w:rPr>
        <w:t xml:space="preserve">UKEITI </w:t>
      </w:r>
      <w:r w:rsidR="00A32AD6" w:rsidRPr="005C3EC8">
        <w:rPr>
          <w:rFonts w:ascii="Calibri" w:hAnsi="Calibri"/>
        </w:rPr>
        <w:t xml:space="preserve">roadmap for building a BO register (p.76). </w:t>
      </w:r>
    </w:p>
    <w:p w14:paraId="752C7111" w14:textId="1EF7D595" w:rsidR="0064612B" w:rsidRPr="005C3EC8" w:rsidRDefault="00F425D1" w:rsidP="00F425D1">
      <w:pPr>
        <w:spacing w:before="120"/>
        <w:rPr>
          <w:rFonts w:ascii="Calibri" w:hAnsi="Calibri"/>
          <w:b/>
          <w:bCs/>
        </w:rPr>
      </w:pPr>
      <w:r w:rsidRPr="005C3EC8">
        <w:rPr>
          <w:rFonts w:ascii="Calibri" w:hAnsi="Calibri"/>
          <w:b/>
          <w:i/>
          <w:u w:val="single"/>
        </w:rPr>
        <w:t>Actual practice</w:t>
      </w:r>
    </w:p>
    <w:p w14:paraId="61FA8339" w14:textId="2CCE3DF8" w:rsidR="00510F26" w:rsidRPr="005C3EC8" w:rsidRDefault="00510F26" w:rsidP="00510F26">
      <w:pPr>
        <w:spacing w:before="120"/>
        <w:rPr>
          <w:rFonts w:ascii="Calibri" w:hAnsi="Calibri"/>
        </w:rPr>
      </w:pPr>
      <w:r w:rsidRPr="005C3EC8">
        <w:rPr>
          <w:rFonts w:ascii="Calibri" w:hAnsi="Calibri"/>
          <w:b/>
          <w:i/>
        </w:rPr>
        <w:t>Systematic disclosures</w:t>
      </w:r>
      <w:r w:rsidRPr="005C3EC8">
        <w:rPr>
          <w:rFonts w:ascii="Calibri" w:hAnsi="Calibri"/>
          <w:i/>
        </w:rPr>
        <w:t xml:space="preserve">: </w:t>
      </w:r>
      <w:r w:rsidR="0072527C" w:rsidRPr="005C3EC8">
        <w:rPr>
          <w:rFonts w:ascii="Calibri" w:hAnsi="Calibri"/>
        </w:rPr>
        <w:t>The register of PSCs</w:t>
      </w:r>
      <w:r w:rsidR="0072527C" w:rsidRPr="005C3EC8">
        <w:rPr>
          <w:rStyle w:val="FootnoteReference"/>
          <w:rFonts w:ascii="Calibri" w:hAnsi="Calibri"/>
        </w:rPr>
        <w:footnoteReference w:id="223"/>
      </w:r>
      <w:r w:rsidR="0072527C" w:rsidRPr="005C3EC8">
        <w:rPr>
          <w:rFonts w:ascii="Calibri" w:hAnsi="Calibri"/>
        </w:rPr>
        <w:t xml:space="preserve"> has been established and made public since </w:t>
      </w:r>
      <w:r w:rsidR="0057296F" w:rsidRPr="005C3EC8">
        <w:rPr>
          <w:rFonts w:ascii="Calibri" w:hAnsi="Calibri"/>
        </w:rPr>
        <w:t>30 June 2016</w:t>
      </w:r>
      <w:r w:rsidR="0072527C" w:rsidRPr="005C3EC8">
        <w:rPr>
          <w:rFonts w:ascii="Calibri" w:hAnsi="Calibri"/>
        </w:rPr>
        <w:t>.</w:t>
      </w:r>
      <w:r w:rsidR="0057296F" w:rsidRPr="005C3EC8">
        <w:rPr>
          <w:rStyle w:val="FootnoteReference"/>
          <w:rFonts w:ascii="Calibri" w:hAnsi="Calibri"/>
        </w:rPr>
        <w:footnoteReference w:id="224"/>
      </w:r>
      <w:r w:rsidR="00D76FFC" w:rsidRPr="005C3EC8">
        <w:rPr>
          <w:rFonts w:ascii="Calibri" w:hAnsi="Calibri"/>
        </w:rPr>
        <w:t xml:space="preserve"> The Companies House register</w:t>
      </w:r>
      <w:r w:rsidR="00D76FFC" w:rsidRPr="005C3EC8">
        <w:rPr>
          <w:rStyle w:val="FootnoteReference"/>
          <w:rFonts w:ascii="Calibri" w:hAnsi="Calibri"/>
        </w:rPr>
        <w:footnoteReference w:id="225"/>
      </w:r>
      <w:r w:rsidR="00D76FFC" w:rsidRPr="005C3EC8">
        <w:rPr>
          <w:rFonts w:ascii="Calibri" w:hAnsi="Calibri"/>
        </w:rPr>
        <w:t xml:space="preserve"> </w:t>
      </w:r>
      <w:r w:rsidR="00024A61" w:rsidRPr="005C3EC8">
        <w:rPr>
          <w:rFonts w:ascii="Calibri" w:hAnsi="Calibri"/>
        </w:rPr>
        <w:t xml:space="preserve">also </w:t>
      </w:r>
      <w:r w:rsidR="00D76FFC" w:rsidRPr="005C3EC8">
        <w:rPr>
          <w:rFonts w:ascii="Calibri" w:hAnsi="Calibri"/>
        </w:rPr>
        <w:t xml:space="preserve">provides access to shareholder (legal ownership) information on all material companies in the UKEITI Reports. </w:t>
      </w:r>
    </w:p>
    <w:p w14:paraId="4026FA5F" w14:textId="21190C30" w:rsidR="006D016A" w:rsidRPr="005C3EC8" w:rsidRDefault="00510F26" w:rsidP="006D016A">
      <w:pPr>
        <w:spacing w:before="120"/>
        <w:rPr>
          <w:rFonts w:ascii="Calibri" w:hAnsi="Calibri"/>
        </w:rPr>
      </w:pPr>
      <w:r w:rsidRPr="005C3EC8">
        <w:rPr>
          <w:rFonts w:ascii="Calibri" w:hAnsi="Calibri"/>
          <w:b/>
          <w:i/>
        </w:rPr>
        <w:t>2016 EITI Report</w:t>
      </w:r>
      <w:r w:rsidRPr="005C3EC8">
        <w:rPr>
          <w:rFonts w:ascii="Calibri" w:hAnsi="Calibri"/>
          <w:i/>
        </w:rPr>
        <w:t>:</w:t>
      </w:r>
      <w:r w:rsidRPr="005C3EC8">
        <w:rPr>
          <w:rFonts w:ascii="Calibri" w:hAnsi="Calibri"/>
        </w:rPr>
        <w:t xml:space="preserve"> </w:t>
      </w:r>
      <w:r w:rsidR="00A32AD6" w:rsidRPr="005C3EC8">
        <w:rPr>
          <w:rFonts w:ascii="Calibri" w:hAnsi="Calibri"/>
        </w:rPr>
        <w:t>The report confirms the MSG’s agreement to incorporate BO disclosure from the first EITI Report and on an ongoing basis (p.76). The MSG allowed companies already filing in this way to simply confirm the link to the disclosure on the PSC register. For others, they were required to disclose BO above 25%. Listed companies were required to confirm their listed status (p.76).</w:t>
      </w:r>
      <w:r w:rsidR="00024A61" w:rsidRPr="005C3EC8">
        <w:rPr>
          <w:rFonts w:ascii="Calibri" w:hAnsi="Calibri"/>
        </w:rPr>
        <w:t xml:space="preserve"> </w:t>
      </w:r>
      <w:r w:rsidR="006D016A" w:rsidRPr="005C3EC8">
        <w:rPr>
          <w:rFonts w:ascii="Calibri" w:hAnsi="Calibri"/>
        </w:rPr>
        <w:t xml:space="preserve">For EITI reporting, privately-owned companies were also asked to disclose information on politically-exposed persons (p.76). </w:t>
      </w:r>
    </w:p>
    <w:p w14:paraId="02A9FF56" w14:textId="42DB157F" w:rsidR="0064612B" w:rsidRPr="005C3EC8" w:rsidRDefault="006D016A" w:rsidP="00F425D1">
      <w:pPr>
        <w:spacing w:before="120"/>
        <w:rPr>
          <w:rFonts w:ascii="Calibri" w:hAnsi="Calibri"/>
        </w:rPr>
      </w:pPr>
      <w:r w:rsidRPr="005C3EC8">
        <w:rPr>
          <w:rFonts w:ascii="Calibri" w:hAnsi="Calibri"/>
        </w:rPr>
        <w:t xml:space="preserve">Annex 1 provides two of 15 reporting companies’ reporting of BO information and confirmation that another 6 companies’ BO information is available from Companies House (p.84). The report confirms that no reporting companies disclosed any PEPs (p.84). The report provides disclosures of beneficial owners by reporting companies with 15 private companies responding, 8 of which provided relevant information or </w:t>
      </w:r>
      <w:r w:rsidRPr="005C3EC8">
        <w:rPr>
          <w:rFonts w:ascii="Calibri" w:hAnsi="Calibri"/>
        </w:rPr>
        <w:lastRenderedPageBreak/>
        <w:t>links, up from only 6 of 15 private companies providing material beneficial ownership information for 2015</w:t>
      </w:r>
      <w:r w:rsidR="00D86899" w:rsidRPr="005C3EC8">
        <w:rPr>
          <w:rFonts w:ascii="Calibri" w:hAnsi="Calibri"/>
        </w:rPr>
        <w:t xml:space="preserve"> (p.</w:t>
      </w:r>
      <w:r w:rsidRPr="005C3EC8">
        <w:rPr>
          <w:rFonts w:ascii="Calibri" w:hAnsi="Calibri"/>
        </w:rPr>
        <w:t>12).</w:t>
      </w:r>
    </w:p>
    <w:p w14:paraId="47BC60C1" w14:textId="77777777" w:rsidR="00247985" w:rsidRPr="005C3EC8" w:rsidRDefault="00247985">
      <w:pPr>
        <w:pStyle w:val="Heading3"/>
      </w:pPr>
      <w:r w:rsidRPr="005C3EC8">
        <w:t>Stakeholder views</w:t>
      </w:r>
    </w:p>
    <w:p w14:paraId="7637C28C" w14:textId="656D57D9" w:rsidR="00D45BF8" w:rsidRPr="005C3EC8" w:rsidRDefault="00195444" w:rsidP="003A4766">
      <w:pPr>
        <w:spacing w:before="120"/>
      </w:pPr>
      <w:r w:rsidRPr="005C3EC8">
        <w:rPr>
          <w:rFonts w:ascii="Calibri" w:hAnsi="Calibri"/>
          <w:bCs/>
        </w:rPr>
        <w:t xml:space="preserve">Several </w:t>
      </w:r>
      <w:r w:rsidRPr="005C3EC8">
        <w:t xml:space="preserve">CSN representatives consulted </w:t>
      </w:r>
      <w:r w:rsidR="00F757BF" w:rsidRPr="005C3EC8">
        <w:t xml:space="preserve">highlighted </w:t>
      </w:r>
      <w:r w:rsidR="00811298" w:rsidRPr="005C3EC8">
        <w:t>the UK’s commitment to making its beneficial owners</w:t>
      </w:r>
      <w:r w:rsidR="00F25DC6" w:rsidRPr="005C3EC8">
        <w:t>hip register</w:t>
      </w:r>
      <w:r w:rsidR="00811298" w:rsidRPr="005C3EC8">
        <w:t xml:space="preserve"> public as one of the early outcomes </w:t>
      </w:r>
      <w:r w:rsidR="00F757BF" w:rsidRPr="005C3EC8">
        <w:t xml:space="preserve">of </w:t>
      </w:r>
      <w:r w:rsidR="00811298" w:rsidRPr="005C3EC8">
        <w:t xml:space="preserve">the UK’s EITI implementation. </w:t>
      </w:r>
      <w:r w:rsidR="00D46B6D" w:rsidRPr="005C3EC8">
        <w:rPr>
          <w:rFonts w:ascii="Calibri" w:hAnsi="Calibri"/>
          <w:bCs/>
        </w:rPr>
        <w:t>Several civil society publications have highlighted the UK Government’s public commitment to introduce beneficial ownership reporting when it hosted the G8 Summit in June 2018 and its commitment to making the beneficial ownership register freely accessible to the public in October 2013</w:t>
      </w:r>
      <w:r w:rsidR="00D45BF8" w:rsidRPr="005C3EC8">
        <w:rPr>
          <w:rFonts w:ascii="Calibri" w:hAnsi="Calibri"/>
        </w:rPr>
        <w:t>.</w:t>
      </w:r>
      <w:r w:rsidR="00B43531" w:rsidRPr="005C3EC8">
        <w:rPr>
          <w:rStyle w:val="FootnoteReference"/>
          <w:rFonts w:ascii="Calibri" w:hAnsi="Calibri"/>
        </w:rPr>
        <w:footnoteReference w:id="226"/>
      </w:r>
      <w:r w:rsidR="00D46B6D" w:rsidRPr="005C3EC8">
        <w:rPr>
          <w:rFonts w:ascii="Calibri" w:hAnsi="Calibri"/>
        </w:rPr>
        <w:t xml:space="preserve"> CSOs including Open Ownership and Global Witness have welcomed the release of beneficial ownership informat</w:t>
      </w:r>
      <w:r w:rsidR="00DF7675" w:rsidRPr="005C3EC8">
        <w:rPr>
          <w:rFonts w:ascii="Calibri" w:hAnsi="Calibri"/>
        </w:rPr>
        <w:t>ion under an</w:t>
      </w:r>
      <w:r w:rsidR="00D46B6D" w:rsidRPr="005C3EC8">
        <w:rPr>
          <w:rFonts w:ascii="Calibri" w:hAnsi="Calibri"/>
        </w:rPr>
        <w:t xml:space="preserve"> open data license, rendering it available for reuse without restrictions</w:t>
      </w:r>
      <w:r w:rsidR="00E32BBB" w:rsidRPr="005C3EC8">
        <w:rPr>
          <w:rFonts w:ascii="Calibri" w:hAnsi="Calibri"/>
        </w:rPr>
        <w:t>.</w:t>
      </w:r>
      <w:r w:rsidR="00E32BBB" w:rsidRPr="005C3EC8">
        <w:rPr>
          <w:rStyle w:val="FootnoteReference"/>
          <w:rFonts w:ascii="Calibri" w:hAnsi="Calibri"/>
        </w:rPr>
        <w:footnoteReference w:id="227"/>
      </w:r>
      <w:r w:rsidR="00D46B6D" w:rsidRPr="005C3EC8">
        <w:rPr>
          <w:rFonts w:ascii="Calibri" w:hAnsi="Calibri"/>
        </w:rPr>
        <w:t xml:space="preserve"> </w:t>
      </w:r>
      <w:r w:rsidR="00E475E2" w:rsidRPr="005C3EC8">
        <w:rPr>
          <w:rFonts w:ascii="Calibri" w:hAnsi="Calibri"/>
        </w:rPr>
        <w:t>In November 2016</w:t>
      </w:r>
      <w:r w:rsidR="00DF7675" w:rsidRPr="005C3EC8">
        <w:rPr>
          <w:rFonts w:ascii="Calibri" w:hAnsi="Calibri"/>
        </w:rPr>
        <w:t>, a group of CSOs including</w:t>
      </w:r>
      <w:r w:rsidR="00E475E2" w:rsidRPr="005C3EC8">
        <w:rPr>
          <w:rFonts w:ascii="Calibri" w:hAnsi="Calibri"/>
        </w:rPr>
        <w:t xml:space="preserve"> Global Witness, </w:t>
      </w:r>
      <w:proofErr w:type="spellStart"/>
      <w:r w:rsidR="00E475E2" w:rsidRPr="005C3EC8">
        <w:rPr>
          <w:rFonts w:ascii="Calibri" w:hAnsi="Calibri"/>
        </w:rPr>
        <w:t>DataKind</w:t>
      </w:r>
      <w:proofErr w:type="spellEnd"/>
      <w:r w:rsidR="00E475E2" w:rsidRPr="005C3EC8">
        <w:rPr>
          <w:rFonts w:ascii="Calibri" w:hAnsi="Calibri"/>
        </w:rPr>
        <w:t xml:space="preserve"> UK, </w:t>
      </w:r>
      <w:proofErr w:type="spellStart"/>
      <w:r w:rsidR="00E475E2" w:rsidRPr="005C3EC8">
        <w:rPr>
          <w:rFonts w:ascii="Calibri" w:hAnsi="Calibri"/>
        </w:rPr>
        <w:t>OpenCorporates</w:t>
      </w:r>
      <w:proofErr w:type="spellEnd"/>
      <w:r w:rsidR="00E475E2" w:rsidRPr="005C3EC8">
        <w:rPr>
          <w:rFonts w:ascii="Calibri" w:hAnsi="Calibri"/>
        </w:rPr>
        <w:t xml:space="preserve">, Spend Network and </w:t>
      </w:r>
      <w:r w:rsidR="00DF7675" w:rsidRPr="005C3EC8">
        <w:rPr>
          <w:rFonts w:ascii="Calibri" w:hAnsi="Calibri"/>
        </w:rPr>
        <w:t>Organized Crime and Corruption Reporting Project (</w:t>
      </w:r>
      <w:r w:rsidR="00E475E2" w:rsidRPr="005C3EC8">
        <w:rPr>
          <w:rFonts w:ascii="Calibri" w:hAnsi="Calibri"/>
        </w:rPr>
        <w:t>OCCRP</w:t>
      </w:r>
      <w:r w:rsidR="00DF7675" w:rsidRPr="005C3EC8">
        <w:rPr>
          <w:rFonts w:ascii="Calibri" w:hAnsi="Calibri"/>
        </w:rPr>
        <w:t>)</w:t>
      </w:r>
      <w:r w:rsidR="00E475E2" w:rsidRPr="005C3EC8">
        <w:rPr>
          <w:rFonts w:ascii="Calibri" w:hAnsi="Calibri"/>
        </w:rPr>
        <w:t xml:space="preserve"> </w:t>
      </w:r>
      <w:r w:rsidR="00DF7675" w:rsidRPr="005C3EC8">
        <w:rPr>
          <w:rFonts w:ascii="Calibri" w:hAnsi="Calibri"/>
        </w:rPr>
        <w:t>undertook</w:t>
      </w:r>
      <w:r w:rsidR="00E475E2" w:rsidRPr="005C3EC8">
        <w:rPr>
          <w:rFonts w:ascii="Calibri" w:hAnsi="Calibri"/>
        </w:rPr>
        <w:t xml:space="preserve"> an initial analysis of the first 1.3</w:t>
      </w:r>
      <w:r w:rsidR="00DF7675" w:rsidRPr="005C3EC8">
        <w:rPr>
          <w:rFonts w:ascii="Calibri" w:hAnsi="Calibri"/>
        </w:rPr>
        <w:t xml:space="preserve">m </w:t>
      </w:r>
      <w:r w:rsidR="00E475E2" w:rsidRPr="005C3EC8">
        <w:rPr>
          <w:rFonts w:ascii="Calibri" w:hAnsi="Calibri"/>
        </w:rPr>
        <w:t xml:space="preserve">companies that submitted </w:t>
      </w:r>
      <w:r w:rsidR="00DF7675" w:rsidRPr="005C3EC8">
        <w:rPr>
          <w:rFonts w:ascii="Calibri" w:hAnsi="Calibri"/>
        </w:rPr>
        <w:t xml:space="preserve">beneficial </w:t>
      </w:r>
      <w:r w:rsidR="00E475E2" w:rsidRPr="005C3EC8">
        <w:rPr>
          <w:rFonts w:ascii="Calibri" w:hAnsi="Calibri"/>
        </w:rPr>
        <w:t xml:space="preserve">ownership data </w:t>
      </w:r>
      <w:r w:rsidR="00DF7675" w:rsidRPr="005C3EC8">
        <w:rPr>
          <w:rFonts w:ascii="Calibri" w:hAnsi="Calibri"/>
        </w:rPr>
        <w:t xml:space="preserve">in </w:t>
      </w:r>
      <w:r w:rsidR="00E475E2" w:rsidRPr="005C3EC8">
        <w:rPr>
          <w:rFonts w:ascii="Calibri" w:hAnsi="Calibri"/>
        </w:rPr>
        <w:t>the UK.</w:t>
      </w:r>
      <w:r w:rsidR="00E475E2" w:rsidRPr="005C3EC8">
        <w:rPr>
          <w:rStyle w:val="FootnoteReference"/>
          <w:rFonts w:ascii="Calibri" w:hAnsi="Calibri"/>
        </w:rPr>
        <w:footnoteReference w:id="228"/>
      </w:r>
      <w:r w:rsidR="00C7317D" w:rsidRPr="005C3EC8">
        <w:rPr>
          <w:rFonts w:ascii="Calibri" w:hAnsi="Calibri"/>
        </w:rPr>
        <w:t xml:space="preserve"> </w:t>
      </w:r>
      <w:r w:rsidR="00DF7675" w:rsidRPr="005C3EC8">
        <w:rPr>
          <w:rFonts w:ascii="Calibri" w:hAnsi="Calibri"/>
        </w:rPr>
        <w:t>The</w:t>
      </w:r>
      <w:r w:rsidR="00C7317D" w:rsidRPr="005C3EC8">
        <w:rPr>
          <w:rFonts w:ascii="Calibri" w:hAnsi="Calibri"/>
        </w:rPr>
        <w:t xml:space="preserve"> </w:t>
      </w:r>
      <w:r w:rsidR="00DF7675" w:rsidRPr="005C3EC8">
        <w:rPr>
          <w:rFonts w:ascii="Calibri" w:hAnsi="Calibri"/>
        </w:rPr>
        <w:t xml:space="preserve">review found gaps in beneficial ownership reporting, with </w:t>
      </w:r>
      <w:r w:rsidR="00C7317D" w:rsidRPr="005C3EC8">
        <w:rPr>
          <w:rFonts w:ascii="Calibri" w:hAnsi="Calibri"/>
        </w:rPr>
        <w:t xml:space="preserve">9,800 companies </w:t>
      </w:r>
      <w:r w:rsidR="00DF7675" w:rsidRPr="005C3EC8">
        <w:rPr>
          <w:rFonts w:ascii="Calibri" w:hAnsi="Calibri"/>
        </w:rPr>
        <w:t>reporting</w:t>
      </w:r>
      <w:r w:rsidR="00C7317D" w:rsidRPr="005C3EC8">
        <w:rPr>
          <w:rFonts w:ascii="Calibri" w:hAnsi="Calibri"/>
        </w:rPr>
        <w:t xml:space="preserve"> </w:t>
      </w:r>
      <w:r w:rsidR="00DF7675" w:rsidRPr="005C3EC8">
        <w:rPr>
          <w:rFonts w:ascii="Calibri" w:hAnsi="Calibri"/>
        </w:rPr>
        <w:t xml:space="preserve">a foreign company as </w:t>
      </w:r>
      <w:r w:rsidR="00C7317D" w:rsidRPr="005C3EC8">
        <w:rPr>
          <w:rFonts w:ascii="Calibri" w:hAnsi="Calibri"/>
        </w:rPr>
        <w:t>their beneficial owner</w:t>
      </w:r>
      <w:r w:rsidR="00DF7675" w:rsidRPr="005C3EC8">
        <w:rPr>
          <w:rFonts w:ascii="Calibri" w:hAnsi="Calibri"/>
        </w:rPr>
        <w:t>, of which</w:t>
      </w:r>
      <w:r w:rsidR="00C7317D" w:rsidRPr="005C3EC8">
        <w:rPr>
          <w:rFonts w:ascii="Calibri" w:hAnsi="Calibri"/>
        </w:rPr>
        <w:t xml:space="preserve"> 3,000 </w:t>
      </w:r>
      <w:r w:rsidR="00DF7675" w:rsidRPr="005C3EC8">
        <w:rPr>
          <w:rFonts w:ascii="Calibri" w:hAnsi="Calibri"/>
        </w:rPr>
        <w:t xml:space="preserve">included </w:t>
      </w:r>
      <w:r w:rsidR="00C7317D" w:rsidRPr="005C3EC8">
        <w:rPr>
          <w:rFonts w:ascii="Calibri" w:hAnsi="Calibri"/>
        </w:rPr>
        <w:t>companies with addresses in tax havens</w:t>
      </w:r>
      <w:r w:rsidR="00DF7675" w:rsidRPr="005C3EC8">
        <w:rPr>
          <w:rFonts w:ascii="Calibri" w:hAnsi="Calibri"/>
        </w:rPr>
        <w:t xml:space="preserve"> as the ultimate  owner</w:t>
      </w:r>
      <w:r w:rsidR="00C7317D" w:rsidRPr="005C3EC8">
        <w:rPr>
          <w:rFonts w:ascii="Calibri" w:hAnsi="Calibri"/>
        </w:rPr>
        <w:t>.</w:t>
      </w:r>
      <w:r w:rsidR="00EE7F50" w:rsidRPr="005C3EC8">
        <w:rPr>
          <w:rStyle w:val="FootnoteReference"/>
          <w:rFonts w:ascii="Calibri" w:hAnsi="Calibri"/>
        </w:rPr>
        <w:footnoteReference w:id="229"/>
      </w:r>
    </w:p>
    <w:p w14:paraId="6ED2FAD6" w14:textId="3DB2B034" w:rsidR="001E68AF" w:rsidRPr="005C3EC8" w:rsidRDefault="00F425D1">
      <w:pPr>
        <w:pStyle w:val="Heading3"/>
      </w:pPr>
      <w:bookmarkStart w:id="162" w:name="_Toc459133114"/>
      <w:bookmarkStart w:id="163" w:name="_Toc461803063"/>
      <w:r w:rsidRPr="005C3EC8">
        <w:t>Initial assessment</w:t>
      </w:r>
      <w:bookmarkEnd w:id="162"/>
      <w:bookmarkEnd w:id="163"/>
    </w:p>
    <w:p w14:paraId="1F0A45AF" w14:textId="1562CBF7" w:rsidR="00F425D1" w:rsidRPr="005C3EC8" w:rsidRDefault="00E0305D" w:rsidP="00F425D1">
      <w:pPr>
        <w:spacing w:before="120"/>
        <w:rPr>
          <w:rFonts w:ascii="Calibri" w:hAnsi="Calibri"/>
          <w:bCs/>
        </w:rPr>
      </w:pPr>
      <w:r w:rsidRPr="005C3EC8">
        <w:rPr>
          <w:rFonts w:ascii="Calibri" w:hAnsi="Calibri"/>
        </w:rPr>
        <w:t>Implementing countries are not yet required to address beneficial ownership and progress with this requirement does not yet have any implications for a country’s EITI status.</w:t>
      </w:r>
      <w:r w:rsidR="005275CE" w:rsidRPr="005C3EC8">
        <w:rPr>
          <w:rFonts w:ascii="Calibri" w:hAnsi="Calibri"/>
        </w:rPr>
        <w:t xml:space="preserve"> </w:t>
      </w:r>
      <w:r w:rsidR="00B07A0D" w:rsidRPr="005C3EC8">
        <w:rPr>
          <w:rFonts w:ascii="Calibri" w:hAnsi="Calibri"/>
          <w:bCs/>
        </w:rPr>
        <w:t xml:space="preserve">The UK Government has publicly stated its policy on beneficial ownership disclosure and has taken steps to establish a public beneficial ownership register. </w:t>
      </w:r>
      <w:r w:rsidR="008E73E3" w:rsidRPr="005C3EC8">
        <w:rPr>
          <w:rFonts w:ascii="Calibri" w:hAnsi="Calibri"/>
        </w:rPr>
        <w:t>In the International Secretariat’s view, the UK has gone beyond the minimum requirement in systematically disclosing all key information in accordance with Requirement 2.5.</w:t>
      </w:r>
    </w:p>
    <w:p w14:paraId="6372A00B" w14:textId="16307660" w:rsidR="00B07A0D" w:rsidRPr="005C3EC8" w:rsidRDefault="00B07A0D" w:rsidP="00F425D1">
      <w:pPr>
        <w:spacing w:before="120"/>
        <w:rPr>
          <w:rFonts w:ascii="Calibri" w:hAnsi="Calibri"/>
        </w:rPr>
      </w:pPr>
      <w:r w:rsidRPr="005C3EC8">
        <w:rPr>
          <w:rFonts w:ascii="Calibri" w:hAnsi="Calibri"/>
        </w:rPr>
        <w:t>To strengthen implementation, the UK may wish to consider using EITI reporting as an annual diagnostic of extractives companies’ beneficial ownership disclosures to the Companies House register</w:t>
      </w:r>
      <w:r w:rsidR="000264D5" w:rsidRPr="005C3EC8">
        <w:rPr>
          <w:rFonts w:ascii="Calibri" w:hAnsi="Calibri"/>
        </w:rPr>
        <w:t xml:space="preserve"> of persons with significant control (PSC)</w:t>
      </w:r>
      <w:r w:rsidRPr="005C3EC8">
        <w:rPr>
          <w:rFonts w:ascii="Calibri" w:hAnsi="Calibri"/>
        </w:rPr>
        <w:t xml:space="preserve">. </w:t>
      </w:r>
    </w:p>
    <w:p w14:paraId="74C2D78C" w14:textId="77777777" w:rsidR="00A441F1" w:rsidRPr="005C3EC8" w:rsidRDefault="000722F1" w:rsidP="0097728B">
      <w:pPr>
        <w:pStyle w:val="Heading2"/>
      </w:pPr>
      <w:bookmarkStart w:id="164" w:name="_Toc459133115"/>
      <w:bookmarkStart w:id="165" w:name="_Toc461803064"/>
      <w:bookmarkStart w:id="166" w:name="_Toc461787330"/>
      <w:bookmarkStart w:id="167" w:name="_Toc461795842"/>
      <w:bookmarkStart w:id="168" w:name="_Toc459133116"/>
      <w:r w:rsidRPr="005C3EC8">
        <w:t>S</w:t>
      </w:r>
      <w:r w:rsidR="00A029B7" w:rsidRPr="005C3EC8">
        <w:t xml:space="preserve">tate </w:t>
      </w:r>
      <w:r w:rsidR="00A441F1" w:rsidRPr="005C3EC8">
        <w:t>participation (#</w:t>
      </w:r>
      <w:r w:rsidR="00EE25D1" w:rsidRPr="005C3EC8">
        <w:t>2</w:t>
      </w:r>
      <w:r w:rsidR="00A441F1" w:rsidRPr="005C3EC8">
        <w:t>.6)</w:t>
      </w:r>
      <w:bookmarkEnd w:id="164"/>
      <w:bookmarkEnd w:id="165"/>
      <w:bookmarkEnd w:id="166"/>
      <w:bookmarkEnd w:id="167"/>
    </w:p>
    <w:bookmarkEnd w:id="168"/>
    <w:p w14:paraId="193F68B1" w14:textId="77777777" w:rsidR="00247985" w:rsidRPr="005C3EC8" w:rsidRDefault="00F425D1" w:rsidP="0097728B">
      <w:pPr>
        <w:pStyle w:val="Heading3"/>
      </w:pPr>
      <w:r w:rsidRPr="005C3EC8">
        <w:t>Documentation of progress</w:t>
      </w:r>
    </w:p>
    <w:p w14:paraId="5B964826" w14:textId="2A9AFB80" w:rsidR="00980632" w:rsidRPr="005C3EC8" w:rsidRDefault="00980632" w:rsidP="006251AB">
      <w:pPr>
        <w:spacing w:before="120"/>
        <w:rPr>
          <w:rFonts w:ascii="Calibri" w:hAnsi="Calibri"/>
        </w:rPr>
      </w:pPr>
      <w:r w:rsidRPr="005C3EC8">
        <w:rPr>
          <w:rFonts w:ascii="Calibri" w:hAnsi="Calibri"/>
          <w:b/>
          <w:i/>
        </w:rPr>
        <w:t>Systematic disclosures</w:t>
      </w:r>
      <w:r w:rsidRPr="005C3EC8">
        <w:rPr>
          <w:rFonts w:ascii="Calibri" w:hAnsi="Calibri"/>
          <w:i/>
        </w:rPr>
        <w:t xml:space="preserve">: </w:t>
      </w:r>
      <w:r w:rsidRPr="005C3EC8">
        <w:rPr>
          <w:rFonts w:ascii="Calibri" w:hAnsi="Calibri"/>
        </w:rPr>
        <w:t>Not applicable.</w:t>
      </w:r>
    </w:p>
    <w:p w14:paraId="64C15714" w14:textId="66B95CE8" w:rsidR="00C41977" w:rsidRPr="005C3EC8" w:rsidRDefault="00B07A0D" w:rsidP="006251AB">
      <w:pPr>
        <w:spacing w:before="120"/>
        <w:rPr>
          <w:rFonts w:ascii="Calibri" w:hAnsi="Calibri"/>
        </w:rPr>
      </w:pPr>
      <w:r w:rsidRPr="005C3EC8">
        <w:rPr>
          <w:rFonts w:ascii="Calibri" w:hAnsi="Calibri"/>
          <w:b/>
          <w:i/>
        </w:rPr>
        <w:t>2016 EITI Report</w:t>
      </w:r>
      <w:r w:rsidRPr="005C3EC8">
        <w:rPr>
          <w:rFonts w:ascii="Calibri" w:hAnsi="Calibri"/>
          <w:i/>
        </w:rPr>
        <w:t>:</w:t>
      </w:r>
      <w:r w:rsidRPr="005C3EC8">
        <w:rPr>
          <w:rFonts w:ascii="Calibri" w:hAnsi="Calibri"/>
        </w:rPr>
        <w:t xml:space="preserve"> </w:t>
      </w:r>
      <w:r w:rsidR="00F425D1" w:rsidRPr="005C3EC8">
        <w:rPr>
          <w:rFonts w:ascii="Calibri" w:hAnsi="Calibri"/>
          <w:i/>
          <w:u w:val="single"/>
        </w:rPr>
        <w:t>Materiality</w:t>
      </w:r>
      <w:r w:rsidR="00F425D1" w:rsidRPr="005C3EC8">
        <w:rPr>
          <w:rFonts w:ascii="Calibri" w:hAnsi="Calibri"/>
        </w:rPr>
        <w:t xml:space="preserve">: </w:t>
      </w:r>
      <w:r w:rsidR="00C41977" w:rsidRPr="005C3EC8">
        <w:rPr>
          <w:rFonts w:ascii="Calibri" w:hAnsi="Calibri"/>
        </w:rPr>
        <w:t xml:space="preserve">The </w:t>
      </w:r>
      <w:r w:rsidR="00677791" w:rsidRPr="005C3EC8">
        <w:rPr>
          <w:rFonts w:ascii="Calibri" w:hAnsi="Calibri"/>
        </w:rPr>
        <w:t>2016 EITI R</w:t>
      </w:r>
      <w:r w:rsidR="00C41977" w:rsidRPr="005C3EC8">
        <w:rPr>
          <w:rFonts w:ascii="Calibri" w:hAnsi="Calibri"/>
        </w:rPr>
        <w:t xml:space="preserve">eport confirms the lack of state participation in the extractive industries, although it notes that the government has funded acquisition and interpretation of </w:t>
      </w:r>
      <w:r w:rsidR="00C41977" w:rsidRPr="005C3EC8">
        <w:rPr>
          <w:rFonts w:ascii="Calibri" w:hAnsi="Calibri"/>
        </w:rPr>
        <w:lastRenderedPageBreak/>
        <w:t>seismic data through th</w:t>
      </w:r>
      <w:r w:rsidR="006251AB" w:rsidRPr="005C3EC8">
        <w:rPr>
          <w:rFonts w:ascii="Calibri" w:hAnsi="Calibri"/>
        </w:rPr>
        <w:t xml:space="preserve">e OGA (p.13). The report further clarifies that the </w:t>
      </w:r>
      <w:r w:rsidR="00C41977" w:rsidRPr="005C3EC8">
        <w:rPr>
          <w:rFonts w:ascii="Calibri" w:hAnsi="Calibri"/>
        </w:rPr>
        <w:t xml:space="preserve">OGA became a government-owned company in October 2016, structured as a not-for-profit company </w:t>
      </w:r>
      <w:r w:rsidR="006251AB" w:rsidRPr="005C3EC8">
        <w:rPr>
          <w:rFonts w:ascii="Calibri" w:hAnsi="Calibri"/>
        </w:rPr>
        <w:t xml:space="preserve">funded primarily </w:t>
      </w:r>
      <w:r w:rsidR="00C41977" w:rsidRPr="005C3EC8">
        <w:rPr>
          <w:rFonts w:ascii="Calibri" w:hAnsi="Calibri"/>
        </w:rPr>
        <w:t>by fees for specific activities and by a per-license levy</w:t>
      </w:r>
      <w:r w:rsidR="006251AB" w:rsidRPr="005C3EC8">
        <w:rPr>
          <w:rFonts w:ascii="Calibri" w:hAnsi="Calibri"/>
        </w:rPr>
        <w:t xml:space="preserve"> (the OGA levy)</w:t>
      </w:r>
      <w:r w:rsidR="00C41977" w:rsidRPr="005C3EC8">
        <w:rPr>
          <w:rFonts w:ascii="Calibri" w:hAnsi="Calibri"/>
        </w:rPr>
        <w:t xml:space="preserve"> (p.51). It notes that the OGA </w:t>
      </w:r>
      <w:r w:rsidR="006251AB" w:rsidRPr="005C3EC8">
        <w:rPr>
          <w:rFonts w:ascii="Calibri" w:hAnsi="Calibri"/>
        </w:rPr>
        <w:t xml:space="preserve">collected GBP 21.268m in 2016 calendar year, split </w:t>
      </w:r>
      <w:r w:rsidR="00C41977" w:rsidRPr="005C3EC8">
        <w:rPr>
          <w:rFonts w:ascii="Calibri" w:hAnsi="Calibri"/>
        </w:rPr>
        <w:t xml:space="preserve">89% </w:t>
      </w:r>
      <w:r w:rsidR="006251AB" w:rsidRPr="005C3EC8">
        <w:rPr>
          <w:rFonts w:ascii="Calibri" w:hAnsi="Calibri"/>
        </w:rPr>
        <w:t xml:space="preserve">from </w:t>
      </w:r>
      <w:r w:rsidR="00C41977" w:rsidRPr="005C3EC8">
        <w:rPr>
          <w:rFonts w:ascii="Calibri" w:hAnsi="Calibri"/>
        </w:rPr>
        <w:t xml:space="preserve">in-production companies and 11% </w:t>
      </w:r>
      <w:r w:rsidR="006251AB" w:rsidRPr="005C3EC8">
        <w:rPr>
          <w:rFonts w:ascii="Calibri" w:hAnsi="Calibri"/>
        </w:rPr>
        <w:t xml:space="preserve">from </w:t>
      </w:r>
      <w:r w:rsidR="00C41977" w:rsidRPr="005C3EC8">
        <w:rPr>
          <w:rFonts w:ascii="Calibri" w:hAnsi="Calibri"/>
        </w:rPr>
        <w:t xml:space="preserve">pre-production companies (p.51). </w:t>
      </w:r>
    </w:p>
    <w:p w14:paraId="382CBDAE" w14:textId="7AA7AD4F" w:rsidR="00C41977" w:rsidRPr="005C3EC8" w:rsidRDefault="00F425D1" w:rsidP="00405360">
      <w:pPr>
        <w:spacing w:before="120"/>
        <w:rPr>
          <w:rFonts w:ascii="Calibri" w:hAnsi="Calibri"/>
        </w:rPr>
      </w:pPr>
      <w:r w:rsidRPr="005C3EC8">
        <w:rPr>
          <w:rFonts w:ascii="Calibri" w:hAnsi="Calibri"/>
          <w:i/>
          <w:u w:val="single"/>
        </w:rPr>
        <w:t>Financial relationship with government</w:t>
      </w:r>
      <w:r w:rsidRPr="005C3EC8">
        <w:rPr>
          <w:rFonts w:ascii="Calibri" w:hAnsi="Calibri"/>
        </w:rPr>
        <w:t xml:space="preserve">: </w:t>
      </w:r>
      <w:r w:rsidR="00C41977" w:rsidRPr="005C3EC8">
        <w:rPr>
          <w:rFonts w:ascii="Calibri" w:hAnsi="Calibri"/>
        </w:rPr>
        <w:t>The report describes the OGA as a vested company with operational independence from Government</w:t>
      </w:r>
      <w:r w:rsidR="0070336D" w:rsidRPr="005C3EC8">
        <w:rPr>
          <w:rFonts w:ascii="Calibri" w:hAnsi="Calibri"/>
        </w:rPr>
        <w:t xml:space="preserve"> (p.68)</w:t>
      </w:r>
      <w:r w:rsidR="00C41977" w:rsidRPr="005C3EC8">
        <w:rPr>
          <w:rFonts w:ascii="Calibri" w:hAnsi="Calibri"/>
        </w:rPr>
        <w:t>. It confirms that the Secretary of State for Business, Energy and Industrial Strategy</w:t>
      </w:r>
      <w:r w:rsidR="0070336D" w:rsidRPr="005C3EC8">
        <w:rPr>
          <w:rFonts w:ascii="Calibri" w:hAnsi="Calibri"/>
        </w:rPr>
        <w:t xml:space="preserve"> (BEIS)</w:t>
      </w:r>
      <w:r w:rsidR="00C41977" w:rsidRPr="005C3EC8">
        <w:rPr>
          <w:rFonts w:ascii="Calibri" w:hAnsi="Calibri"/>
        </w:rPr>
        <w:t xml:space="preserve"> is ultimately responsible to Parliam</w:t>
      </w:r>
      <w:r w:rsidR="0070336D" w:rsidRPr="005C3EC8">
        <w:rPr>
          <w:rFonts w:ascii="Calibri" w:hAnsi="Calibri"/>
        </w:rPr>
        <w:t>ent for the OGA, while the OGA Board o</w:t>
      </w:r>
      <w:r w:rsidR="00C41977" w:rsidRPr="005C3EC8">
        <w:rPr>
          <w:rFonts w:ascii="Calibri" w:hAnsi="Calibri"/>
        </w:rPr>
        <w:t xml:space="preserve">f Directors is accountable to the Secretary of State for </w:t>
      </w:r>
      <w:r w:rsidR="0070336D" w:rsidRPr="005C3EC8">
        <w:rPr>
          <w:rFonts w:ascii="Calibri" w:hAnsi="Calibri"/>
        </w:rPr>
        <w:t>BEIS</w:t>
      </w:r>
      <w:r w:rsidR="00C41977" w:rsidRPr="005C3EC8">
        <w:rPr>
          <w:rFonts w:ascii="Calibri" w:hAnsi="Calibri"/>
        </w:rPr>
        <w:t xml:space="preserve">. </w:t>
      </w:r>
      <w:r w:rsidR="0070336D" w:rsidRPr="005C3EC8">
        <w:rPr>
          <w:rFonts w:ascii="Calibri" w:hAnsi="Calibri"/>
        </w:rPr>
        <w:t xml:space="preserve">The report </w:t>
      </w:r>
      <w:r w:rsidR="00C41977" w:rsidRPr="005C3EC8">
        <w:rPr>
          <w:rFonts w:ascii="Calibri" w:hAnsi="Calibri"/>
        </w:rPr>
        <w:t xml:space="preserve">further </w:t>
      </w:r>
      <w:r w:rsidR="0070336D" w:rsidRPr="005C3EC8">
        <w:rPr>
          <w:rFonts w:ascii="Calibri" w:hAnsi="Calibri"/>
        </w:rPr>
        <w:t xml:space="preserve">explains that </w:t>
      </w:r>
      <w:r w:rsidR="00C03EFD" w:rsidRPr="005C3EC8">
        <w:rPr>
          <w:rFonts w:ascii="Calibri" w:hAnsi="Calibri"/>
          <w:bCs/>
        </w:rPr>
        <w:t>t</w:t>
      </w:r>
      <w:r w:rsidR="00C41977" w:rsidRPr="005C3EC8">
        <w:rPr>
          <w:rFonts w:ascii="Calibri" w:hAnsi="Calibri"/>
        </w:rPr>
        <w:t xml:space="preserve">he Permanent Secretary of the Department for </w:t>
      </w:r>
      <w:r w:rsidR="00C03EFD" w:rsidRPr="005C3EC8">
        <w:rPr>
          <w:rFonts w:ascii="Calibri" w:hAnsi="Calibri"/>
        </w:rPr>
        <w:t>BEIS</w:t>
      </w:r>
      <w:r w:rsidR="00C41977" w:rsidRPr="005C3EC8">
        <w:rPr>
          <w:rFonts w:ascii="Calibri" w:hAnsi="Calibri"/>
        </w:rPr>
        <w:t xml:space="preserve"> is the </w:t>
      </w:r>
      <w:r w:rsidR="00C03EFD" w:rsidRPr="005C3EC8">
        <w:rPr>
          <w:rFonts w:ascii="Calibri" w:hAnsi="Calibri"/>
        </w:rPr>
        <w:t xml:space="preserve">OGA’s </w:t>
      </w:r>
      <w:r w:rsidR="00C41977" w:rsidRPr="005C3EC8">
        <w:rPr>
          <w:rFonts w:ascii="Calibri" w:hAnsi="Calibri"/>
        </w:rPr>
        <w:t>Principal Accounting Officer and is responsible to Parliament f</w:t>
      </w:r>
      <w:r w:rsidR="00C03EFD" w:rsidRPr="005C3EC8">
        <w:rPr>
          <w:rFonts w:ascii="Calibri" w:hAnsi="Calibri"/>
        </w:rPr>
        <w:t>or any grant funding of the OGA. It explains that</w:t>
      </w:r>
      <w:r w:rsidR="00C41977" w:rsidRPr="005C3EC8">
        <w:rPr>
          <w:rFonts w:ascii="Calibri" w:hAnsi="Calibri"/>
        </w:rPr>
        <w:t xml:space="preserve"> the OGA’s Chief Executive is responsible to the Permanent Secretary</w:t>
      </w:r>
      <w:r w:rsidR="00C03EFD" w:rsidRPr="005C3EC8">
        <w:rPr>
          <w:rFonts w:ascii="Calibri" w:hAnsi="Calibri"/>
        </w:rPr>
        <w:t xml:space="preserve"> and that the </w:t>
      </w:r>
      <w:r w:rsidR="00C41977" w:rsidRPr="005C3EC8">
        <w:rPr>
          <w:rFonts w:ascii="Calibri" w:hAnsi="Calibri"/>
        </w:rPr>
        <w:t xml:space="preserve">OGA’s Annual Report and Accounts are approved by the Board of Directors and the </w:t>
      </w:r>
      <w:r w:rsidR="00C03EFD" w:rsidRPr="005C3EC8">
        <w:rPr>
          <w:rFonts w:ascii="Calibri" w:hAnsi="Calibri"/>
        </w:rPr>
        <w:t>Secretary of State</w:t>
      </w:r>
      <w:r w:rsidR="00C41977" w:rsidRPr="005C3EC8">
        <w:rPr>
          <w:rFonts w:ascii="Calibri" w:hAnsi="Calibri"/>
        </w:rPr>
        <w:t xml:space="preserve"> (p.68)</w:t>
      </w:r>
      <w:r w:rsidR="00DB6E59" w:rsidRPr="005C3EC8">
        <w:rPr>
          <w:rFonts w:ascii="Calibri" w:hAnsi="Calibri"/>
        </w:rPr>
        <w:t xml:space="preserve">. </w:t>
      </w:r>
    </w:p>
    <w:p w14:paraId="5241595F" w14:textId="39548BB6" w:rsidR="000F22E1" w:rsidRPr="005C3EC8" w:rsidRDefault="000F22E1" w:rsidP="00405360">
      <w:pPr>
        <w:spacing w:before="120"/>
        <w:rPr>
          <w:rFonts w:ascii="Calibri" w:hAnsi="Calibri"/>
        </w:rPr>
      </w:pPr>
      <w:r w:rsidRPr="005C3EC8">
        <w:rPr>
          <w:rFonts w:ascii="Calibri" w:hAnsi="Calibri"/>
        </w:rPr>
        <w:t xml:space="preserve">The report describes the prohibition of retained earnings by the OGA, by explaining that the rate of the OGA levy is set by statutory instrument approved by Parliament and that any revenues in excess of the OGA’s expenditures is repaid to levy-paying companies (p.68). </w:t>
      </w:r>
    </w:p>
    <w:p w14:paraId="0418F762" w14:textId="5079FA07" w:rsidR="00C41977" w:rsidRPr="005C3EC8" w:rsidRDefault="00F425D1" w:rsidP="00405360">
      <w:pPr>
        <w:spacing w:before="120"/>
        <w:rPr>
          <w:rFonts w:ascii="Calibri" w:hAnsi="Calibri"/>
          <w:bCs/>
        </w:rPr>
      </w:pPr>
      <w:r w:rsidRPr="005C3EC8">
        <w:rPr>
          <w:rFonts w:ascii="Calibri" w:hAnsi="Calibri"/>
          <w:i/>
          <w:u w:val="single"/>
        </w:rPr>
        <w:t>Government ownership</w:t>
      </w:r>
      <w:r w:rsidRPr="005C3EC8">
        <w:rPr>
          <w:rFonts w:ascii="Calibri" w:hAnsi="Calibri"/>
        </w:rPr>
        <w:t xml:space="preserve">: </w:t>
      </w:r>
      <w:r w:rsidR="00C41977" w:rsidRPr="005C3EC8">
        <w:rPr>
          <w:rFonts w:ascii="Calibri" w:hAnsi="Calibri"/>
        </w:rPr>
        <w:t xml:space="preserve">The report confirms that the Secretary of State for </w:t>
      </w:r>
      <w:r w:rsidR="00D87454" w:rsidRPr="005C3EC8">
        <w:rPr>
          <w:rFonts w:ascii="Calibri" w:hAnsi="Calibri"/>
        </w:rPr>
        <w:t xml:space="preserve">BEIS </w:t>
      </w:r>
      <w:r w:rsidR="00C41977" w:rsidRPr="005C3EC8">
        <w:rPr>
          <w:rFonts w:ascii="Calibri" w:hAnsi="Calibri"/>
        </w:rPr>
        <w:t xml:space="preserve">is the </w:t>
      </w:r>
      <w:r w:rsidR="00D87454" w:rsidRPr="005C3EC8">
        <w:rPr>
          <w:rFonts w:ascii="Calibri" w:hAnsi="Calibri"/>
        </w:rPr>
        <w:t xml:space="preserve">OGA’s </w:t>
      </w:r>
      <w:r w:rsidR="00C41977" w:rsidRPr="005C3EC8">
        <w:rPr>
          <w:rFonts w:ascii="Calibri" w:hAnsi="Calibri"/>
        </w:rPr>
        <w:t xml:space="preserve">sole shareholder </w:t>
      </w:r>
      <w:r w:rsidR="00D87454" w:rsidRPr="005C3EC8">
        <w:rPr>
          <w:rFonts w:ascii="Calibri" w:hAnsi="Calibri"/>
        </w:rPr>
        <w:t>(p.68), but does not comment on whether the OGA had any interests in subsidiaries</w:t>
      </w:r>
      <w:r w:rsidR="00C41977" w:rsidRPr="005C3EC8">
        <w:rPr>
          <w:rFonts w:ascii="Calibri" w:hAnsi="Calibri"/>
        </w:rPr>
        <w:t xml:space="preserve"> </w:t>
      </w:r>
      <w:r w:rsidR="00D87454" w:rsidRPr="005C3EC8">
        <w:rPr>
          <w:rFonts w:ascii="Calibri" w:hAnsi="Calibri"/>
        </w:rPr>
        <w:t xml:space="preserve">beyond confirming that there is no state participation in the extractive industries (p.13). </w:t>
      </w:r>
    </w:p>
    <w:p w14:paraId="0D5A4D53" w14:textId="3C8E653F" w:rsidR="00841A72" w:rsidRPr="005C3EC8" w:rsidRDefault="003C66EB" w:rsidP="00405360">
      <w:pPr>
        <w:spacing w:before="120"/>
        <w:rPr>
          <w:rFonts w:ascii="Calibri" w:hAnsi="Calibri"/>
        </w:rPr>
      </w:pPr>
      <w:r w:rsidRPr="005C3EC8">
        <w:rPr>
          <w:rFonts w:ascii="Calibri" w:hAnsi="Calibri"/>
          <w:i/>
          <w:u w:val="single"/>
        </w:rPr>
        <w:t>Ownership changes</w:t>
      </w:r>
      <w:r w:rsidRPr="005C3EC8">
        <w:rPr>
          <w:rFonts w:ascii="Calibri" w:hAnsi="Calibri"/>
        </w:rPr>
        <w:t xml:space="preserve">: </w:t>
      </w:r>
      <w:r w:rsidR="00D87454" w:rsidRPr="005C3EC8">
        <w:rPr>
          <w:rFonts w:ascii="Calibri" w:hAnsi="Calibri"/>
        </w:rPr>
        <w:t>The report confirms that the OGA was established as a not-for-profit government-owned company in October 2016</w:t>
      </w:r>
      <w:r w:rsidR="00C479B8" w:rsidRPr="005C3EC8">
        <w:rPr>
          <w:rFonts w:ascii="Calibri" w:hAnsi="Calibri"/>
        </w:rPr>
        <w:t>, converted from an Executive Agency of the DECC</w:t>
      </w:r>
      <w:r w:rsidR="00D87454" w:rsidRPr="005C3EC8">
        <w:rPr>
          <w:rFonts w:ascii="Calibri" w:hAnsi="Calibri"/>
        </w:rPr>
        <w:t xml:space="preserve"> (p.51)</w:t>
      </w:r>
    </w:p>
    <w:p w14:paraId="6A79C1EB" w14:textId="661012D0" w:rsidR="00F425D1" w:rsidRPr="005C3EC8" w:rsidRDefault="00F425D1" w:rsidP="00405360">
      <w:pPr>
        <w:spacing w:before="120"/>
        <w:rPr>
          <w:rFonts w:ascii="Calibri" w:hAnsi="Calibri"/>
        </w:rPr>
      </w:pPr>
      <w:r w:rsidRPr="005C3EC8">
        <w:rPr>
          <w:rFonts w:ascii="Calibri" w:hAnsi="Calibri"/>
          <w:i/>
          <w:u w:val="single"/>
        </w:rPr>
        <w:t>Loans and guarantees</w:t>
      </w:r>
      <w:r w:rsidRPr="005C3EC8">
        <w:rPr>
          <w:rFonts w:ascii="Calibri" w:hAnsi="Calibri"/>
        </w:rPr>
        <w:t xml:space="preserve">: </w:t>
      </w:r>
      <w:r w:rsidR="002A286A" w:rsidRPr="005C3EC8">
        <w:rPr>
          <w:rFonts w:ascii="Calibri" w:hAnsi="Calibri"/>
        </w:rPr>
        <w:t>The report does not comment on the existence of any outstanding loans or guarantees from the state or OGA to any extractives company in 2016, aside from stating that there is no state participation in the extractive industries aside from the OGA’s funding of acquisition and interpretation of seismic data, described as a “benefit to industry” (p.13)</w:t>
      </w:r>
      <w:r w:rsidR="00904346" w:rsidRPr="005C3EC8">
        <w:rPr>
          <w:rFonts w:ascii="Calibri" w:hAnsi="Calibri"/>
        </w:rPr>
        <w:t xml:space="preserve"> (</w:t>
      </w:r>
      <w:r w:rsidR="00904346" w:rsidRPr="005C3EC8">
        <w:rPr>
          <w:rFonts w:ascii="Calibri" w:hAnsi="Calibri"/>
          <w:i/>
        </w:rPr>
        <w:t>see Requirement 6.2</w:t>
      </w:r>
      <w:r w:rsidR="002A286A" w:rsidRPr="005C3EC8">
        <w:rPr>
          <w:rFonts w:ascii="Calibri" w:hAnsi="Calibri"/>
        </w:rPr>
        <w:t xml:space="preserve">). </w:t>
      </w:r>
    </w:p>
    <w:p w14:paraId="72838168" w14:textId="77777777" w:rsidR="00247985" w:rsidRPr="005C3EC8" w:rsidRDefault="00F425D1">
      <w:pPr>
        <w:pStyle w:val="Heading3"/>
      </w:pPr>
      <w:r w:rsidRPr="005C3EC8">
        <w:t>Stakeholder views</w:t>
      </w:r>
    </w:p>
    <w:p w14:paraId="4216C987" w14:textId="5CA34401" w:rsidR="00F425D1" w:rsidRPr="005C3EC8" w:rsidRDefault="00E46D40" w:rsidP="00F425D1">
      <w:pPr>
        <w:spacing w:before="120"/>
        <w:rPr>
          <w:rFonts w:ascii="Calibri" w:hAnsi="Calibri"/>
        </w:rPr>
      </w:pPr>
      <w:r w:rsidRPr="005C3EC8">
        <w:rPr>
          <w:rFonts w:ascii="Calibri" w:hAnsi="Calibri"/>
          <w:bCs/>
        </w:rPr>
        <w:t xml:space="preserve">There was consensus among stakeholders consulted that the OGA was not considered a SOE for the purposes of EITI reporting, but rather an independent and self-funded industry regulator. </w:t>
      </w:r>
      <w:r w:rsidR="00FF1FCC" w:rsidRPr="005C3EC8">
        <w:rPr>
          <w:rFonts w:ascii="Calibri" w:hAnsi="Calibri"/>
          <w:bCs/>
        </w:rPr>
        <w:t xml:space="preserve">None of the stakeholders consulted considered the EITI Requirements related to SOEs to be applicable in the UK context. </w:t>
      </w:r>
    </w:p>
    <w:p w14:paraId="02E146AB" w14:textId="297AFBC2" w:rsidR="00AA51C4" w:rsidRPr="005C3EC8" w:rsidRDefault="00AA51C4" w:rsidP="00AA51C4">
      <w:pPr>
        <w:pStyle w:val="Heading3"/>
      </w:pPr>
      <w:bookmarkStart w:id="169" w:name="_Toc459133118"/>
      <w:bookmarkStart w:id="170" w:name="_Toc461803067"/>
      <w:r w:rsidRPr="005C3EC8">
        <w:t>Initial assessment</w:t>
      </w:r>
    </w:p>
    <w:bookmarkEnd w:id="169"/>
    <w:bookmarkEnd w:id="170"/>
    <w:p w14:paraId="428508C4" w14:textId="6B8C400D" w:rsidR="00586DB8" w:rsidRPr="005C3EC8" w:rsidRDefault="00E95D7D" w:rsidP="002D5742">
      <w:pPr>
        <w:spacing w:before="120"/>
        <w:rPr>
          <w:rFonts w:ascii="Calibri" w:hAnsi="Calibri"/>
        </w:rPr>
      </w:pPr>
      <w:r w:rsidRPr="005C3EC8">
        <w:rPr>
          <w:rFonts w:ascii="Calibri" w:hAnsi="Calibri"/>
          <w:bCs/>
        </w:rPr>
        <w:t>T</w:t>
      </w:r>
      <w:r w:rsidR="000F22E1" w:rsidRPr="005C3EC8">
        <w:rPr>
          <w:rFonts w:ascii="Calibri" w:hAnsi="Calibri"/>
        </w:rPr>
        <w:t>he International Secretariat’s initial assessment is that</w:t>
      </w:r>
      <w:r w:rsidR="00097197" w:rsidRPr="005C3EC8">
        <w:rPr>
          <w:rFonts w:ascii="Calibri" w:hAnsi="Calibri"/>
          <w:bCs/>
        </w:rPr>
        <w:t xml:space="preserve"> the requirement was not applicable to the UK in 2016. </w:t>
      </w:r>
      <w:r w:rsidR="002D5742" w:rsidRPr="005C3EC8">
        <w:rPr>
          <w:rFonts w:ascii="Calibri" w:hAnsi="Calibri"/>
        </w:rPr>
        <w:t>Requirement 2.6 is applicable “</w:t>
      </w:r>
      <w:r w:rsidR="002D5742" w:rsidRPr="005C3EC8">
        <w:rPr>
          <w:rFonts w:ascii="Calibri" w:hAnsi="Calibri"/>
          <w:i/>
        </w:rPr>
        <w:t>where state participation in the extractive industries gives rise to material revenue payments</w:t>
      </w:r>
      <w:r w:rsidR="002D5742" w:rsidRPr="005C3EC8">
        <w:rPr>
          <w:rFonts w:ascii="Calibri" w:hAnsi="Calibri"/>
        </w:rPr>
        <w:t>”, without explicitly defining state participation only in terms of state ownership</w:t>
      </w:r>
      <w:r w:rsidR="00097197" w:rsidRPr="005C3EC8">
        <w:rPr>
          <w:rFonts w:ascii="Calibri" w:hAnsi="Calibri"/>
        </w:rPr>
        <w:t xml:space="preserve"> of extractives equity</w:t>
      </w:r>
      <w:r w:rsidR="002D5742" w:rsidRPr="005C3EC8">
        <w:rPr>
          <w:rFonts w:ascii="Calibri" w:hAnsi="Calibri"/>
        </w:rPr>
        <w:t xml:space="preserve">. </w:t>
      </w:r>
      <w:r w:rsidR="009D0942" w:rsidRPr="005C3EC8">
        <w:rPr>
          <w:rFonts w:ascii="Calibri" w:hAnsi="Calibri"/>
        </w:rPr>
        <w:t xml:space="preserve">All of the UK’s EITI Reports confirm that there is no state participation in </w:t>
      </w:r>
      <w:r w:rsidR="009D0942" w:rsidRPr="005C3EC8">
        <w:rPr>
          <w:rFonts w:ascii="Calibri" w:hAnsi="Calibri"/>
        </w:rPr>
        <w:lastRenderedPageBreak/>
        <w:t xml:space="preserve">the extractive industries and that Requirement 2.6 is not applicable in the UK context. </w:t>
      </w:r>
      <w:r w:rsidR="00097197" w:rsidRPr="005C3EC8">
        <w:rPr>
          <w:rFonts w:ascii="Calibri" w:hAnsi="Calibri"/>
        </w:rPr>
        <w:t xml:space="preserve">The UK established the OGA as a not-for-profit government-owned company in October 2016, a self-funded autonomous regulator. The OGA does not hold equity in the extractive industries and is not entitled to participate in or retain revenues from the extractive industries it regulates. While revenues collected by the OGA are material and retained from the national budget to fund the </w:t>
      </w:r>
      <w:r w:rsidRPr="005C3EC8">
        <w:rPr>
          <w:rFonts w:ascii="Calibri" w:hAnsi="Calibri"/>
        </w:rPr>
        <w:t>independent</w:t>
      </w:r>
      <w:r w:rsidR="00097197" w:rsidRPr="005C3EC8">
        <w:rPr>
          <w:rFonts w:ascii="Calibri" w:hAnsi="Calibri"/>
        </w:rPr>
        <w:t xml:space="preserve"> regulator</w:t>
      </w:r>
      <w:r w:rsidR="00260C14" w:rsidRPr="005C3EC8">
        <w:rPr>
          <w:rFonts w:ascii="Calibri" w:hAnsi="Calibri"/>
        </w:rPr>
        <w:t xml:space="preserve">, the 2016 EITI Report has adequately disclosed and reconciled OGA levy payments and provided a link to where the management of the OGA’s funds is described </w:t>
      </w:r>
      <w:r w:rsidRPr="005C3EC8">
        <w:rPr>
          <w:rFonts w:ascii="Calibri" w:hAnsi="Calibri"/>
        </w:rPr>
        <w:t>(</w:t>
      </w:r>
      <w:r w:rsidRPr="005C3EC8">
        <w:rPr>
          <w:rFonts w:ascii="Calibri" w:hAnsi="Calibri"/>
          <w:i/>
        </w:rPr>
        <w:t>see</w:t>
      </w:r>
      <w:r w:rsidR="00586DB8" w:rsidRPr="005C3EC8">
        <w:rPr>
          <w:rFonts w:ascii="Calibri" w:hAnsi="Calibri"/>
          <w:i/>
        </w:rPr>
        <w:t xml:space="preserve"> Requirements 4.1 and 5.1</w:t>
      </w:r>
      <w:r w:rsidRPr="005C3EC8">
        <w:rPr>
          <w:rFonts w:ascii="Calibri" w:hAnsi="Calibri"/>
        </w:rPr>
        <w:t>)</w:t>
      </w:r>
      <w:r w:rsidR="00586DB8" w:rsidRPr="005C3EC8">
        <w:rPr>
          <w:rFonts w:ascii="Calibri" w:hAnsi="Calibri"/>
        </w:rPr>
        <w:t xml:space="preserve">. </w:t>
      </w:r>
    </w:p>
    <w:p w14:paraId="203001F7" w14:textId="77777777" w:rsidR="009D0942" w:rsidRPr="005C3EC8" w:rsidRDefault="009D0942" w:rsidP="009D0942"/>
    <w:p w14:paraId="49DF4EF6" w14:textId="1173BD40" w:rsidR="00D47A3F" w:rsidRPr="005C3EC8" w:rsidRDefault="0045114B" w:rsidP="007906D4">
      <w:pPr>
        <w:pStyle w:val="Caption"/>
        <w:rPr>
          <w:rFonts w:ascii="Calibri" w:hAnsi="Calibri"/>
          <w:i/>
          <w:color w:val="000000"/>
        </w:rPr>
      </w:pPr>
      <w:bookmarkStart w:id="171" w:name="_Toc485385503"/>
      <w:r w:rsidRPr="005C3EC8">
        <w:t xml:space="preserve">Table </w:t>
      </w:r>
      <w:r w:rsidR="000047B5">
        <w:fldChar w:fldCharType="begin"/>
      </w:r>
      <w:r w:rsidR="000047B5">
        <w:instrText xml:space="preserve"> SEQ Table \* ARABIC </w:instrText>
      </w:r>
      <w:r w:rsidR="000047B5">
        <w:fldChar w:fldCharType="separate"/>
      </w:r>
      <w:r w:rsidR="0083320D" w:rsidRPr="005C3EC8">
        <w:t>2</w:t>
      </w:r>
      <w:r w:rsidR="000047B5">
        <w:fldChar w:fldCharType="end"/>
      </w:r>
      <w:r w:rsidR="000722F1" w:rsidRPr="005C3EC8">
        <w:rPr>
          <w:color w:val="000000"/>
        </w:rPr>
        <w:t xml:space="preserve">- </w:t>
      </w:r>
      <w:r w:rsidR="000722F1" w:rsidRPr="005C3EC8">
        <w:rPr>
          <w:rFonts w:eastAsia="Calibri"/>
        </w:rPr>
        <w:t xml:space="preserve">Summary </w:t>
      </w:r>
      <w:r w:rsidR="002215D2" w:rsidRPr="005C3EC8">
        <w:rPr>
          <w:rFonts w:eastAsia="Calibri"/>
        </w:rPr>
        <w:t xml:space="preserve">initial </w:t>
      </w:r>
      <w:r w:rsidR="000722F1" w:rsidRPr="005C3EC8">
        <w:rPr>
          <w:rFonts w:eastAsia="Calibri"/>
        </w:rPr>
        <w:t>assessment table: Award of contracts and licenses</w:t>
      </w:r>
      <w:bookmarkEnd w:id="17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4313"/>
        <w:gridCol w:w="2556"/>
      </w:tblGrid>
      <w:tr w:rsidR="00601017" w:rsidRPr="005C3EC8" w14:paraId="242C0E3A" w14:textId="77777777" w:rsidTr="009D0942">
        <w:trPr>
          <w:trHeight w:val="675"/>
        </w:trPr>
        <w:tc>
          <w:tcPr>
            <w:tcW w:w="2254" w:type="dxa"/>
            <w:shd w:val="clear" w:color="auto" w:fill="D9D9D9"/>
            <w:vAlign w:val="center"/>
          </w:tcPr>
          <w:p w14:paraId="16E5105B" w14:textId="77777777" w:rsidR="00601017" w:rsidRPr="005C3EC8" w:rsidRDefault="00601017" w:rsidP="00E03D03">
            <w:pPr>
              <w:pStyle w:val="Tabletext"/>
              <w:rPr>
                <w:b/>
                <w:lang w:val="en-GB"/>
              </w:rPr>
            </w:pPr>
            <w:r w:rsidRPr="005C3EC8">
              <w:rPr>
                <w:b/>
                <w:lang w:val="en-GB"/>
              </w:rPr>
              <w:t>EITI provisions</w:t>
            </w:r>
          </w:p>
        </w:tc>
        <w:tc>
          <w:tcPr>
            <w:tcW w:w="4863" w:type="dxa"/>
            <w:shd w:val="clear" w:color="auto" w:fill="D9D9D9"/>
            <w:vAlign w:val="center"/>
          </w:tcPr>
          <w:p w14:paraId="6CB1367E" w14:textId="77777777" w:rsidR="00601017" w:rsidRPr="005C3EC8" w:rsidRDefault="00601017" w:rsidP="00E03D03">
            <w:pPr>
              <w:pStyle w:val="Tabletext"/>
              <w:rPr>
                <w:b/>
                <w:lang w:val="en-GB"/>
              </w:rPr>
            </w:pPr>
            <w:r w:rsidRPr="005C3EC8">
              <w:rPr>
                <w:b/>
                <w:lang w:val="en-GB"/>
              </w:rPr>
              <w:t>Summary of main findings</w:t>
            </w:r>
          </w:p>
        </w:tc>
        <w:tc>
          <w:tcPr>
            <w:tcW w:w="2260" w:type="dxa"/>
            <w:shd w:val="clear" w:color="auto" w:fill="D9D9D9"/>
            <w:vAlign w:val="center"/>
          </w:tcPr>
          <w:p w14:paraId="65846BE5" w14:textId="0926B4A0" w:rsidR="00601017" w:rsidRPr="005C3EC8" w:rsidRDefault="00601017" w:rsidP="00E03D03">
            <w:pPr>
              <w:pStyle w:val="Tabletext"/>
              <w:rPr>
                <w:b/>
                <w:lang w:val="en-GB"/>
              </w:rPr>
            </w:pPr>
            <w:r w:rsidRPr="005C3EC8">
              <w:rPr>
                <w:b/>
                <w:lang w:val="en-GB"/>
              </w:rPr>
              <w:t xml:space="preserve">International Secretariat’s initial assessment of progress with the EITI provisions </w:t>
            </w:r>
          </w:p>
        </w:tc>
      </w:tr>
      <w:tr w:rsidR="00F425D1" w:rsidRPr="005C3EC8" w14:paraId="5880D3E5" w14:textId="77777777" w:rsidTr="009D0942">
        <w:trPr>
          <w:trHeight w:val="1381"/>
        </w:trPr>
        <w:tc>
          <w:tcPr>
            <w:tcW w:w="2254" w:type="dxa"/>
            <w:shd w:val="clear" w:color="auto" w:fill="auto"/>
            <w:vAlign w:val="center"/>
          </w:tcPr>
          <w:p w14:paraId="492A9F56" w14:textId="77777777" w:rsidR="00F425D1" w:rsidRPr="005C3EC8" w:rsidRDefault="00F425D1" w:rsidP="00E03D03">
            <w:pPr>
              <w:pStyle w:val="Tabletext"/>
              <w:rPr>
                <w:lang w:val="en-GB"/>
              </w:rPr>
            </w:pPr>
            <w:r w:rsidRPr="005C3EC8">
              <w:rPr>
                <w:lang w:val="en-GB"/>
              </w:rPr>
              <w:t>Legal framework (#2.1)</w:t>
            </w:r>
          </w:p>
        </w:tc>
        <w:tc>
          <w:tcPr>
            <w:tcW w:w="4863" w:type="dxa"/>
            <w:shd w:val="clear" w:color="auto" w:fill="auto"/>
            <w:vAlign w:val="center"/>
          </w:tcPr>
          <w:p w14:paraId="032F7F09" w14:textId="10D8BB01" w:rsidR="00F425D1" w:rsidRPr="005C3EC8" w:rsidRDefault="009D0942" w:rsidP="00E03D03">
            <w:pPr>
              <w:pStyle w:val="Tabletext"/>
              <w:rPr>
                <w:lang w:val="en-GB"/>
              </w:rPr>
            </w:pPr>
            <w:r w:rsidRPr="005C3EC8">
              <w:rPr>
                <w:lang w:val="en-GB"/>
              </w:rPr>
              <w:t>The 2016 EITI Report provides an overview of the legal framework and fiscal regimes governing the oil and gas and mining and quarrying sectors, including an overview of the relevant laws and regulations, key government entities with jurisdiction, the degree of fiscal devolution and recent or ongoing reforms. In the International Secretariat’s view, the UK has gone beyond the minimum requirement in systematically disclosing all key information on relevant government websites (Oil and Gas Authority, Coal Authority, The Crown Estate, British Geological Survey, Parliament, National Archives, etc.) in accordance with Requirement 2.1.</w:t>
            </w:r>
          </w:p>
        </w:tc>
        <w:tc>
          <w:tcPr>
            <w:tcW w:w="2260" w:type="dxa"/>
            <w:vAlign w:val="center"/>
          </w:tcPr>
          <w:p w14:paraId="5029391C" w14:textId="35C0D1BB" w:rsidR="00F425D1" w:rsidRPr="005C3EC8" w:rsidRDefault="008E73E3" w:rsidP="008E73E3">
            <w:pPr>
              <w:pStyle w:val="Tabletext"/>
              <w:jc w:val="center"/>
              <w:rPr>
                <w:lang w:val="en-GB"/>
              </w:rPr>
            </w:pPr>
            <w:r w:rsidRPr="005C3EC8">
              <w:rPr>
                <w:lang w:val="en-GB"/>
              </w:rPr>
              <w:t>Satisfactory progress (Beyond)</w:t>
            </w:r>
          </w:p>
        </w:tc>
      </w:tr>
      <w:tr w:rsidR="00F425D1" w:rsidRPr="005C3EC8" w14:paraId="04E3127E" w14:textId="77777777" w:rsidTr="009D0942">
        <w:tc>
          <w:tcPr>
            <w:tcW w:w="2254" w:type="dxa"/>
            <w:shd w:val="clear" w:color="auto" w:fill="auto"/>
            <w:vAlign w:val="center"/>
          </w:tcPr>
          <w:p w14:paraId="614DD82C" w14:textId="77777777" w:rsidR="00F425D1" w:rsidRPr="005C3EC8" w:rsidRDefault="00F425D1" w:rsidP="00E03D03">
            <w:pPr>
              <w:pStyle w:val="Tabletext"/>
              <w:rPr>
                <w:lang w:val="en-GB"/>
              </w:rPr>
            </w:pPr>
            <w:r w:rsidRPr="005C3EC8">
              <w:rPr>
                <w:lang w:val="en-GB"/>
              </w:rPr>
              <w:t>License allocations (#2.2)</w:t>
            </w:r>
          </w:p>
        </w:tc>
        <w:tc>
          <w:tcPr>
            <w:tcW w:w="4863" w:type="dxa"/>
            <w:shd w:val="clear" w:color="auto" w:fill="auto"/>
            <w:vAlign w:val="center"/>
          </w:tcPr>
          <w:p w14:paraId="5E844830" w14:textId="3A15630E" w:rsidR="00F425D1" w:rsidRPr="005C3EC8" w:rsidRDefault="00F425D1" w:rsidP="00E03D03">
            <w:pPr>
              <w:pStyle w:val="Tabletext"/>
              <w:rPr>
                <w:lang w:val="en-GB"/>
              </w:rPr>
            </w:pPr>
            <w:r w:rsidRPr="005C3EC8">
              <w:rPr>
                <w:lang w:val="en-GB"/>
              </w:rPr>
              <w:t xml:space="preserve"> </w:t>
            </w:r>
            <w:r w:rsidR="00477300" w:rsidRPr="005C3EC8">
              <w:rPr>
                <w:lang w:val="en-GB"/>
              </w:rPr>
              <w:t xml:space="preserve">The 2016 EITI Report does not systematically track license awards and transfers involving companies covered in the scope of EITI reporting in the year under review, either in oil and gas or in mining and quarrying. While the report clarifies the lack of oil and gas license awards in 2016, it only implies the existence of transfers without clearly listing them. The only material sub-sectors in mining and quarrying appear to be Minerals Licenses in Northern Ireland as well as terrestrial and marine mining agreements with The Crown Estate. The coal, gold and silver sub-sectors </w:t>
            </w:r>
            <w:r w:rsidR="00477300" w:rsidRPr="005C3EC8">
              <w:rPr>
                <w:lang w:val="en-GB"/>
              </w:rPr>
              <w:lastRenderedPageBreak/>
              <w:t xml:space="preserve">are not strictly material to EITI reporting. While the EITI Report describes the general process for awarding licenses, it does not systematically indicate the technical and financial criteria assessed, nor clarify the statutory process for transferring licenses. The report only refers to an assessment of non-trivial deviations from statutory procedures for license awards and transfers in oil and gas, not mining and quarrying. </w:t>
            </w:r>
            <w:r w:rsidR="009D0942" w:rsidRPr="005C3EC8">
              <w:rPr>
                <w:lang w:val="en-GB"/>
              </w:rPr>
              <w:t xml:space="preserve">The public accessibility of detail in the description of TCE’s licensing procedures, while more developed for marine dredging than for land-based minerals on TCE </w:t>
            </w:r>
            <w:r w:rsidR="00B46FDE" w:rsidRPr="005C3EC8">
              <w:rPr>
                <w:lang w:val="en-GB"/>
              </w:rPr>
              <w:t>estates</w:t>
            </w:r>
            <w:r w:rsidR="009D0942" w:rsidRPr="005C3EC8">
              <w:rPr>
                <w:lang w:val="en-GB"/>
              </w:rPr>
              <w:t xml:space="preserve">, is less comprehensive than for oil, gas or coal. </w:t>
            </w:r>
          </w:p>
        </w:tc>
        <w:tc>
          <w:tcPr>
            <w:tcW w:w="2260" w:type="dxa"/>
            <w:vAlign w:val="center"/>
          </w:tcPr>
          <w:p w14:paraId="13D24663" w14:textId="5DD8B3CE" w:rsidR="00F425D1" w:rsidRPr="005C3EC8" w:rsidRDefault="00F62CD0" w:rsidP="00F62CD0">
            <w:pPr>
              <w:pStyle w:val="Tabletext"/>
              <w:jc w:val="center"/>
              <w:rPr>
                <w:lang w:val="en-GB"/>
              </w:rPr>
            </w:pPr>
            <w:r w:rsidRPr="005C3EC8">
              <w:rPr>
                <w:lang w:val="en-GB"/>
              </w:rPr>
              <w:lastRenderedPageBreak/>
              <w:t>Meaningful progress</w:t>
            </w:r>
          </w:p>
        </w:tc>
      </w:tr>
      <w:tr w:rsidR="00F425D1" w:rsidRPr="005C3EC8" w14:paraId="09345DD9" w14:textId="77777777" w:rsidTr="009D0942">
        <w:tc>
          <w:tcPr>
            <w:tcW w:w="2254" w:type="dxa"/>
            <w:shd w:val="clear" w:color="auto" w:fill="auto"/>
            <w:vAlign w:val="center"/>
          </w:tcPr>
          <w:p w14:paraId="16492D0A" w14:textId="77777777" w:rsidR="00F425D1" w:rsidRPr="005C3EC8" w:rsidRDefault="00F425D1" w:rsidP="00E03D03">
            <w:pPr>
              <w:pStyle w:val="Tabletext"/>
              <w:rPr>
                <w:lang w:val="en-GB"/>
              </w:rPr>
            </w:pPr>
            <w:r w:rsidRPr="005C3EC8">
              <w:rPr>
                <w:lang w:val="en-GB"/>
              </w:rPr>
              <w:t>License registers (#2.3)</w:t>
            </w:r>
          </w:p>
        </w:tc>
        <w:tc>
          <w:tcPr>
            <w:tcW w:w="4863" w:type="dxa"/>
            <w:shd w:val="clear" w:color="auto" w:fill="auto"/>
            <w:vAlign w:val="center"/>
          </w:tcPr>
          <w:p w14:paraId="24AC7202" w14:textId="1CD48324" w:rsidR="00F425D1" w:rsidRPr="005C3EC8" w:rsidRDefault="00F425D1" w:rsidP="00E03D03">
            <w:pPr>
              <w:pStyle w:val="Tabletext"/>
              <w:rPr>
                <w:lang w:val="en-GB"/>
              </w:rPr>
            </w:pPr>
            <w:r w:rsidRPr="005C3EC8">
              <w:rPr>
                <w:lang w:val="en-GB"/>
              </w:rPr>
              <w:t xml:space="preserve"> </w:t>
            </w:r>
            <w:r w:rsidR="009D0942" w:rsidRPr="005C3EC8">
              <w:rPr>
                <w:lang w:val="en-GB"/>
              </w:rPr>
              <w:t>The 2016 EITI Report provides guidance on accessing the register of licenses in oil and gas (from OGA and DfE), in coal (from the Coal Authority) and marine aggregates and marine potash (from TCE). However, the report does not provide guidance on accessing the register of licenses for Mineral Prospecting Licenses by Northern Ireland’s DfE, several of which are held by at least one material company in the 2016 EITI Report. In oil and gas, all information mandated under Requirement 2.3.b is publicly accessible for all active licenses, aside from dates of application. In coal, it appears that all information listed under Requirement 2.3.b is accessible upon request from the Coal Authority. The TCE website provides much information on marine aggregates licenses, aside from dates of application, award and expiry, but does not provide information on active marine potash licenses. The lack of publicly-accessible information on silver and gold Option Agreements is less material, since none appear to have been held by companies in the scope of EITI reporting in 2016. The DfE website provides access to much of the required information aside from dates of application, award and expiry.</w:t>
            </w:r>
          </w:p>
        </w:tc>
        <w:tc>
          <w:tcPr>
            <w:tcW w:w="2260" w:type="dxa"/>
            <w:vAlign w:val="center"/>
          </w:tcPr>
          <w:p w14:paraId="069E7D2A" w14:textId="51607773" w:rsidR="00F425D1" w:rsidRPr="005C3EC8" w:rsidRDefault="00F62CD0" w:rsidP="00F62CD0">
            <w:pPr>
              <w:pStyle w:val="Tabletext"/>
              <w:jc w:val="center"/>
              <w:rPr>
                <w:lang w:val="en-GB"/>
              </w:rPr>
            </w:pPr>
            <w:r w:rsidRPr="005C3EC8">
              <w:rPr>
                <w:lang w:val="en-GB"/>
              </w:rPr>
              <w:t>Meaningful progress</w:t>
            </w:r>
          </w:p>
        </w:tc>
      </w:tr>
      <w:tr w:rsidR="00F425D1" w:rsidRPr="005C3EC8" w14:paraId="446A967A" w14:textId="77777777" w:rsidTr="009D0942">
        <w:tc>
          <w:tcPr>
            <w:tcW w:w="2254" w:type="dxa"/>
            <w:shd w:val="clear" w:color="auto" w:fill="auto"/>
            <w:vAlign w:val="center"/>
          </w:tcPr>
          <w:p w14:paraId="3900FA0A" w14:textId="77777777" w:rsidR="00F425D1" w:rsidRPr="005C3EC8" w:rsidRDefault="00F425D1" w:rsidP="00E03D03">
            <w:pPr>
              <w:pStyle w:val="Tabletext"/>
              <w:rPr>
                <w:lang w:val="en-GB"/>
              </w:rPr>
            </w:pPr>
            <w:r w:rsidRPr="005C3EC8">
              <w:rPr>
                <w:lang w:val="en-GB"/>
              </w:rPr>
              <w:t>Contract disclosures (#2.4)</w:t>
            </w:r>
          </w:p>
        </w:tc>
        <w:tc>
          <w:tcPr>
            <w:tcW w:w="4863" w:type="dxa"/>
            <w:shd w:val="clear" w:color="auto" w:fill="auto"/>
            <w:vAlign w:val="center"/>
          </w:tcPr>
          <w:p w14:paraId="758531EA" w14:textId="39CB1E25" w:rsidR="00F425D1" w:rsidRPr="005C3EC8" w:rsidRDefault="009D0942" w:rsidP="00E03D03">
            <w:pPr>
              <w:pStyle w:val="Tabletext"/>
              <w:rPr>
                <w:lang w:val="en-GB"/>
              </w:rPr>
            </w:pPr>
            <w:r w:rsidRPr="005C3EC8">
              <w:rPr>
                <w:lang w:val="en-GB"/>
              </w:rPr>
              <w:t xml:space="preserve">The 2016 EITI Report clarifies that there are no contracts in the UK extractive industries, aside from agreements concluded for marine aggregates and marine potash with TCE. The </w:t>
            </w:r>
            <w:r w:rsidRPr="005C3EC8">
              <w:rPr>
                <w:lang w:val="en-GB"/>
              </w:rPr>
              <w:lastRenderedPageBreak/>
              <w:t>report clarifies the practice of publishing licenses, and the accessibility of published licenses, for most mineral commodities, although there are gaps in terms of Mineral Prospecting Licenses onshore Northern Ireland.</w:t>
            </w:r>
          </w:p>
        </w:tc>
        <w:tc>
          <w:tcPr>
            <w:tcW w:w="2260" w:type="dxa"/>
            <w:tcBorders>
              <w:bottom w:val="single" w:sz="4" w:space="0" w:color="auto"/>
            </w:tcBorders>
            <w:vAlign w:val="center"/>
          </w:tcPr>
          <w:p w14:paraId="11D8C783" w14:textId="4014DCF5" w:rsidR="00F425D1" w:rsidRPr="005C3EC8" w:rsidRDefault="00CC72E6" w:rsidP="00CC72E6">
            <w:pPr>
              <w:pStyle w:val="Tabletext"/>
              <w:jc w:val="center"/>
              <w:rPr>
                <w:lang w:val="en-GB"/>
              </w:rPr>
            </w:pPr>
            <w:r w:rsidRPr="005C3EC8">
              <w:rPr>
                <w:lang w:val="en-GB"/>
              </w:rPr>
              <w:lastRenderedPageBreak/>
              <w:t>Satisfactory progress</w:t>
            </w:r>
          </w:p>
        </w:tc>
      </w:tr>
      <w:tr w:rsidR="00E0305D" w:rsidRPr="005C3EC8" w14:paraId="33FC2459" w14:textId="77777777" w:rsidTr="009D0942">
        <w:tc>
          <w:tcPr>
            <w:tcW w:w="2254" w:type="dxa"/>
            <w:shd w:val="clear" w:color="auto" w:fill="auto"/>
            <w:vAlign w:val="center"/>
          </w:tcPr>
          <w:p w14:paraId="481B8E67" w14:textId="77777777" w:rsidR="00E0305D" w:rsidRPr="005C3EC8" w:rsidRDefault="00E0305D" w:rsidP="00E03D03">
            <w:pPr>
              <w:pStyle w:val="Tabletext"/>
              <w:rPr>
                <w:lang w:val="en-GB"/>
              </w:rPr>
            </w:pPr>
            <w:r w:rsidRPr="005C3EC8">
              <w:rPr>
                <w:lang w:val="en-GB"/>
              </w:rPr>
              <w:t>Beneficial ownership disclosure (#2.5)</w:t>
            </w:r>
          </w:p>
        </w:tc>
        <w:tc>
          <w:tcPr>
            <w:tcW w:w="4863" w:type="dxa"/>
            <w:shd w:val="clear" w:color="auto" w:fill="auto"/>
            <w:vAlign w:val="center"/>
          </w:tcPr>
          <w:p w14:paraId="6432D537" w14:textId="58AD4214" w:rsidR="00E0305D" w:rsidRPr="005C3EC8" w:rsidRDefault="009D0942" w:rsidP="00E03D03">
            <w:pPr>
              <w:pStyle w:val="Tabletext"/>
              <w:rPr>
                <w:lang w:val="en-GB"/>
              </w:rPr>
            </w:pPr>
            <w:r w:rsidRPr="005C3EC8">
              <w:rPr>
                <w:bCs/>
                <w:lang w:val="en-GB"/>
              </w:rPr>
              <w:t xml:space="preserve">The UK Government has publicly stated its policy on beneficial ownership disclosure and has taken steps to establish a public beneficial ownership register. </w:t>
            </w:r>
            <w:r w:rsidRPr="005C3EC8">
              <w:rPr>
                <w:lang w:val="en-GB"/>
              </w:rPr>
              <w:t>In the International Secretariat’s view, the UK has gone beyond the minimum requirement in systematically disclosing all key information in accordance with Requirement 2.5.</w:t>
            </w:r>
          </w:p>
        </w:tc>
        <w:tc>
          <w:tcPr>
            <w:tcW w:w="2260" w:type="dxa"/>
            <w:shd w:val="clear" w:color="auto" w:fill="BFBFBF" w:themeFill="background1" w:themeFillShade="BF"/>
            <w:vAlign w:val="center"/>
          </w:tcPr>
          <w:p w14:paraId="0D2A89FB" w14:textId="413ACA3A" w:rsidR="00E0305D" w:rsidRPr="005C3EC8" w:rsidRDefault="008E73E3" w:rsidP="008E73E3">
            <w:pPr>
              <w:pStyle w:val="Tabletext"/>
              <w:jc w:val="center"/>
              <w:rPr>
                <w:lang w:val="en-GB"/>
              </w:rPr>
            </w:pPr>
            <w:r w:rsidRPr="005C3EC8">
              <w:rPr>
                <w:lang w:val="en-GB"/>
              </w:rPr>
              <w:t>(Beyond)</w:t>
            </w:r>
          </w:p>
        </w:tc>
      </w:tr>
      <w:tr w:rsidR="00E0305D" w:rsidRPr="005C3EC8" w14:paraId="72A0C0DD" w14:textId="77777777" w:rsidTr="009D0942">
        <w:tc>
          <w:tcPr>
            <w:tcW w:w="2254" w:type="dxa"/>
            <w:shd w:val="clear" w:color="auto" w:fill="auto"/>
            <w:vAlign w:val="center"/>
          </w:tcPr>
          <w:p w14:paraId="6B0B2CB7" w14:textId="77777777" w:rsidR="00E0305D" w:rsidRPr="005C3EC8" w:rsidRDefault="00E0305D" w:rsidP="00E03D03">
            <w:pPr>
              <w:pStyle w:val="Tabletext"/>
              <w:rPr>
                <w:lang w:val="en-GB"/>
              </w:rPr>
            </w:pPr>
            <w:r w:rsidRPr="005C3EC8">
              <w:rPr>
                <w:lang w:val="en-GB"/>
              </w:rPr>
              <w:t>State-participation (#2.6)</w:t>
            </w:r>
          </w:p>
        </w:tc>
        <w:tc>
          <w:tcPr>
            <w:tcW w:w="4863" w:type="dxa"/>
            <w:shd w:val="clear" w:color="auto" w:fill="auto"/>
            <w:vAlign w:val="center"/>
          </w:tcPr>
          <w:p w14:paraId="26BF6623" w14:textId="46B1A075" w:rsidR="00E0305D" w:rsidRPr="005C3EC8" w:rsidRDefault="00E0305D" w:rsidP="00E03D03">
            <w:pPr>
              <w:pStyle w:val="Tabletext"/>
              <w:rPr>
                <w:lang w:val="en-GB"/>
              </w:rPr>
            </w:pPr>
            <w:r w:rsidRPr="005C3EC8">
              <w:rPr>
                <w:lang w:val="en-GB"/>
              </w:rPr>
              <w:t xml:space="preserve"> </w:t>
            </w:r>
            <w:r w:rsidR="009D0942" w:rsidRPr="005C3EC8">
              <w:rPr>
                <w:lang w:val="en-GB"/>
              </w:rPr>
              <w:t>All of the UK’s EITI Reports confirm that there is no state participation in the extractive industries and that Requirement 2.6 is not applicable in the UK context. The UK established the OGA as a not-for-profit government-owned company in October 2016, a self-funded autonomous regulator. The OGA does not hold equity in the extractive industries and is not entitled to participate in or retain revenues from the extractive industries it regulates. While revenues collected by the OGA are material and retained from the national budget to fund the independent regulator, the 2016 EITI Report has adequately disclosed and reconciled OGA levy payments and provided a link to where the management of the OGA’s funds is described (</w:t>
            </w:r>
            <w:r w:rsidR="009D0942" w:rsidRPr="005C3EC8">
              <w:rPr>
                <w:i/>
                <w:lang w:val="en-GB"/>
              </w:rPr>
              <w:t>see Requirements 4.1 and 5.1</w:t>
            </w:r>
            <w:r w:rsidR="009D0942" w:rsidRPr="005C3EC8">
              <w:rPr>
                <w:lang w:val="en-GB"/>
              </w:rPr>
              <w:t>).</w:t>
            </w:r>
          </w:p>
        </w:tc>
        <w:tc>
          <w:tcPr>
            <w:tcW w:w="2260" w:type="dxa"/>
            <w:shd w:val="clear" w:color="auto" w:fill="FFFFFF"/>
            <w:vAlign w:val="center"/>
          </w:tcPr>
          <w:p w14:paraId="17BE17B9" w14:textId="2DA76AC3" w:rsidR="00E0305D" w:rsidRPr="005C3EC8" w:rsidRDefault="008E73E3" w:rsidP="008E73E3">
            <w:pPr>
              <w:pStyle w:val="Tabletext"/>
              <w:jc w:val="center"/>
              <w:rPr>
                <w:lang w:val="en-GB"/>
              </w:rPr>
            </w:pPr>
            <w:r w:rsidRPr="005C3EC8">
              <w:rPr>
                <w:lang w:val="en-GB"/>
              </w:rPr>
              <w:t>Not applicable</w:t>
            </w:r>
          </w:p>
        </w:tc>
      </w:tr>
      <w:tr w:rsidR="00E0305D" w:rsidRPr="005C3EC8" w14:paraId="2130C11B" w14:textId="77777777" w:rsidTr="00FB14C1">
        <w:tc>
          <w:tcPr>
            <w:tcW w:w="0" w:type="auto"/>
            <w:gridSpan w:val="3"/>
            <w:shd w:val="clear" w:color="auto" w:fill="FFFFFF"/>
            <w:vAlign w:val="center"/>
          </w:tcPr>
          <w:p w14:paraId="1C13C204" w14:textId="7DFC0834" w:rsidR="00E0305D" w:rsidRPr="005C3EC8" w:rsidRDefault="00E0305D" w:rsidP="00E03D03">
            <w:pPr>
              <w:pStyle w:val="Tabletext"/>
              <w:rPr>
                <w:b/>
                <w:lang w:val="en-GB"/>
              </w:rPr>
            </w:pPr>
            <w:r w:rsidRPr="005C3EC8">
              <w:rPr>
                <w:b/>
                <w:lang w:val="en-GB"/>
              </w:rPr>
              <w:t>Secretariat’s recommendations:</w:t>
            </w:r>
          </w:p>
          <w:p w14:paraId="08EB4CF4" w14:textId="207B3E5C" w:rsidR="00247985" w:rsidRPr="005C3EC8" w:rsidRDefault="00501F4B" w:rsidP="008200F5">
            <w:pPr>
              <w:pStyle w:val="ListParagraph"/>
              <w:numPr>
                <w:ilvl w:val="0"/>
                <w:numId w:val="10"/>
              </w:numPr>
              <w:rPr>
                <w:rFonts w:eastAsia="Calibri"/>
              </w:rPr>
            </w:pPr>
            <w:r w:rsidRPr="005C3EC8">
              <w:t>To strengthen implementation, the UK may wish to explore options for further improving the accessibility of online information on the legal and fiscal environment for oil and gas, mining and quarrying, perhaps through an online EITI disclosures page. Stakeholders may wish to consider the scope for using EITI reporting as a diagnostic tool for tracking the impact of legal, regulatory and fiscal reforms.</w:t>
            </w:r>
          </w:p>
          <w:p w14:paraId="7322C553" w14:textId="0A1E7135" w:rsidR="00247985" w:rsidRPr="005C3EC8" w:rsidRDefault="00501F4B" w:rsidP="008200F5">
            <w:pPr>
              <w:pStyle w:val="ListParagraph"/>
              <w:numPr>
                <w:ilvl w:val="0"/>
                <w:numId w:val="10"/>
              </w:numPr>
              <w:rPr>
                <w:rFonts w:eastAsia="Calibri"/>
              </w:rPr>
            </w:pPr>
            <w:r w:rsidRPr="005C3EC8">
              <w:t xml:space="preserve">In accordance with Requirement 2.2, the UK should disclose information related to the award or transfer of licenses pertaining to the companies covered in EITI reporting. This information should include the number of mining, oil and gas licenses awarded and transferred in the year covered by the EITI reporting cycle, a description of the award procedures, including specific technical and financial criteria assessed, and highlight any non-trivial deviations in practice. The UK is encouraged to consider innovative solutions for embedding a public accountability </w:t>
            </w:r>
            <w:r w:rsidRPr="005C3EC8">
              <w:lastRenderedPageBreak/>
              <w:t>mechanism to ensure transparency on any non-trivial deviations from statutory procedures in its systematic disclosures of information per Requirement 2.2.</w:t>
            </w:r>
          </w:p>
          <w:p w14:paraId="47455104" w14:textId="65267823" w:rsidR="00E66A26" w:rsidRPr="005C3EC8" w:rsidRDefault="0082156D" w:rsidP="008200F5">
            <w:pPr>
              <w:pStyle w:val="ListParagraph"/>
              <w:numPr>
                <w:ilvl w:val="0"/>
                <w:numId w:val="10"/>
              </w:numPr>
              <w:rPr>
                <w:rFonts w:eastAsia="Calibri"/>
              </w:rPr>
            </w:pPr>
            <w:r w:rsidRPr="005C3EC8">
              <w:t>In accordance with Requirement 2.3, the UK should maintain a publicly available register or cadastre system(s), including comprehensive information on all active licenses held by all mining and quarrying companies included in the scope of EITI reporting. In the interim the UK should ensure that future EITI reporting provides the information set out under Requirement 2.3.b for all mining and quarrying companies. The UK is encouraged to consider the extent to which integration of EITI reporting with the work of organisations like the British Geological Survey could ensure systematic disclosure of information mandated under Requirement 2.3.b.</w:t>
            </w:r>
          </w:p>
          <w:p w14:paraId="7C6CAE19" w14:textId="77575AAC" w:rsidR="0082156D" w:rsidRPr="005C3EC8" w:rsidRDefault="0082156D" w:rsidP="008200F5">
            <w:pPr>
              <w:pStyle w:val="ListParagraph"/>
              <w:numPr>
                <w:ilvl w:val="0"/>
                <w:numId w:val="10"/>
              </w:numPr>
              <w:rPr>
                <w:rFonts w:eastAsia="Calibri"/>
              </w:rPr>
            </w:pPr>
            <w:r w:rsidRPr="005C3EC8">
              <w:rPr>
                <w:rFonts w:eastAsia="Calibri"/>
              </w:rPr>
              <w:t>To strengthen implementation, the UK may wish to consider options for more systematic disclosure of agreements peripheral to the operating contracts, such as Decommissioning Deeds, Planning Permits (including Section 106 agreements) and others.</w:t>
            </w:r>
          </w:p>
          <w:p w14:paraId="57382D5A" w14:textId="1110E172" w:rsidR="00E0305D" w:rsidRPr="005C3EC8" w:rsidRDefault="0082156D" w:rsidP="008200F5">
            <w:pPr>
              <w:pStyle w:val="ListParagraph"/>
              <w:numPr>
                <w:ilvl w:val="0"/>
                <w:numId w:val="10"/>
              </w:numPr>
              <w:rPr>
                <w:rFonts w:eastAsia="Calibri"/>
              </w:rPr>
            </w:pPr>
            <w:r w:rsidRPr="005C3EC8">
              <w:t>To strengthen implementation, the UK may wish to consider using EITI reporting as an annual diagnostic of extractives companies’ beneficial ownership disclosures to the Companies House register of persons with significant control (PSC).</w:t>
            </w:r>
          </w:p>
        </w:tc>
      </w:tr>
    </w:tbl>
    <w:p w14:paraId="3D5FE3B9" w14:textId="77777777" w:rsidR="00AC3CE6" w:rsidRPr="005C3EC8" w:rsidRDefault="00AC3CE6">
      <w:pPr>
        <w:pStyle w:val="Heading2"/>
      </w:pPr>
      <w:bookmarkStart w:id="172" w:name="_Toc459133119"/>
      <w:bookmarkStart w:id="173" w:name="_Toc461803068"/>
      <w:bookmarkStart w:id="174" w:name="_Toc461787331"/>
      <w:bookmarkStart w:id="175" w:name="_Toc461795843"/>
      <w:bookmarkStart w:id="176" w:name="_Toc462149186"/>
    </w:p>
    <w:p w14:paraId="46999B57" w14:textId="76CE2AA5" w:rsidR="000722F1" w:rsidRPr="005C3EC8" w:rsidRDefault="00AC3CE6" w:rsidP="0097728B">
      <w:pPr>
        <w:pStyle w:val="Heading2"/>
      </w:pPr>
      <w:r w:rsidRPr="005C3EC8">
        <w:br w:type="column"/>
      </w:r>
      <w:r w:rsidR="0085374F" w:rsidRPr="005C3EC8">
        <w:lastRenderedPageBreak/>
        <w:t xml:space="preserve">3. </w:t>
      </w:r>
      <w:r w:rsidR="000722F1" w:rsidRPr="005C3EC8">
        <w:t>Monitoring and production</w:t>
      </w:r>
      <w:bookmarkEnd w:id="172"/>
      <w:bookmarkEnd w:id="173"/>
      <w:bookmarkEnd w:id="174"/>
      <w:bookmarkEnd w:id="175"/>
      <w:bookmarkEnd w:id="176"/>
      <w:r w:rsidR="000722F1" w:rsidRPr="005C3EC8">
        <w:t xml:space="preserve"> </w:t>
      </w:r>
    </w:p>
    <w:p w14:paraId="0DE92D34" w14:textId="3A41F4D0" w:rsidR="00C4408F" w:rsidRPr="005C3EC8" w:rsidRDefault="00E66A26">
      <w:pPr>
        <w:pStyle w:val="Heading2notindexed"/>
      </w:pPr>
      <w:bookmarkStart w:id="177" w:name="_Toc459133120"/>
      <w:bookmarkStart w:id="178" w:name="_Toc461803069"/>
      <w:bookmarkStart w:id="179" w:name="_Toc461787332"/>
      <w:bookmarkStart w:id="180" w:name="_Toc461795844"/>
      <w:r w:rsidRPr="005C3EC8">
        <w:t xml:space="preserve">3.1 </w:t>
      </w:r>
      <w:r w:rsidR="000722F1" w:rsidRPr="005C3EC8">
        <w:t>Overview</w:t>
      </w:r>
      <w:bookmarkEnd w:id="177"/>
      <w:bookmarkEnd w:id="178"/>
      <w:bookmarkEnd w:id="179"/>
      <w:bookmarkEnd w:id="180"/>
    </w:p>
    <w:p w14:paraId="4577DA24" w14:textId="77777777" w:rsidR="000722F1" w:rsidRPr="005C3EC8" w:rsidRDefault="00C4408F" w:rsidP="000722F1">
      <w:pPr>
        <w:spacing w:before="120"/>
        <w:rPr>
          <w:rFonts w:ascii="Calibri" w:hAnsi="Calibri"/>
        </w:rPr>
      </w:pPr>
      <w:r w:rsidRPr="005C3EC8">
        <w:rPr>
          <w:rFonts w:ascii="Calibri" w:hAnsi="Calibri"/>
        </w:rPr>
        <w:t>This section provides details on the implementation of the EITI requirements related to exploration, production and exports.</w:t>
      </w:r>
    </w:p>
    <w:p w14:paraId="21F85E0A" w14:textId="76C227E0" w:rsidR="000722F1" w:rsidRPr="005C3EC8" w:rsidRDefault="00E66A26">
      <w:pPr>
        <w:pStyle w:val="Heading2notindexed"/>
      </w:pPr>
      <w:bookmarkStart w:id="181" w:name="_Toc459133121"/>
      <w:bookmarkStart w:id="182" w:name="_Toc461803070"/>
      <w:bookmarkStart w:id="183" w:name="_Toc461787333"/>
      <w:bookmarkStart w:id="184" w:name="_Toc461795845"/>
      <w:r w:rsidRPr="005C3EC8">
        <w:t xml:space="preserve">3.2 </w:t>
      </w:r>
      <w:r w:rsidR="000722F1" w:rsidRPr="005C3EC8">
        <w:t>Assessment</w:t>
      </w:r>
      <w:bookmarkEnd w:id="181"/>
      <w:bookmarkEnd w:id="182"/>
      <w:bookmarkEnd w:id="183"/>
      <w:bookmarkEnd w:id="184"/>
    </w:p>
    <w:p w14:paraId="503C59A2" w14:textId="16FEB346" w:rsidR="000722F1" w:rsidRPr="005C3EC8" w:rsidRDefault="00F7195C" w:rsidP="0097728B">
      <w:pPr>
        <w:pStyle w:val="Heading2"/>
      </w:pPr>
      <w:bookmarkStart w:id="185" w:name="_Toc459133122"/>
      <w:bookmarkStart w:id="186" w:name="_Toc461803071"/>
      <w:bookmarkStart w:id="187" w:name="_Toc461787334"/>
      <w:bookmarkStart w:id="188" w:name="_Toc461795846"/>
      <w:bookmarkStart w:id="189" w:name="_Toc462149187"/>
      <w:r w:rsidRPr="005C3EC8">
        <w:t>O</w:t>
      </w:r>
      <w:r w:rsidR="000722F1" w:rsidRPr="005C3EC8">
        <w:t>verview of the extractive sector, including exploration activities (#3.</w:t>
      </w:r>
      <w:r w:rsidR="007C5BEB" w:rsidRPr="005C3EC8">
        <w:t>1</w:t>
      </w:r>
      <w:r w:rsidR="000722F1" w:rsidRPr="005C3EC8">
        <w:t>)</w:t>
      </w:r>
      <w:bookmarkEnd w:id="185"/>
      <w:bookmarkEnd w:id="186"/>
      <w:bookmarkEnd w:id="187"/>
      <w:bookmarkEnd w:id="188"/>
      <w:bookmarkEnd w:id="189"/>
    </w:p>
    <w:p w14:paraId="5A1034D9" w14:textId="77777777" w:rsidR="00701856" w:rsidRPr="005C3EC8" w:rsidRDefault="00675030" w:rsidP="0097728B">
      <w:pPr>
        <w:pStyle w:val="Heading3"/>
      </w:pPr>
      <w:r w:rsidRPr="005C3EC8">
        <w:t xml:space="preserve">Documentation of progress </w:t>
      </w:r>
    </w:p>
    <w:p w14:paraId="71F21F45" w14:textId="28E381EE" w:rsidR="00C86058" w:rsidRPr="005C3EC8" w:rsidRDefault="00C86058" w:rsidP="00C86058">
      <w:pPr>
        <w:spacing w:before="120"/>
        <w:rPr>
          <w:rFonts w:ascii="Calibri" w:hAnsi="Calibri"/>
        </w:rPr>
      </w:pPr>
      <w:r w:rsidRPr="005C3EC8">
        <w:rPr>
          <w:rFonts w:ascii="Calibri" w:hAnsi="Calibri"/>
          <w:b/>
          <w:i/>
        </w:rPr>
        <w:t>Systematic disclosures</w:t>
      </w:r>
      <w:r w:rsidRPr="005C3EC8">
        <w:rPr>
          <w:rFonts w:ascii="Calibri" w:hAnsi="Calibri"/>
          <w:i/>
        </w:rPr>
        <w:t xml:space="preserve">: </w:t>
      </w:r>
      <w:r w:rsidR="002479F8" w:rsidRPr="005C3EC8">
        <w:rPr>
          <w:rFonts w:ascii="Calibri" w:hAnsi="Calibri"/>
        </w:rPr>
        <w:t>The Office of National Statistics publishes annual results for the UK’s non-financial business economy</w:t>
      </w:r>
      <w:r w:rsidR="008E2AD4" w:rsidRPr="005C3EC8">
        <w:rPr>
          <w:rFonts w:ascii="Calibri" w:hAnsi="Calibri"/>
        </w:rPr>
        <w:t>, which include sections on the oil and gas, mining and quarrying.</w:t>
      </w:r>
      <w:r w:rsidR="008E2AD4" w:rsidRPr="005C3EC8">
        <w:rPr>
          <w:rStyle w:val="FootnoteReference"/>
          <w:rFonts w:ascii="Calibri" w:hAnsi="Calibri"/>
        </w:rPr>
        <w:footnoteReference w:id="230"/>
      </w:r>
      <w:r w:rsidR="008E2AD4" w:rsidRPr="005C3EC8">
        <w:rPr>
          <w:rFonts w:ascii="Calibri" w:hAnsi="Calibri"/>
        </w:rPr>
        <w:t xml:space="preserve"> For </w:t>
      </w:r>
      <w:r w:rsidR="008E2AD4" w:rsidRPr="005C3EC8">
        <w:rPr>
          <w:rFonts w:ascii="Calibri" w:hAnsi="Calibri"/>
          <w:i/>
        </w:rPr>
        <w:t>oil and gas</w:t>
      </w:r>
      <w:r w:rsidR="008E2AD4" w:rsidRPr="005C3EC8">
        <w:rPr>
          <w:rFonts w:ascii="Calibri" w:hAnsi="Calibri"/>
        </w:rPr>
        <w:t xml:space="preserve"> in particular, the UK Government website provides regular updates on energy trends</w:t>
      </w:r>
      <w:r w:rsidR="008E2AD4" w:rsidRPr="005C3EC8">
        <w:rPr>
          <w:rStyle w:val="FootnoteReference"/>
          <w:rFonts w:ascii="Calibri" w:hAnsi="Calibri"/>
        </w:rPr>
        <w:footnoteReference w:id="231"/>
      </w:r>
      <w:r w:rsidR="008E2AD4" w:rsidRPr="005C3EC8">
        <w:rPr>
          <w:rFonts w:ascii="Calibri" w:hAnsi="Calibri"/>
        </w:rPr>
        <w:t xml:space="preserve"> and the Digest of UK Energy Statistics (DUKES)</w:t>
      </w:r>
      <w:r w:rsidR="00D45A38" w:rsidRPr="005C3EC8">
        <w:rPr>
          <w:rFonts w:ascii="Calibri" w:hAnsi="Calibri"/>
        </w:rPr>
        <w:t>.</w:t>
      </w:r>
      <w:r w:rsidR="008E2AD4" w:rsidRPr="005C3EC8">
        <w:rPr>
          <w:rStyle w:val="FootnoteReference"/>
          <w:rFonts w:ascii="Calibri" w:hAnsi="Calibri"/>
        </w:rPr>
        <w:footnoteReference w:id="232"/>
      </w:r>
      <w:r w:rsidR="00D45A38" w:rsidRPr="005C3EC8">
        <w:rPr>
          <w:rFonts w:ascii="Calibri" w:hAnsi="Calibri"/>
        </w:rPr>
        <w:t xml:space="preserve"> The OGA website hosts a set of interactive maps tools</w:t>
      </w:r>
      <w:r w:rsidR="00D45A38" w:rsidRPr="005C3EC8">
        <w:rPr>
          <w:rStyle w:val="FootnoteReference"/>
          <w:rFonts w:ascii="Calibri" w:hAnsi="Calibri"/>
        </w:rPr>
        <w:footnoteReference w:id="233"/>
      </w:r>
      <w:r w:rsidR="00D45A38" w:rsidRPr="005C3EC8">
        <w:rPr>
          <w:rFonts w:ascii="Calibri" w:hAnsi="Calibri"/>
        </w:rPr>
        <w:t xml:space="preserve"> and an Open Data Portal</w:t>
      </w:r>
      <w:r w:rsidR="00D45A38" w:rsidRPr="005C3EC8">
        <w:rPr>
          <w:rStyle w:val="FootnoteReference"/>
          <w:rFonts w:ascii="Calibri" w:hAnsi="Calibri"/>
        </w:rPr>
        <w:footnoteReference w:id="234"/>
      </w:r>
      <w:r w:rsidR="00D45A38" w:rsidRPr="005C3EC8">
        <w:rPr>
          <w:rFonts w:ascii="Calibri" w:hAnsi="Calibri"/>
        </w:rPr>
        <w:t xml:space="preserve"> and the OGA Data Centre.</w:t>
      </w:r>
      <w:r w:rsidR="00D45A38" w:rsidRPr="005C3EC8">
        <w:rPr>
          <w:rStyle w:val="FootnoteReference"/>
          <w:rFonts w:ascii="Calibri" w:hAnsi="Calibri"/>
        </w:rPr>
        <w:footnoteReference w:id="235"/>
      </w:r>
      <w:r w:rsidR="00D45A38" w:rsidRPr="005C3EC8">
        <w:rPr>
          <w:rFonts w:ascii="Calibri" w:hAnsi="Calibri"/>
        </w:rPr>
        <w:t xml:space="preserve"> In Northern Ireland, the DfE website provides an overview of licensing opportunities</w:t>
      </w:r>
      <w:r w:rsidR="00D45A38" w:rsidRPr="005C3EC8">
        <w:rPr>
          <w:rStyle w:val="FootnoteReference"/>
          <w:rFonts w:ascii="Calibri" w:hAnsi="Calibri"/>
        </w:rPr>
        <w:footnoteReference w:id="236"/>
      </w:r>
      <w:r w:rsidR="00D45A38" w:rsidRPr="005C3EC8">
        <w:rPr>
          <w:rFonts w:ascii="Calibri" w:hAnsi="Calibri"/>
        </w:rPr>
        <w:t xml:space="preserve"> and </w:t>
      </w:r>
      <w:r w:rsidR="000825F0" w:rsidRPr="005C3EC8">
        <w:rPr>
          <w:rFonts w:ascii="Calibri" w:hAnsi="Calibri"/>
        </w:rPr>
        <w:t xml:space="preserve">minerals and petroleum </w:t>
      </w:r>
      <w:r w:rsidR="00D45A38" w:rsidRPr="005C3EC8">
        <w:rPr>
          <w:rFonts w:ascii="Calibri" w:hAnsi="Calibri"/>
        </w:rPr>
        <w:t>annual reports</w:t>
      </w:r>
      <w:r w:rsidR="000825F0" w:rsidRPr="005C3EC8">
        <w:rPr>
          <w:rFonts w:ascii="Calibri" w:hAnsi="Calibri"/>
        </w:rPr>
        <w:t>, albeit only updated to 2010.</w:t>
      </w:r>
      <w:r w:rsidR="000825F0" w:rsidRPr="005C3EC8">
        <w:rPr>
          <w:rStyle w:val="FootnoteReference"/>
          <w:rFonts w:ascii="Calibri" w:hAnsi="Calibri"/>
        </w:rPr>
        <w:footnoteReference w:id="237"/>
      </w:r>
      <w:r w:rsidR="00840376" w:rsidRPr="005C3EC8">
        <w:rPr>
          <w:rFonts w:ascii="Calibri" w:hAnsi="Calibri"/>
        </w:rPr>
        <w:t xml:space="preserve"> The industry association Oil and Gas UK website provides publications on a range of industry trends including annual reports on the oil and gas business environment and economics</w:t>
      </w:r>
      <w:r w:rsidR="002E245C" w:rsidRPr="005C3EC8">
        <w:rPr>
          <w:rFonts w:ascii="Calibri" w:hAnsi="Calibri"/>
        </w:rPr>
        <w:t xml:space="preserve"> as well as activity surveys</w:t>
      </w:r>
      <w:r w:rsidR="00840376" w:rsidRPr="005C3EC8">
        <w:rPr>
          <w:rFonts w:ascii="Calibri" w:hAnsi="Calibri"/>
        </w:rPr>
        <w:t>.</w:t>
      </w:r>
      <w:r w:rsidR="00840376" w:rsidRPr="005C3EC8">
        <w:rPr>
          <w:rStyle w:val="FootnoteReference"/>
          <w:rFonts w:ascii="Calibri" w:hAnsi="Calibri"/>
        </w:rPr>
        <w:footnoteReference w:id="238"/>
      </w:r>
    </w:p>
    <w:p w14:paraId="5B3C1BD2" w14:textId="31CF7477" w:rsidR="008E2AD4" w:rsidRPr="005C3EC8" w:rsidRDefault="000825F0" w:rsidP="00C86058">
      <w:pPr>
        <w:spacing w:before="120"/>
        <w:rPr>
          <w:rFonts w:ascii="Calibri" w:hAnsi="Calibri"/>
        </w:rPr>
      </w:pPr>
      <w:r w:rsidRPr="005C3EC8">
        <w:rPr>
          <w:rFonts w:ascii="Calibri" w:hAnsi="Calibri"/>
        </w:rPr>
        <w:t xml:space="preserve">For </w:t>
      </w:r>
      <w:r w:rsidRPr="005C3EC8">
        <w:rPr>
          <w:rFonts w:ascii="Calibri" w:hAnsi="Calibri"/>
          <w:i/>
        </w:rPr>
        <w:t>mining and quarrying</w:t>
      </w:r>
      <w:r w:rsidRPr="005C3EC8">
        <w:rPr>
          <w:rFonts w:ascii="Calibri" w:hAnsi="Calibri"/>
        </w:rPr>
        <w:t xml:space="preserve">, </w:t>
      </w:r>
      <w:r w:rsidR="00E9009F" w:rsidRPr="005C3EC8">
        <w:rPr>
          <w:rFonts w:ascii="Calibri" w:hAnsi="Calibri"/>
        </w:rPr>
        <w:t>the British Geological Survey</w:t>
      </w:r>
      <w:r w:rsidR="00312467" w:rsidRPr="005C3EC8">
        <w:rPr>
          <w:rFonts w:ascii="Calibri" w:hAnsi="Calibri"/>
        </w:rPr>
        <w:t xml:space="preserve"> website</w:t>
      </w:r>
      <w:r w:rsidR="00312467" w:rsidRPr="005C3EC8">
        <w:rPr>
          <w:rStyle w:val="FootnoteReference"/>
          <w:rFonts w:ascii="Calibri" w:hAnsi="Calibri"/>
        </w:rPr>
        <w:footnoteReference w:id="239"/>
      </w:r>
      <w:r w:rsidR="00E9009F" w:rsidRPr="005C3EC8">
        <w:rPr>
          <w:rFonts w:ascii="Calibri" w:hAnsi="Calibri"/>
        </w:rPr>
        <w:t xml:space="preserve"> publishes annual </w:t>
      </w:r>
      <w:r w:rsidR="00312467" w:rsidRPr="005C3EC8">
        <w:rPr>
          <w:rFonts w:ascii="Calibri" w:hAnsi="Calibri"/>
        </w:rPr>
        <w:t xml:space="preserve">overviews of the sector, including through the UK Minerals Yearbooks, although these </w:t>
      </w:r>
      <w:r w:rsidR="00DC388F" w:rsidRPr="005C3EC8">
        <w:rPr>
          <w:rFonts w:ascii="Calibri" w:hAnsi="Calibri"/>
        </w:rPr>
        <w:t>have been</w:t>
      </w:r>
      <w:r w:rsidR="00312467" w:rsidRPr="005C3EC8">
        <w:rPr>
          <w:rFonts w:ascii="Calibri" w:hAnsi="Calibri"/>
        </w:rPr>
        <w:t xml:space="preserve"> published with </w:t>
      </w:r>
      <w:r w:rsidR="00DC388F" w:rsidRPr="005C3EC8">
        <w:rPr>
          <w:rFonts w:ascii="Calibri" w:hAnsi="Calibri"/>
        </w:rPr>
        <w:t xml:space="preserve">more than </w:t>
      </w:r>
      <w:r w:rsidR="00312467" w:rsidRPr="005C3EC8">
        <w:rPr>
          <w:rFonts w:ascii="Calibri" w:hAnsi="Calibri"/>
        </w:rPr>
        <w:t xml:space="preserve">a two-year time-lag. The BGS website also provides </w:t>
      </w:r>
      <w:r w:rsidR="00392D17" w:rsidRPr="005C3EC8">
        <w:rPr>
          <w:rFonts w:ascii="Calibri" w:hAnsi="Calibri"/>
        </w:rPr>
        <w:t>f</w:t>
      </w:r>
      <w:r w:rsidR="00312467" w:rsidRPr="005C3EC8">
        <w:rPr>
          <w:rFonts w:ascii="Calibri" w:hAnsi="Calibri"/>
        </w:rPr>
        <w:t>actsheets</w:t>
      </w:r>
      <w:r w:rsidR="00392D17" w:rsidRPr="005C3EC8">
        <w:rPr>
          <w:rFonts w:ascii="Calibri" w:hAnsi="Calibri"/>
        </w:rPr>
        <w:t xml:space="preserve"> on mineral planning for various commodities</w:t>
      </w:r>
      <w:r w:rsidR="00312467" w:rsidRPr="005C3EC8">
        <w:rPr>
          <w:rFonts w:ascii="Calibri" w:hAnsi="Calibri"/>
        </w:rPr>
        <w:t>, albeit only updated to 2014.</w:t>
      </w:r>
      <w:r w:rsidR="00312467" w:rsidRPr="005C3EC8">
        <w:rPr>
          <w:rStyle w:val="FootnoteReference"/>
          <w:rFonts w:ascii="Calibri" w:hAnsi="Calibri"/>
        </w:rPr>
        <w:footnoteReference w:id="240"/>
      </w:r>
      <w:r w:rsidR="00392D17" w:rsidRPr="005C3EC8">
        <w:rPr>
          <w:rFonts w:ascii="Calibri" w:hAnsi="Calibri"/>
        </w:rPr>
        <w:t xml:space="preserve"> For minerals in Northern Ireland, the DfE website provides geological data and reports for mining rights.</w:t>
      </w:r>
      <w:r w:rsidR="00392D17" w:rsidRPr="005C3EC8">
        <w:rPr>
          <w:rStyle w:val="FootnoteReference"/>
          <w:rFonts w:ascii="Calibri" w:hAnsi="Calibri"/>
        </w:rPr>
        <w:footnoteReference w:id="241"/>
      </w:r>
      <w:r w:rsidR="00896990" w:rsidRPr="005C3EC8">
        <w:rPr>
          <w:rFonts w:ascii="Calibri" w:hAnsi="Calibri"/>
        </w:rPr>
        <w:t xml:space="preserve"> The Coal Authority provides coal mining reports and data</w:t>
      </w:r>
      <w:r w:rsidR="000B6F1E" w:rsidRPr="005C3EC8">
        <w:rPr>
          <w:rStyle w:val="FootnoteReference"/>
          <w:rFonts w:ascii="Calibri" w:hAnsi="Calibri"/>
        </w:rPr>
        <w:footnoteReference w:id="242"/>
      </w:r>
      <w:r w:rsidR="000B6F1E" w:rsidRPr="005C3EC8">
        <w:rPr>
          <w:rFonts w:ascii="Calibri" w:hAnsi="Calibri"/>
        </w:rPr>
        <w:t xml:space="preserve"> and historical statistical coal data</w:t>
      </w:r>
      <w:r w:rsidR="000B6F1E" w:rsidRPr="005C3EC8">
        <w:rPr>
          <w:rStyle w:val="FootnoteReference"/>
          <w:rFonts w:ascii="Calibri" w:hAnsi="Calibri"/>
        </w:rPr>
        <w:footnoteReference w:id="243"/>
      </w:r>
      <w:r w:rsidR="000B6F1E" w:rsidRPr="005C3EC8">
        <w:rPr>
          <w:rFonts w:ascii="Calibri" w:hAnsi="Calibri"/>
        </w:rPr>
        <w:t xml:space="preserve"> </w:t>
      </w:r>
      <w:r w:rsidR="00896990" w:rsidRPr="005C3EC8">
        <w:rPr>
          <w:rFonts w:ascii="Calibri" w:hAnsi="Calibri"/>
        </w:rPr>
        <w:t>on the government website. The Crown Estate website provides annual updates on development in marine aggregates</w:t>
      </w:r>
      <w:r w:rsidR="00896990" w:rsidRPr="005C3EC8">
        <w:rPr>
          <w:rStyle w:val="FootnoteReference"/>
          <w:rFonts w:ascii="Calibri" w:hAnsi="Calibri"/>
        </w:rPr>
        <w:footnoteReference w:id="244"/>
      </w:r>
      <w:r w:rsidR="00896990" w:rsidRPr="005C3EC8">
        <w:rPr>
          <w:rFonts w:ascii="Calibri" w:hAnsi="Calibri"/>
        </w:rPr>
        <w:t>, but only refers to land-based mining licenses for minerals such as sand, gravel, limestone, granite, brick clay, slate and dimension stone</w:t>
      </w:r>
      <w:r w:rsidR="00896990" w:rsidRPr="005C3EC8">
        <w:rPr>
          <w:rStyle w:val="FootnoteReference"/>
          <w:rFonts w:ascii="Calibri" w:hAnsi="Calibri"/>
        </w:rPr>
        <w:footnoteReference w:id="245"/>
      </w:r>
      <w:r w:rsidR="00075AD2" w:rsidRPr="005C3EC8">
        <w:rPr>
          <w:rFonts w:ascii="Calibri" w:hAnsi="Calibri"/>
        </w:rPr>
        <w:t xml:space="preserve"> without describing these mining and quarrying activities. </w:t>
      </w:r>
      <w:r w:rsidR="00733E67" w:rsidRPr="005C3EC8">
        <w:rPr>
          <w:rFonts w:ascii="Calibri" w:hAnsi="Calibri"/>
        </w:rPr>
        <w:t xml:space="preserve">The British Marine Aggregate Producers </w:t>
      </w:r>
      <w:r w:rsidR="00733E67" w:rsidRPr="005C3EC8">
        <w:rPr>
          <w:rFonts w:ascii="Calibri" w:hAnsi="Calibri"/>
        </w:rPr>
        <w:lastRenderedPageBreak/>
        <w:t>Association (BMAPA) publishes annual updates on trends in the marine aggregate dredging sector.</w:t>
      </w:r>
      <w:r w:rsidR="00733E67" w:rsidRPr="005C3EC8">
        <w:rPr>
          <w:rStyle w:val="FootnoteReference"/>
          <w:rFonts w:ascii="Calibri" w:hAnsi="Calibri"/>
        </w:rPr>
        <w:footnoteReference w:id="246"/>
      </w:r>
      <w:r w:rsidR="00617550" w:rsidRPr="005C3EC8">
        <w:rPr>
          <w:rFonts w:ascii="Calibri" w:hAnsi="Calibri"/>
        </w:rPr>
        <w:t xml:space="preserve"> The Marine Management Organisation operates a public register of marine license applications and requests.</w:t>
      </w:r>
      <w:r w:rsidR="00617550" w:rsidRPr="005C3EC8">
        <w:rPr>
          <w:rStyle w:val="FootnoteReference"/>
          <w:rFonts w:ascii="Calibri" w:hAnsi="Calibri"/>
        </w:rPr>
        <w:footnoteReference w:id="247"/>
      </w:r>
      <w:r w:rsidR="000B6F1E" w:rsidRPr="005C3EC8">
        <w:rPr>
          <w:rFonts w:ascii="Calibri" w:hAnsi="Calibri"/>
        </w:rPr>
        <w:t xml:space="preserve"> The UK’s devolved authorities publish information related marine licenses on their respective websites, including from Natural Resources Wales</w:t>
      </w:r>
      <w:r w:rsidR="000B6F1E" w:rsidRPr="005C3EC8">
        <w:rPr>
          <w:rStyle w:val="FootnoteReference"/>
          <w:rFonts w:ascii="Calibri" w:hAnsi="Calibri"/>
        </w:rPr>
        <w:footnoteReference w:id="248"/>
      </w:r>
      <w:r w:rsidR="000B6F1E" w:rsidRPr="005C3EC8">
        <w:rPr>
          <w:rFonts w:ascii="Calibri" w:hAnsi="Calibri"/>
        </w:rPr>
        <w:t>, the Scottish Government</w:t>
      </w:r>
      <w:r w:rsidR="000B6F1E" w:rsidRPr="005C3EC8">
        <w:rPr>
          <w:rStyle w:val="FootnoteReference"/>
          <w:rFonts w:ascii="Calibri" w:hAnsi="Calibri"/>
        </w:rPr>
        <w:footnoteReference w:id="249"/>
      </w:r>
      <w:r w:rsidR="000B6F1E" w:rsidRPr="005C3EC8">
        <w:rPr>
          <w:rFonts w:ascii="Calibri" w:hAnsi="Calibri"/>
        </w:rPr>
        <w:t xml:space="preserve"> and Northern Ireland’s Department of Agriculture, Environment and Rural Affairs.</w:t>
      </w:r>
      <w:r w:rsidR="000B6F1E" w:rsidRPr="005C3EC8">
        <w:rPr>
          <w:rStyle w:val="FootnoteReference"/>
          <w:rFonts w:ascii="Calibri" w:hAnsi="Calibri"/>
        </w:rPr>
        <w:footnoteReference w:id="250"/>
      </w:r>
      <w:r w:rsidR="007D010C" w:rsidRPr="005C3EC8">
        <w:rPr>
          <w:rFonts w:ascii="Calibri" w:hAnsi="Calibri"/>
        </w:rPr>
        <w:t xml:space="preserve"> The annual reports of each competent authority tend to provide overviews of significant exploration activities in mining and quarrying. </w:t>
      </w:r>
    </w:p>
    <w:p w14:paraId="5B772EAF" w14:textId="4D5E32F7" w:rsidR="00172A44" w:rsidRPr="005C3EC8" w:rsidRDefault="00C86058" w:rsidP="00C86058">
      <w:pPr>
        <w:spacing w:before="120"/>
        <w:rPr>
          <w:rFonts w:ascii="Calibri" w:hAnsi="Calibri"/>
        </w:rPr>
      </w:pPr>
      <w:r w:rsidRPr="005C3EC8">
        <w:rPr>
          <w:rFonts w:ascii="Calibri" w:hAnsi="Calibri"/>
          <w:b/>
          <w:i/>
        </w:rPr>
        <w:t>2016 EITI Report</w:t>
      </w:r>
      <w:r w:rsidRPr="005C3EC8">
        <w:rPr>
          <w:rFonts w:ascii="Calibri" w:hAnsi="Calibri"/>
          <w:i/>
        </w:rPr>
        <w:t>:</w:t>
      </w:r>
      <w:r w:rsidRPr="005C3EC8">
        <w:rPr>
          <w:rFonts w:ascii="Calibri" w:hAnsi="Calibri"/>
        </w:rPr>
        <w:t xml:space="preserve"> </w:t>
      </w:r>
      <w:r w:rsidR="00172A44" w:rsidRPr="005C3EC8">
        <w:rPr>
          <w:rFonts w:ascii="Calibri" w:hAnsi="Calibri"/>
        </w:rPr>
        <w:t xml:space="preserve">The </w:t>
      </w:r>
      <w:r w:rsidR="008316B3" w:rsidRPr="005C3EC8">
        <w:rPr>
          <w:rFonts w:ascii="Calibri" w:hAnsi="Calibri"/>
        </w:rPr>
        <w:t>r</w:t>
      </w:r>
      <w:r w:rsidR="00172A44" w:rsidRPr="005C3EC8">
        <w:rPr>
          <w:rFonts w:ascii="Calibri" w:hAnsi="Calibri"/>
        </w:rPr>
        <w:t xml:space="preserve">eport provides an overview of the extractive industries, </w:t>
      </w:r>
      <w:r w:rsidR="00E80ED8" w:rsidRPr="005C3EC8">
        <w:rPr>
          <w:rFonts w:ascii="Calibri" w:hAnsi="Calibri"/>
        </w:rPr>
        <w:t xml:space="preserve">including an overview of the history and economic impact </w:t>
      </w:r>
      <w:r w:rsidR="00172A44" w:rsidRPr="005C3EC8">
        <w:rPr>
          <w:rFonts w:ascii="Calibri" w:hAnsi="Calibri"/>
        </w:rPr>
        <w:t>(pp.10-11,13-29</w:t>
      </w:r>
      <w:r w:rsidR="00E80ED8" w:rsidRPr="005C3EC8">
        <w:rPr>
          <w:rFonts w:ascii="Calibri" w:hAnsi="Calibri"/>
        </w:rPr>
        <w:t xml:space="preserve">), the oil and gas sector (pp.30-39), shale gas (pp.51-52) and the </w:t>
      </w:r>
      <w:r w:rsidR="00172A44" w:rsidRPr="005C3EC8">
        <w:rPr>
          <w:rFonts w:ascii="Calibri" w:hAnsi="Calibri"/>
        </w:rPr>
        <w:t xml:space="preserve">mining and quarrying sectors (pp.53-57). </w:t>
      </w:r>
      <w:r w:rsidR="00E80ED8" w:rsidRPr="005C3EC8">
        <w:rPr>
          <w:rFonts w:ascii="Calibri" w:hAnsi="Calibri"/>
        </w:rPr>
        <w:t xml:space="preserve">Links are also provided to additional information on sub-sectors from relevant government websites. The report provides overviews of significant exploration activities in oil and gas (pp.35-36), </w:t>
      </w:r>
      <w:r w:rsidR="00172A44" w:rsidRPr="005C3EC8">
        <w:rPr>
          <w:rFonts w:ascii="Calibri" w:hAnsi="Calibri"/>
        </w:rPr>
        <w:t>minerals and quarryi</w:t>
      </w:r>
      <w:r w:rsidR="00617550" w:rsidRPr="005C3EC8">
        <w:rPr>
          <w:rFonts w:ascii="Calibri" w:hAnsi="Calibri"/>
        </w:rPr>
        <w:t xml:space="preserve">ng (pp.62-67) and coal (p.66). </w:t>
      </w:r>
    </w:p>
    <w:p w14:paraId="6BBFB834" w14:textId="5818979A" w:rsidR="00AC3CE6" w:rsidRPr="005C3EC8" w:rsidRDefault="00675030">
      <w:pPr>
        <w:pStyle w:val="Heading3"/>
      </w:pPr>
      <w:r w:rsidRPr="005C3EC8">
        <w:t xml:space="preserve">Stakeholder views </w:t>
      </w:r>
    </w:p>
    <w:p w14:paraId="6C529E22" w14:textId="588883F0" w:rsidR="00DC388F" w:rsidRPr="005C3EC8" w:rsidRDefault="00DC388F" w:rsidP="00DC388F">
      <w:pPr>
        <w:rPr>
          <w:rFonts w:ascii="Calibri" w:hAnsi="Calibri"/>
        </w:rPr>
      </w:pPr>
      <w:r w:rsidRPr="005C3EC8">
        <w:rPr>
          <w:rFonts w:ascii="Calibri" w:hAnsi="Calibri"/>
        </w:rPr>
        <w:t xml:space="preserve">None of the stakeholders consulted expressed any particular opinion about the 2016 EITI Report’s coverage of the extractive industries, including significant exploration activities. An independent industry expert noted that UK statistics were particularly reliable in providing the identity and location of all 2000 active mines and quarrying in the country. </w:t>
      </w:r>
    </w:p>
    <w:p w14:paraId="5F158EFC" w14:textId="1076A72F" w:rsidR="00675030" w:rsidRPr="005C3EC8" w:rsidRDefault="00675030">
      <w:pPr>
        <w:pStyle w:val="Heading3"/>
      </w:pPr>
      <w:bookmarkStart w:id="190" w:name="_Toc459133125"/>
      <w:bookmarkStart w:id="191" w:name="_Toc461803074"/>
      <w:r w:rsidRPr="005C3EC8">
        <w:t>Initial assessment</w:t>
      </w:r>
      <w:bookmarkEnd w:id="190"/>
      <w:bookmarkEnd w:id="191"/>
    </w:p>
    <w:p w14:paraId="0E3FAA89" w14:textId="5C3C94E8" w:rsidR="00E80ED8" w:rsidRPr="005C3EC8" w:rsidRDefault="00675030" w:rsidP="00E66A26">
      <w:pPr>
        <w:spacing w:before="120"/>
        <w:rPr>
          <w:rFonts w:ascii="Calibri" w:hAnsi="Calibri"/>
        </w:rPr>
      </w:pPr>
      <w:r w:rsidRPr="005C3EC8">
        <w:rPr>
          <w:rFonts w:ascii="Calibri" w:hAnsi="Calibri"/>
        </w:rPr>
        <w:t xml:space="preserve">The International Secretariat’s initial assessment is that </w:t>
      </w:r>
      <w:r w:rsidR="00E80ED8" w:rsidRPr="005C3EC8">
        <w:rPr>
          <w:rFonts w:ascii="Calibri" w:hAnsi="Calibri"/>
          <w:bCs/>
        </w:rPr>
        <w:t>the UK</w:t>
      </w:r>
      <w:r w:rsidR="00405360" w:rsidRPr="005C3EC8">
        <w:rPr>
          <w:rFonts w:ascii="Calibri" w:hAnsi="Calibri"/>
        </w:rPr>
        <w:t xml:space="preserve"> </w:t>
      </w:r>
      <w:r w:rsidRPr="005C3EC8">
        <w:rPr>
          <w:rFonts w:ascii="Calibri" w:hAnsi="Calibri"/>
        </w:rPr>
        <w:t xml:space="preserve">has made </w:t>
      </w:r>
      <w:r w:rsidR="00E80ED8" w:rsidRPr="003B7537">
        <w:rPr>
          <w:rFonts w:ascii="Calibri" w:hAnsi="Calibri"/>
          <w:b/>
          <w:bCs/>
        </w:rPr>
        <w:t>satisfactory</w:t>
      </w:r>
      <w:r w:rsidR="00E80ED8" w:rsidRPr="00A46237">
        <w:rPr>
          <w:rFonts w:ascii="Calibri" w:hAnsi="Calibri"/>
          <w:b/>
          <w:bCs/>
        </w:rPr>
        <w:t xml:space="preserve"> </w:t>
      </w:r>
      <w:r w:rsidRPr="003B7537">
        <w:rPr>
          <w:rFonts w:ascii="Calibri" w:hAnsi="Calibri"/>
          <w:b/>
        </w:rPr>
        <w:t>progress</w:t>
      </w:r>
      <w:r w:rsidRPr="005C3EC8">
        <w:rPr>
          <w:rFonts w:ascii="Calibri" w:hAnsi="Calibri"/>
        </w:rPr>
        <w:t xml:space="preserve"> towards meeting this requirement. </w:t>
      </w:r>
      <w:r w:rsidR="00E80ED8" w:rsidRPr="005C3EC8">
        <w:rPr>
          <w:rFonts w:ascii="Calibri" w:hAnsi="Calibri"/>
        </w:rPr>
        <w:t xml:space="preserve">The 2016 EITI Report provides an overview of the oil and gas, shale gas, coal, mining and quarrying sectors, including significant exploration activities. </w:t>
      </w:r>
      <w:r w:rsidR="007D3F87" w:rsidRPr="005C3EC8">
        <w:rPr>
          <w:rFonts w:ascii="Calibri" w:hAnsi="Calibri"/>
        </w:rPr>
        <w:t xml:space="preserve">The Secretariat’s view is that the UK has made efforts to go beyond the </w:t>
      </w:r>
      <w:r w:rsidR="008032D3" w:rsidRPr="005C3EC8">
        <w:rPr>
          <w:rFonts w:ascii="Calibri" w:hAnsi="Calibri"/>
        </w:rPr>
        <w:t>minimum requirements through its systematic disclosures of overviews of the extractive industries, including significant exploration activities.</w:t>
      </w:r>
    </w:p>
    <w:p w14:paraId="08159A86" w14:textId="0F17BA0C" w:rsidR="000722F1" w:rsidRPr="005C3EC8" w:rsidRDefault="000722F1" w:rsidP="0097728B">
      <w:pPr>
        <w:pStyle w:val="Heading2"/>
      </w:pPr>
      <w:bookmarkStart w:id="192" w:name="_Toc459133126"/>
      <w:bookmarkStart w:id="193" w:name="_Toc461803075"/>
      <w:bookmarkStart w:id="194" w:name="_Toc461787335"/>
      <w:bookmarkStart w:id="195" w:name="_Toc461795847"/>
      <w:r w:rsidRPr="005C3EC8">
        <w:t>Production data (#3.</w:t>
      </w:r>
      <w:r w:rsidR="007C5BEB" w:rsidRPr="005C3EC8">
        <w:t>2</w:t>
      </w:r>
      <w:r w:rsidRPr="005C3EC8">
        <w:t>)</w:t>
      </w:r>
      <w:bookmarkEnd w:id="192"/>
      <w:bookmarkEnd w:id="193"/>
      <w:bookmarkEnd w:id="194"/>
      <w:bookmarkEnd w:id="195"/>
      <w:r w:rsidRPr="005C3EC8">
        <w:t xml:space="preserve"> </w:t>
      </w:r>
    </w:p>
    <w:p w14:paraId="631906BB" w14:textId="77777777" w:rsidR="009B332B" w:rsidRPr="005C3EC8" w:rsidRDefault="00675030" w:rsidP="0097728B">
      <w:pPr>
        <w:pStyle w:val="Heading3"/>
      </w:pPr>
      <w:r w:rsidRPr="005C3EC8">
        <w:t xml:space="preserve">Documentation of progress </w:t>
      </w:r>
    </w:p>
    <w:p w14:paraId="3A0C5186" w14:textId="0A185B54" w:rsidR="0054239D" w:rsidRPr="005C3EC8" w:rsidRDefault="00C86058" w:rsidP="00C86058">
      <w:pPr>
        <w:spacing w:before="120"/>
        <w:rPr>
          <w:rFonts w:ascii="Calibri" w:hAnsi="Calibri"/>
        </w:rPr>
      </w:pPr>
      <w:r w:rsidRPr="005C3EC8">
        <w:rPr>
          <w:rFonts w:ascii="Calibri" w:hAnsi="Calibri"/>
          <w:b/>
          <w:i/>
        </w:rPr>
        <w:t>Systematic disclosures</w:t>
      </w:r>
      <w:r w:rsidRPr="005C3EC8">
        <w:rPr>
          <w:rFonts w:ascii="Calibri" w:hAnsi="Calibri"/>
          <w:i/>
        </w:rPr>
        <w:t xml:space="preserve">: </w:t>
      </w:r>
      <w:r w:rsidR="0054239D" w:rsidRPr="005C3EC8">
        <w:rPr>
          <w:rFonts w:ascii="Calibri" w:hAnsi="Calibri"/>
        </w:rPr>
        <w:t xml:space="preserve">For </w:t>
      </w:r>
      <w:r w:rsidR="0054239D" w:rsidRPr="005C3EC8">
        <w:rPr>
          <w:rFonts w:ascii="Calibri" w:hAnsi="Calibri"/>
          <w:i/>
        </w:rPr>
        <w:t>oil and gas</w:t>
      </w:r>
      <w:r w:rsidR="0054239D" w:rsidRPr="005C3EC8">
        <w:rPr>
          <w:rFonts w:ascii="Calibri" w:hAnsi="Calibri"/>
        </w:rPr>
        <w:t xml:space="preserve">, </w:t>
      </w:r>
      <w:r w:rsidR="00F17B77" w:rsidRPr="005C3EC8">
        <w:rPr>
          <w:rFonts w:ascii="Calibri" w:hAnsi="Calibri"/>
        </w:rPr>
        <w:t>the Digest of UK Energy Statistics (DUKES) provides annual production volumes and values for coal, oil and gas.</w:t>
      </w:r>
      <w:r w:rsidR="00F17B77" w:rsidRPr="005C3EC8">
        <w:rPr>
          <w:rStyle w:val="FootnoteReference"/>
          <w:rFonts w:ascii="Calibri" w:hAnsi="Calibri"/>
        </w:rPr>
        <w:footnoteReference w:id="251"/>
      </w:r>
    </w:p>
    <w:p w14:paraId="2133BA5B" w14:textId="0DB54AD3" w:rsidR="006730EC" w:rsidRPr="005C3EC8" w:rsidRDefault="0054239D" w:rsidP="00C86058">
      <w:pPr>
        <w:spacing w:before="120"/>
        <w:rPr>
          <w:rFonts w:ascii="Calibri" w:hAnsi="Calibri"/>
        </w:rPr>
      </w:pPr>
      <w:r w:rsidRPr="005C3EC8">
        <w:rPr>
          <w:rFonts w:ascii="Calibri" w:hAnsi="Calibri"/>
        </w:rPr>
        <w:t xml:space="preserve">For </w:t>
      </w:r>
      <w:r w:rsidRPr="005C3EC8">
        <w:rPr>
          <w:rFonts w:ascii="Calibri" w:hAnsi="Calibri"/>
          <w:i/>
        </w:rPr>
        <w:t>mining and quarrying</w:t>
      </w:r>
      <w:r w:rsidR="00453F7F" w:rsidRPr="005C3EC8">
        <w:rPr>
          <w:rFonts w:ascii="Calibri" w:hAnsi="Calibri"/>
        </w:rPr>
        <w:t>, the BGS pub</w:t>
      </w:r>
      <w:r w:rsidR="0076119B" w:rsidRPr="005C3EC8">
        <w:rPr>
          <w:rFonts w:ascii="Calibri" w:hAnsi="Calibri"/>
        </w:rPr>
        <w:t>l</w:t>
      </w:r>
      <w:r w:rsidR="00453F7F" w:rsidRPr="005C3EC8">
        <w:rPr>
          <w:rFonts w:ascii="Calibri" w:hAnsi="Calibri"/>
        </w:rPr>
        <w:t xml:space="preserve">ishes </w:t>
      </w:r>
      <w:r w:rsidR="00F17B77" w:rsidRPr="005C3EC8">
        <w:rPr>
          <w:rFonts w:ascii="Calibri" w:hAnsi="Calibri"/>
        </w:rPr>
        <w:t xml:space="preserve">annual UK Minerals Yearbooks, albeit with a 2.5-year delay. While the 2015 </w:t>
      </w:r>
      <w:r w:rsidR="001D0349" w:rsidRPr="005C3EC8">
        <w:rPr>
          <w:rFonts w:ascii="Calibri" w:hAnsi="Calibri"/>
        </w:rPr>
        <w:t>UK Minerals Yearbook</w:t>
      </w:r>
      <w:r w:rsidR="00F17B77" w:rsidRPr="005C3EC8">
        <w:rPr>
          <w:rFonts w:ascii="Calibri" w:hAnsi="Calibri"/>
        </w:rPr>
        <w:t xml:space="preserve"> </w:t>
      </w:r>
      <w:r w:rsidR="001D0349" w:rsidRPr="005C3EC8">
        <w:rPr>
          <w:rFonts w:ascii="Calibri" w:hAnsi="Calibri"/>
        </w:rPr>
        <w:t xml:space="preserve">is </w:t>
      </w:r>
      <w:r w:rsidR="00F17B77" w:rsidRPr="005C3EC8">
        <w:rPr>
          <w:rFonts w:ascii="Calibri" w:hAnsi="Calibri"/>
        </w:rPr>
        <w:t>accessible through a direct download link</w:t>
      </w:r>
      <w:r w:rsidR="00F17B77" w:rsidRPr="005C3EC8">
        <w:rPr>
          <w:rStyle w:val="FootnoteReference"/>
          <w:rFonts w:ascii="Calibri" w:hAnsi="Calibri"/>
        </w:rPr>
        <w:footnoteReference w:id="252"/>
      </w:r>
      <w:r w:rsidR="00F17B77" w:rsidRPr="005C3EC8">
        <w:rPr>
          <w:rFonts w:ascii="Calibri" w:hAnsi="Calibri"/>
        </w:rPr>
        <w:t xml:space="preserve"> provided in the 2016 </w:t>
      </w:r>
      <w:r w:rsidR="00F17B77" w:rsidRPr="005C3EC8">
        <w:rPr>
          <w:rFonts w:ascii="Calibri" w:hAnsi="Calibri"/>
        </w:rPr>
        <w:lastRenderedPageBreak/>
        <w:t xml:space="preserve">EITI Report, </w:t>
      </w:r>
      <w:r w:rsidR="001D0349" w:rsidRPr="005C3EC8">
        <w:rPr>
          <w:rFonts w:ascii="Calibri" w:hAnsi="Calibri"/>
        </w:rPr>
        <w:t xml:space="preserve">the main </w:t>
      </w:r>
      <w:proofErr w:type="spellStart"/>
      <w:r w:rsidR="001D0349" w:rsidRPr="005C3EC8">
        <w:rPr>
          <w:rFonts w:ascii="Calibri" w:hAnsi="Calibri"/>
        </w:rPr>
        <w:t>MineralsUK</w:t>
      </w:r>
      <w:proofErr w:type="spellEnd"/>
      <w:r w:rsidR="001D0349" w:rsidRPr="005C3EC8">
        <w:rPr>
          <w:rFonts w:ascii="Calibri" w:hAnsi="Calibri"/>
        </w:rPr>
        <w:t xml:space="preserve"> website operated by the BGS only lists </w:t>
      </w:r>
      <w:r w:rsidR="007412EB" w:rsidRPr="005C3EC8">
        <w:rPr>
          <w:rFonts w:ascii="Calibri" w:hAnsi="Calibri"/>
        </w:rPr>
        <w:t>mineral statistics</w:t>
      </w:r>
      <w:r w:rsidR="001D0349" w:rsidRPr="005C3EC8">
        <w:rPr>
          <w:rFonts w:ascii="Calibri" w:hAnsi="Calibri"/>
        </w:rPr>
        <w:t xml:space="preserve"> up to </w:t>
      </w:r>
      <w:r w:rsidR="007412EB" w:rsidRPr="005C3EC8">
        <w:rPr>
          <w:rFonts w:ascii="Calibri" w:hAnsi="Calibri"/>
        </w:rPr>
        <w:t>2014</w:t>
      </w:r>
      <w:r w:rsidR="001D0349" w:rsidRPr="005C3EC8">
        <w:rPr>
          <w:rFonts w:ascii="Calibri" w:hAnsi="Calibri"/>
        </w:rPr>
        <w:t>.</w:t>
      </w:r>
      <w:r w:rsidR="001D0349" w:rsidRPr="005C3EC8">
        <w:rPr>
          <w:rStyle w:val="FootnoteReference"/>
          <w:rFonts w:ascii="Calibri" w:hAnsi="Calibri"/>
        </w:rPr>
        <w:footnoteReference w:id="253"/>
      </w:r>
      <w:r w:rsidR="00B52193" w:rsidRPr="005C3EC8">
        <w:rPr>
          <w:rFonts w:ascii="Calibri" w:hAnsi="Calibri"/>
        </w:rPr>
        <w:t xml:space="preserve"> The Minerals Yearbooks provide production volumes and values of minerals produced. </w:t>
      </w:r>
      <w:r w:rsidR="00453F7F" w:rsidRPr="005C3EC8">
        <w:rPr>
          <w:rFonts w:ascii="Calibri" w:hAnsi="Calibri"/>
        </w:rPr>
        <w:t>T</w:t>
      </w:r>
      <w:r w:rsidR="006730EC" w:rsidRPr="005C3EC8">
        <w:rPr>
          <w:rFonts w:ascii="Calibri" w:hAnsi="Calibri"/>
        </w:rPr>
        <w:t>he Department for BEIS produces aggregate coal production figures</w:t>
      </w:r>
      <w:r w:rsidR="006730EC" w:rsidRPr="005C3EC8">
        <w:rPr>
          <w:rStyle w:val="FootnoteReference"/>
          <w:rFonts w:ascii="Calibri" w:hAnsi="Calibri"/>
        </w:rPr>
        <w:footnoteReference w:id="254"/>
      </w:r>
      <w:r w:rsidR="006730EC" w:rsidRPr="005C3EC8">
        <w:rPr>
          <w:rFonts w:ascii="Calibri" w:hAnsi="Calibri"/>
        </w:rPr>
        <w:t>, including data series covering 1853-2016</w:t>
      </w:r>
      <w:r w:rsidR="006730EC" w:rsidRPr="005C3EC8">
        <w:rPr>
          <w:rStyle w:val="FootnoteReference"/>
          <w:rFonts w:ascii="Calibri" w:hAnsi="Calibri"/>
        </w:rPr>
        <w:footnoteReference w:id="255"/>
      </w:r>
      <w:r w:rsidR="006730EC" w:rsidRPr="005C3EC8">
        <w:rPr>
          <w:rFonts w:ascii="Calibri" w:hAnsi="Calibri"/>
        </w:rPr>
        <w:t>, hosted on the government website. Gov.uk publishes monthly updates on production volumes of construction materials such as cement and clinker, sand and gravel, slate, bricks, concrete building blocks and roofing tiles.</w:t>
      </w:r>
      <w:r w:rsidR="006730EC" w:rsidRPr="005C3EC8">
        <w:rPr>
          <w:rStyle w:val="FootnoteReference"/>
          <w:rFonts w:ascii="Calibri" w:hAnsi="Calibri"/>
        </w:rPr>
        <w:footnoteReference w:id="256"/>
      </w:r>
      <w:r w:rsidR="00453F7F" w:rsidRPr="005C3EC8">
        <w:rPr>
          <w:rFonts w:ascii="Calibri" w:hAnsi="Calibri"/>
        </w:rPr>
        <w:t xml:space="preserve"> </w:t>
      </w:r>
      <w:r w:rsidR="00940713" w:rsidRPr="005C3EC8">
        <w:rPr>
          <w:rFonts w:ascii="Calibri" w:hAnsi="Calibri"/>
        </w:rPr>
        <w:t>While production values are not explicitly provided, the data includes monthly reference prices for each of these six commodities.</w:t>
      </w:r>
    </w:p>
    <w:p w14:paraId="603636F4" w14:textId="7495DCE0" w:rsidR="00675030" w:rsidRPr="005C3EC8" w:rsidRDefault="00C86058" w:rsidP="00C86058">
      <w:pPr>
        <w:spacing w:before="120"/>
        <w:rPr>
          <w:rFonts w:ascii="Calibri" w:hAnsi="Calibri"/>
        </w:rPr>
      </w:pPr>
      <w:r w:rsidRPr="005C3EC8">
        <w:rPr>
          <w:rFonts w:ascii="Calibri" w:hAnsi="Calibri"/>
          <w:b/>
          <w:i/>
        </w:rPr>
        <w:t>2016 EITI Report</w:t>
      </w:r>
      <w:r w:rsidRPr="005C3EC8">
        <w:rPr>
          <w:rFonts w:ascii="Calibri" w:hAnsi="Calibri"/>
          <w:i/>
        </w:rPr>
        <w:t>:</w:t>
      </w:r>
      <w:r w:rsidRPr="005C3EC8">
        <w:rPr>
          <w:rFonts w:ascii="Calibri" w:hAnsi="Calibri"/>
        </w:rPr>
        <w:t xml:space="preserve"> </w:t>
      </w:r>
      <w:r w:rsidR="00405360" w:rsidRPr="005C3EC8">
        <w:rPr>
          <w:rFonts w:ascii="Calibri" w:hAnsi="Calibri"/>
          <w:i/>
          <w:u w:val="single"/>
        </w:rPr>
        <w:t>P</w:t>
      </w:r>
      <w:r w:rsidR="00675030" w:rsidRPr="005C3EC8">
        <w:rPr>
          <w:rFonts w:ascii="Calibri" w:hAnsi="Calibri"/>
          <w:i/>
          <w:u w:val="single"/>
        </w:rPr>
        <w:t>roduction volumes</w:t>
      </w:r>
      <w:r w:rsidR="00675030" w:rsidRPr="005C3EC8">
        <w:rPr>
          <w:rFonts w:ascii="Calibri" w:hAnsi="Calibri"/>
          <w:u w:val="single"/>
        </w:rPr>
        <w:t>:</w:t>
      </w:r>
      <w:r w:rsidR="00675030" w:rsidRPr="005C3EC8">
        <w:rPr>
          <w:rFonts w:ascii="Calibri" w:hAnsi="Calibri"/>
        </w:rPr>
        <w:t xml:space="preserve"> </w:t>
      </w:r>
      <w:r w:rsidR="00E80ED8" w:rsidRPr="005C3EC8">
        <w:rPr>
          <w:rFonts w:ascii="Calibri" w:hAnsi="Calibri"/>
        </w:rPr>
        <w:t xml:space="preserve">In </w:t>
      </w:r>
      <w:r w:rsidR="00E80ED8" w:rsidRPr="005C3EC8">
        <w:rPr>
          <w:rFonts w:ascii="Calibri" w:hAnsi="Calibri"/>
          <w:i/>
        </w:rPr>
        <w:t>oil and gas</w:t>
      </w:r>
      <w:r w:rsidR="00E80ED8" w:rsidRPr="005C3EC8">
        <w:rPr>
          <w:rFonts w:ascii="Calibri" w:hAnsi="Calibri"/>
        </w:rPr>
        <w:t xml:space="preserve">, the 2016 EITI Report provides production volumes of crude oil and natural gas produced in 2016 (p.33). </w:t>
      </w:r>
    </w:p>
    <w:p w14:paraId="2A26ED58" w14:textId="39664468" w:rsidR="00E80ED8" w:rsidRPr="005C3EC8" w:rsidRDefault="00E80ED8" w:rsidP="00405360">
      <w:pPr>
        <w:spacing w:before="120"/>
        <w:rPr>
          <w:rFonts w:ascii="Calibri" w:hAnsi="Calibri"/>
        </w:rPr>
      </w:pPr>
      <w:r w:rsidRPr="005C3EC8">
        <w:rPr>
          <w:rFonts w:ascii="Calibri" w:hAnsi="Calibri"/>
        </w:rPr>
        <w:t xml:space="preserve">In </w:t>
      </w:r>
      <w:r w:rsidRPr="005C3EC8">
        <w:rPr>
          <w:rFonts w:ascii="Calibri" w:hAnsi="Calibri"/>
          <w:i/>
        </w:rPr>
        <w:t>mining and quarrying</w:t>
      </w:r>
      <w:r w:rsidRPr="005C3EC8">
        <w:rPr>
          <w:rFonts w:ascii="Calibri" w:hAnsi="Calibri"/>
        </w:rPr>
        <w:t>, the report provides 2016 production volumes for coal (pp.33,63), construction materials including primary aggregates (crushed rock, sand and gravel) (p.63), cementitious products (p.63), dimension stone (p.63), rock for non-construction use (p.63), industrial sand for non-construction use (p.63), clay (p.63), and industrial minerals including kaolin (p.64), ball clay (p.64), potash (p.65), salt (p.65), gypsum (p.65), fluorspar (p.66) and barytes (p.66). However</w:t>
      </w:r>
      <w:r w:rsidR="001D220C" w:rsidRPr="005C3EC8">
        <w:rPr>
          <w:rFonts w:ascii="Calibri" w:hAnsi="Calibri"/>
        </w:rPr>
        <w:t>,</w:t>
      </w:r>
      <w:r w:rsidRPr="005C3EC8">
        <w:rPr>
          <w:rFonts w:ascii="Calibri" w:hAnsi="Calibri"/>
        </w:rPr>
        <w:t xml:space="preserve"> the report only provides production volumes for silica sands (p.65) industrial and agricultural carbonates (p.66)</w:t>
      </w:r>
      <w:r w:rsidR="001A04E3" w:rsidRPr="005C3EC8">
        <w:rPr>
          <w:rFonts w:ascii="Calibri" w:hAnsi="Calibri"/>
        </w:rPr>
        <w:t xml:space="preserve"> for previous years</w:t>
      </w:r>
      <w:r w:rsidRPr="005C3EC8">
        <w:rPr>
          <w:rFonts w:ascii="Calibri" w:hAnsi="Calibri"/>
        </w:rPr>
        <w:t xml:space="preserve">, not </w:t>
      </w:r>
      <w:r w:rsidR="001A04E3" w:rsidRPr="005C3EC8">
        <w:rPr>
          <w:rFonts w:ascii="Calibri" w:hAnsi="Calibri"/>
        </w:rPr>
        <w:t xml:space="preserve">for </w:t>
      </w:r>
      <w:r w:rsidRPr="005C3EC8">
        <w:rPr>
          <w:rFonts w:ascii="Calibri" w:hAnsi="Calibri"/>
        </w:rPr>
        <w:t xml:space="preserve">2016, and states that the only tungsten mine in the UK, </w:t>
      </w:r>
      <w:r w:rsidR="008B62C6" w:rsidRPr="005C3EC8">
        <w:rPr>
          <w:rFonts w:ascii="Calibri" w:hAnsi="Calibri"/>
        </w:rPr>
        <w:t xml:space="preserve">in </w:t>
      </w:r>
      <w:proofErr w:type="spellStart"/>
      <w:r w:rsidRPr="005C3EC8">
        <w:rPr>
          <w:rFonts w:ascii="Calibri" w:hAnsi="Calibri"/>
        </w:rPr>
        <w:t>Drakelands</w:t>
      </w:r>
      <w:proofErr w:type="spellEnd"/>
      <w:r w:rsidRPr="005C3EC8">
        <w:rPr>
          <w:rFonts w:ascii="Calibri" w:hAnsi="Calibri"/>
        </w:rPr>
        <w:t xml:space="preserve">, began production in 2015 but does not provide 2016 production volumes. </w:t>
      </w:r>
    </w:p>
    <w:p w14:paraId="2F7BE2FB" w14:textId="61E405C0" w:rsidR="00675030" w:rsidRPr="005C3EC8" w:rsidRDefault="00405360" w:rsidP="00675030">
      <w:pPr>
        <w:spacing w:before="120"/>
        <w:rPr>
          <w:rFonts w:ascii="Calibri" w:hAnsi="Calibri"/>
          <w:bCs/>
        </w:rPr>
      </w:pPr>
      <w:r w:rsidRPr="005C3EC8">
        <w:rPr>
          <w:rFonts w:ascii="Calibri" w:hAnsi="Calibri"/>
          <w:i/>
          <w:u w:val="single"/>
        </w:rPr>
        <w:t>P</w:t>
      </w:r>
      <w:r w:rsidR="00675030" w:rsidRPr="005C3EC8">
        <w:rPr>
          <w:rFonts w:ascii="Calibri" w:hAnsi="Calibri"/>
          <w:i/>
          <w:u w:val="single"/>
        </w:rPr>
        <w:t>roduction value</w:t>
      </w:r>
      <w:r w:rsidRPr="005C3EC8">
        <w:rPr>
          <w:rFonts w:ascii="Calibri" w:hAnsi="Calibri"/>
          <w:i/>
          <w:u w:val="single"/>
        </w:rPr>
        <w:t>s</w:t>
      </w:r>
      <w:r w:rsidR="00675030" w:rsidRPr="005C3EC8">
        <w:rPr>
          <w:rFonts w:ascii="Calibri" w:hAnsi="Calibri"/>
          <w:u w:val="single"/>
        </w:rPr>
        <w:t>:</w:t>
      </w:r>
      <w:r w:rsidR="00675030" w:rsidRPr="005C3EC8">
        <w:rPr>
          <w:rFonts w:ascii="Calibri" w:hAnsi="Calibri"/>
        </w:rPr>
        <w:t xml:space="preserve"> </w:t>
      </w:r>
      <w:r w:rsidR="00E80ED8" w:rsidRPr="005C3EC8">
        <w:rPr>
          <w:rFonts w:ascii="Calibri" w:hAnsi="Calibri"/>
        </w:rPr>
        <w:t xml:space="preserve">In </w:t>
      </w:r>
      <w:r w:rsidR="00E80ED8" w:rsidRPr="005C3EC8">
        <w:rPr>
          <w:rFonts w:ascii="Calibri" w:hAnsi="Calibri"/>
          <w:i/>
        </w:rPr>
        <w:t>oil and gas</w:t>
      </w:r>
      <w:r w:rsidR="00E80ED8" w:rsidRPr="005C3EC8">
        <w:rPr>
          <w:rFonts w:ascii="Calibri" w:hAnsi="Calibri"/>
        </w:rPr>
        <w:t>,</w:t>
      </w:r>
      <w:r w:rsidR="008B62C6" w:rsidRPr="005C3EC8">
        <w:rPr>
          <w:rFonts w:ascii="Calibri" w:hAnsi="Calibri"/>
        </w:rPr>
        <w:t xml:space="preserve"> the report</w:t>
      </w:r>
      <w:r w:rsidR="00E80ED8" w:rsidRPr="005C3EC8">
        <w:rPr>
          <w:rFonts w:ascii="Calibri" w:hAnsi="Calibri"/>
        </w:rPr>
        <w:t xml:space="preserve"> </w:t>
      </w:r>
      <w:r w:rsidR="008B62C6" w:rsidRPr="005C3EC8">
        <w:rPr>
          <w:rFonts w:ascii="Calibri" w:hAnsi="Calibri"/>
        </w:rPr>
        <w:t xml:space="preserve">provides production values for crude oil and natural gas produced in 2016 (p.33). </w:t>
      </w:r>
    </w:p>
    <w:p w14:paraId="1DBCB4DD" w14:textId="141EF9A7" w:rsidR="00E80ED8" w:rsidRPr="005C3EC8" w:rsidRDefault="008B62C6" w:rsidP="00E80ED8">
      <w:pPr>
        <w:spacing w:before="120"/>
        <w:rPr>
          <w:rFonts w:ascii="Calibri" w:hAnsi="Calibri"/>
        </w:rPr>
      </w:pPr>
      <w:r w:rsidRPr="005C3EC8">
        <w:rPr>
          <w:rFonts w:ascii="Calibri" w:hAnsi="Calibri"/>
        </w:rPr>
        <w:t xml:space="preserve">In </w:t>
      </w:r>
      <w:r w:rsidRPr="005C3EC8">
        <w:rPr>
          <w:rFonts w:ascii="Calibri" w:hAnsi="Calibri"/>
          <w:i/>
        </w:rPr>
        <w:t>mining and quarrying</w:t>
      </w:r>
      <w:r w:rsidRPr="005C3EC8">
        <w:rPr>
          <w:rFonts w:ascii="Calibri" w:hAnsi="Calibri"/>
        </w:rPr>
        <w:t xml:space="preserve">, the report provides 2016 production values for coal (p.33) but does not provide values for other mineral commodities produced in 2016. While the report provides export values for one industrial mineral (silica sands) (p.65), it notes that the British Geological </w:t>
      </w:r>
      <w:r w:rsidR="00ED3455" w:rsidRPr="005C3EC8">
        <w:rPr>
          <w:rFonts w:ascii="Calibri" w:hAnsi="Calibri"/>
        </w:rPr>
        <w:t>Survey</w:t>
      </w:r>
      <w:r w:rsidRPr="005C3EC8">
        <w:rPr>
          <w:rFonts w:ascii="Calibri" w:hAnsi="Calibri"/>
        </w:rPr>
        <w:t xml:space="preserve"> (BGS) does not </w:t>
      </w:r>
      <w:r w:rsidR="00E80ED8" w:rsidRPr="005C3EC8">
        <w:rPr>
          <w:rFonts w:ascii="Calibri" w:hAnsi="Calibri"/>
        </w:rPr>
        <w:t xml:space="preserve">record the value of </w:t>
      </w:r>
      <w:r w:rsidR="004B23D7" w:rsidRPr="005C3EC8">
        <w:rPr>
          <w:rFonts w:ascii="Calibri" w:hAnsi="Calibri"/>
        </w:rPr>
        <w:t xml:space="preserve">production for </w:t>
      </w:r>
      <w:r w:rsidR="00E80ED8" w:rsidRPr="005C3EC8">
        <w:rPr>
          <w:rFonts w:ascii="Calibri" w:hAnsi="Calibri"/>
        </w:rPr>
        <w:t xml:space="preserve">construction materials </w:t>
      </w:r>
      <w:r w:rsidRPr="005C3EC8">
        <w:rPr>
          <w:rFonts w:ascii="Calibri" w:hAnsi="Calibri"/>
        </w:rPr>
        <w:t>(p.63)</w:t>
      </w:r>
      <w:r w:rsidR="00E80ED8" w:rsidRPr="005C3EC8">
        <w:rPr>
          <w:rFonts w:ascii="Calibri" w:hAnsi="Calibri"/>
        </w:rPr>
        <w:t>.</w:t>
      </w:r>
    </w:p>
    <w:p w14:paraId="1CB21224" w14:textId="379BAC38" w:rsidR="00A23668" w:rsidRPr="005C3EC8" w:rsidRDefault="00A23668" w:rsidP="00A23668">
      <w:pPr>
        <w:rPr>
          <w:rFonts w:ascii="Calibri" w:hAnsi="Calibri"/>
          <w:bCs/>
        </w:rPr>
      </w:pPr>
      <w:r w:rsidRPr="005C3EC8">
        <w:rPr>
          <w:rFonts w:ascii="Calibri" w:hAnsi="Calibri"/>
          <w:bCs/>
        </w:rPr>
        <w:t xml:space="preserve">The supplement to the 2016 EITI Report notes that production data included in the report drew on the best data available to the MSG and explains that the government had recently taken the view that collection and publication of </w:t>
      </w:r>
      <w:r w:rsidR="00612D10" w:rsidRPr="005C3EC8">
        <w:rPr>
          <w:rFonts w:ascii="Calibri" w:hAnsi="Calibri"/>
          <w:bCs/>
        </w:rPr>
        <w:t xml:space="preserve">some production </w:t>
      </w:r>
      <w:r w:rsidRPr="005C3EC8">
        <w:rPr>
          <w:rFonts w:ascii="Calibri" w:hAnsi="Calibri"/>
          <w:bCs/>
        </w:rPr>
        <w:t>data was no longer “cost effective”.</w:t>
      </w:r>
      <w:r w:rsidRPr="005C3EC8">
        <w:rPr>
          <w:rStyle w:val="FootnoteReference"/>
          <w:rFonts w:ascii="Calibri" w:hAnsi="Calibri"/>
          <w:bCs/>
        </w:rPr>
        <w:footnoteReference w:id="257"/>
      </w:r>
    </w:p>
    <w:p w14:paraId="217DC8BA" w14:textId="67480A49" w:rsidR="00E80ED8" w:rsidRPr="005C3EC8" w:rsidRDefault="00675030" w:rsidP="00675030">
      <w:pPr>
        <w:spacing w:before="120"/>
        <w:rPr>
          <w:rFonts w:ascii="Calibri" w:hAnsi="Calibri"/>
          <w:bCs/>
        </w:rPr>
      </w:pPr>
      <w:r w:rsidRPr="005C3EC8">
        <w:rPr>
          <w:rFonts w:ascii="Calibri" w:hAnsi="Calibri"/>
          <w:i/>
          <w:u w:val="single"/>
        </w:rPr>
        <w:t>Location</w:t>
      </w:r>
      <w:r w:rsidRPr="005C3EC8">
        <w:rPr>
          <w:rFonts w:ascii="Calibri" w:hAnsi="Calibri"/>
          <w:i/>
        </w:rPr>
        <w:t xml:space="preserve">: </w:t>
      </w:r>
      <w:r w:rsidR="00E80ED8" w:rsidRPr="005C3EC8">
        <w:rPr>
          <w:rFonts w:ascii="Calibri" w:hAnsi="Calibri"/>
        </w:rPr>
        <w:t xml:space="preserve">The report provides an overview of the location of the oil and gas, mining and quarrying sectors in the UK, including links to relevant maps of extractives activities (pp.25-27). It provides the location of production for coal (p.62), construction minerals (pp.63-64), industrial minerals (pp.64-66), metals minerals (p.66). </w:t>
      </w:r>
    </w:p>
    <w:p w14:paraId="31955BCC" w14:textId="77777777" w:rsidR="008C1A47" w:rsidRPr="005C3EC8" w:rsidRDefault="00675030">
      <w:pPr>
        <w:pStyle w:val="Heading3"/>
      </w:pPr>
      <w:r w:rsidRPr="005C3EC8">
        <w:lastRenderedPageBreak/>
        <w:t xml:space="preserve">Stakeholder views </w:t>
      </w:r>
    </w:p>
    <w:p w14:paraId="76664117" w14:textId="7ED1ED8F" w:rsidR="00DA4FFC" w:rsidRPr="005C3EC8" w:rsidRDefault="00DA4FFC" w:rsidP="00DA4FFC">
      <w:pPr>
        <w:spacing w:before="120"/>
        <w:rPr>
          <w:rFonts w:ascii="Calibri" w:hAnsi="Calibri"/>
          <w:bCs/>
        </w:rPr>
      </w:pPr>
      <w:r w:rsidRPr="005C3EC8">
        <w:rPr>
          <w:rFonts w:ascii="Calibri" w:hAnsi="Calibri"/>
          <w:bCs/>
        </w:rPr>
        <w:t xml:space="preserve">With regards to production data for non-energy minerals, an independent industry expert confirmed that the government had taken the view that collection and publication of production values (among other minerals data) were no longer cost effective from 2015 onwards. Several stakeholders from government and industry highlighted the cessation of the ONS’ annual minerals raised inquiry (AMRI) survey, which had been based on questionnaires to all operators. An industry MSG member clarified that the ONS’s AMRI surveys had only covered production volumes, not values. While the end of the AMRI survey did not imply that the government would stop publishing production data, the industry expert noted that there would be a loss of granularity in the data given that it would be based on companies’ self-reporting (in collaboration with trade associations), which by definition would not be as comprehensive as the ONS survey even if it would cover the vast majority of UK production. This data would be the basis for the next UK Minerals Yearbook, which would include data for 2016. Yet several industry representatives considered that the government still collected data on production values and could provide data on production values of construction materials that had not been included in the 2016 EITI Report. </w:t>
      </w:r>
      <w:r w:rsidRPr="005C3EC8">
        <w:rPr>
          <w:rFonts w:ascii="Calibri" w:hAnsi="Calibri"/>
        </w:rPr>
        <w:t xml:space="preserve">The industry expert explained that it would be methodologically unsound to use benchmark average annual prices to calculate estimates of the value of production of construction materials. In addition, the representative noted that aggregate production data such as values was considered confidential for mining sub-sectors in which fewer than three companies operated. For instance, there was a high degree of concentration in mining for commodities such as gypsum, kaolin, salt, potash, silica sands and slate, which could hinder the government’s ability to disclose production values. Several CSN representatives did not consider that there was significant public interest in production data for minerals used in construction materials. In terms of production data related to gold, an industry expert highlighted the production of 187 troy oz (5.8kg) of gold from the </w:t>
      </w:r>
      <w:proofErr w:type="spellStart"/>
      <w:r w:rsidRPr="005C3EC8">
        <w:rPr>
          <w:rFonts w:ascii="Calibri" w:hAnsi="Calibri"/>
        </w:rPr>
        <w:t>Connonish</w:t>
      </w:r>
      <w:proofErr w:type="spellEnd"/>
      <w:r w:rsidRPr="005C3EC8">
        <w:rPr>
          <w:rFonts w:ascii="Calibri" w:hAnsi="Calibri"/>
        </w:rPr>
        <w:t xml:space="preserve"> mine in Scotland, although it was confirmed that the operator, </w:t>
      </w:r>
      <w:proofErr w:type="spellStart"/>
      <w:r w:rsidRPr="005C3EC8">
        <w:rPr>
          <w:rFonts w:ascii="Calibri" w:hAnsi="Calibri"/>
        </w:rPr>
        <w:t>Scotgold</w:t>
      </w:r>
      <w:proofErr w:type="spellEnd"/>
      <w:r w:rsidRPr="005C3EC8">
        <w:rPr>
          <w:rFonts w:ascii="Calibri" w:hAnsi="Calibri"/>
        </w:rPr>
        <w:t xml:space="preserve"> Resources, was not a material company in the 2016 EITI Report. </w:t>
      </w:r>
    </w:p>
    <w:p w14:paraId="2CA7AAA8" w14:textId="45D6A336" w:rsidR="00597FC5" w:rsidRPr="005C3EC8" w:rsidRDefault="00675030">
      <w:pPr>
        <w:pStyle w:val="Heading3"/>
      </w:pPr>
      <w:bookmarkStart w:id="196" w:name="_Toc459133129"/>
      <w:bookmarkStart w:id="197" w:name="_Toc461803078"/>
      <w:r w:rsidRPr="005C3EC8">
        <w:t>Initial assessment</w:t>
      </w:r>
      <w:bookmarkEnd w:id="196"/>
      <w:bookmarkEnd w:id="197"/>
    </w:p>
    <w:p w14:paraId="4D100405" w14:textId="606B81C1" w:rsidR="009A7BD4" w:rsidRPr="005C3EC8" w:rsidRDefault="00675030" w:rsidP="00405360">
      <w:pPr>
        <w:spacing w:before="120"/>
        <w:rPr>
          <w:rFonts w:ascii="Calibri" w:hAnsi="Calibri"/>
        </w:rPr>
      </w:pPr>
      <w:r w:rsidRPr="005C3EC8">
        <w:rPr>
          <w:rFonts w:ascii="Calibri" w:hAnsi="Calibri"/>
        </w:rPr>
        <w:t xml:space="preserve">The International Secretariat’s initial assessment is that </w:t>
      </w:r>
      <w:r w:rsidR="00E80ED8" w:rsidRPr="005C3EC8">
        <w:rPr>
          <w:rFonts w:ascii="Calibri" w:hAnsi="Calibri"/>
          <w:bCs/>
        </w:rPr>
        <w:t>the UK</w:t>
      </w:r>
      <w:r w:rsidR="00405360" w:rsidRPr="005C3EC8">
        <w:rPr>
          <w:rFonts w:ascii="Calibri" w:hAnsi="Calibri"/>
        </w:rPr>
        <w:t xml:space="preserve"> </w:t>
      </w:r>
      <w:r w:rsidRPr="005C3EC8">
        <w:rPr>
          <w:rFonts w:ascii="Calibri" w:hAnsi="Calibri"/>
        </w:rPr>
        <w:t xml:space="preserve">has made </w:t>
      </w:r>
      <w:r w:rsidR="00E80ED8" w:rsidRPr="003B7537">
        <w:rPr>
          <w:rFonts w:ascii="Calibri" w:hAnsi="Calibri"/>
          <w:b/>
          <w:bCs/>
        </w:rPr>
        <w:t>meaningful</w:t>
      </w:r>
      <w:r w:rsidR="00E80ED8" w:rsidRPr="00A46237">
        <w:rPr>
          <w:rFonts w:ascii="Calibri" w:hAnsi="Calibri"/>
          <w:b/>
          <w:bCs/>
        </w:rPr>
        <w:t xml:space="preserve"> </w:t>
      </w:r>
      <w:r w:rsidRPr="003B7537">
        <w:rPr>
          <w:rFonts w:ascii="Calibri" w:hAnsi="Calibri"/>
          <w:b/>
        </w:rPr>
        <w:t>progress</w:t>
      </w:r>
      <w:r w:rsidRPr="005C3EC8">
        <w:rPr>
          <w:rFonts w:ascii="Calibri" w:hAnsi="Calibri"/>
        </w:rPr>
        <w:t xml:space="preserve"> towards meeting this requirement. </w:t>
      </w:r>
      <w:r w:rsidR="00E80ED8" w:rsidRPr="005C3EC8">
        <w:rPr>
          <w:rFonts w:ascii="Calibri" w:hAnsi="Calibri"/>
        </w:rPr>
        <w:t xml:space="preserve">The 2016 EITI Report provides production volumes for all commodities produced in 2016 aside from </w:t>
      </w:r>
      <w:r w:rsidR="004B23D7" w:rsidRPr="005C3EC8">
        <w:rPr>
          <w:rFonts w:ascii="Calibri" w:hAnsi="Calibri"/>
        </w:rPr>
        <w:t>silica sands, industrial and agricultural carbonates, and tungsten</w:t>
      </w:r>
      <w:r w:rsidR="00E80ED8" w:rsidRPr="005C3EC8">
        <w:rPr>
          <w:rFonts w:ascii="Calibri" w:hAnsi="Calibri"/>
        </w:rPr>
        <w:t xml:space="preserve">, and production volumes </w:t>
      </w:r>
      <w:r w:rsidR="004B23D7" w:rsidRPr="005C3EC8">
        <w:rPr>
          <w:rFonts w:ascii="Calibri" w:hAnsi="Calibri"/>
        </w:rPr>
        <w:t>only for oil, gas and coal</w:t>
      </w:r>
      <w:r w:rsidR="00E80ED8" w:rsidRPr="005C3EC8">
        <w:rPr>
          <w:rFonts w:ascii="Calibri" w:hAnsi="Calibri"/>
        </w:rPr>
        <w:t xml:space="preserve">. </w:t>
      </w:r>
      <w:r w:rsidR="004B23D7" w:rsidRPr="005C3EC8">
        <w:rPr>
          <w:rFonts w:ascii="Calibri" w:hAnsi="Calibri"/>
        </w:rPr>
        <w:t xml:space="preserve">The report states that the </w:t>
      </w:r>
      <w:r w:rsidR="00DA4FFC" w:rsidRPr="005C3EC8">
        <w:rPr>
          <w:rFonts w:ascii="Calibri" w:hAnsi="Calibri"/>
        </w:rPr>
        <w:t>government</w:t>
      </w:r>
      <w:r w:rsidR="004B23D7" w:rsidRPr="005C3EC8">
        <w:rPr>
          <w:rFonts w:ascii="Calibri" w:hAnsi="Calibri"/>
        </w:rPr>
        <w:t xml:space="preserve"> does not record production values for construction materials, but does not refer any MSG discussions on estimates of the value of production. </w:t>
      </w:r>
      <w:r w:rsidR="00DA4FFC" w:rsidRPr="005C3EC8">
        <w:rPr>
          <w:rFonts w:ascii="Calibri" w:hAnsi="Calibri"/>
        </w:rPr>
        <w:t xml:space="preserve">Although it is possible to source annual average prices for certain minerals produced in the UK from government sources, the lack of </w:t>
      </w:r>
      <w:r w:rsidR="002F13D1" w:rsidRPr="005C3EC8">
        <w:rPr>
          <w:rFonts w:ascii="Calibri" w:hAnsi="Calibri"/>
        </w:rPr>
        <w:t xml:space="preserve">publicly-available 2016 </w:t>
      </w:r>
      <w:r w:rsidR="00DA4FFC" w:rsidRPr="005C3EC8">
        <w:rPr>
          <w:rFonts w:ascii="Calibri" w:hAnsi="Calibri"/>
        </w:rPr>
        <w:t xml:space="preserve">production volumes and values for certain </w:t>
      </w:r>
      <w:r w:rsidR="002F13D1" w:rsidRPr="005C3EC8">
        <w:rPr>
          <w:rFonts w:ascii="Calibri" w:hAnsi="Calibri"/>
        </w:rPr>
        <w:t xml:space="preserve">minerals produced by material companies in the 2016 EITI Report means that the broader objective of transparency in national extractives production cannot be considered to be met. </w:t>
      </w:r>
      <w:r w:rsidR="00DE3524" w:rsidRPr="005C3EC8">
        <w:rPr>
          <w:rFonts w:ascii="Calibri" w:hAnsi="Calibri"/>
        </w:rPr>
        <w:t xml:space="preserve">While the supplement to the 2016 EITI Report highlights constraints in the public availability of production data for non-energy minerals, it does not explain the constraints in disclosing an average annual production or sales price for these minerals. </w:t>
      </w:r>
    </w:p>
    <w:p w14:paraId="66C3CE4A" w14:textId="2EFF3B1A" w:rsidR="004B23D7" w:rsidRPr="005C3EC8" w:rsidRDefault="004B23D7" w:rsidP="00405360">
      <w:pPr>
        <w:spacing w:before="120"/>
        <w:rPr>
          <w:rFonts w:ascii="Calibri" w:hAnsi="Calibri"/>
        </w:rPr>
      </w:pPr>
      <w:r w:rsidRPr="005C3EC8">
        <w:rPr>
          <w:rFonts w:ascii="Calibri" w:hAnsi="Calibri"/>
        </w:rPr>
        <w:t>In accordance with Requirement 3.2, the UK should ensure that estimates of production values are publicly disclosed</w:t>
      </w:r>
      <w:r w:rsidR="003103B3" w:rsidRPr="005C3EC8">
        <w:rPr>
          <w:rFonts w:ascii="Calibri" w:hAnsi="Calibri"/>
        </w:rPr>
        <w:t xml:space="preserve"> for all minerals produced in the year under review</w:t>
      </w:r>
      <w:r w:rsidRPr="005C3EC8">
        <w:rPr>
          <w:rFonts w:ascii="Calibri" w:hAnsi="Calibri"/>
        </w:rPr>
        <w:t xml:space="preserve">. The UK is encouraged to consider the extent to which estimates prepared based on average benchmarks could ensure </w:t>
      </w:r>
      <w:r w:rsidR="003103B3" w:rsidRPr="005C3EC8">
        <w:rPr>
          <w:rFonts w:ascii="Calibri" w:hAnsi="Calibri"/>
        </w:rPr>
        <w:t xml:space="preserve">that </w:t>
      </w:r>
      <w:r w:rsidRPr="005C3EC8">
        <w:rPr>
          <w:rFonts w:ascii="Calibri" w:hAnsi="Calibri"/>
        </w:rPr>
        <w:t xml:space="preserve">general </w:t>
      </w:r>
      <w:r w:rsidR="003103B3" w:rsidRPr="005C3EC8">
        <w:rPr>
          <w:rFonts w:ascii="Calibri" w:hAnsi="Calibri"/>
        </w:rPr>
        <w:t xml:space="preserve">estimates of </w:t>
      </w:r>
      <w:r w:rsidRPr="005C3EC8">
        <w:rPr>
          <w:rFonts w:ascii="Calibri" w:hAnsi="Calibri"/>
        </w:rPr>
        <w:t xml:space="preserve">the </w:t>
      </w:r>
      <w:r w:rsidR="003103B3" w:rsidRPr="005C3EC8">
        <w:rPr>
          <w:rFonts w:ascii="Calibri" w:hAnsi="Calibri"/>
        </w:rPr>
        <w:t>value</w:t>
      </w:r>
      <w:r w:rsidRPr="005C3EC8">
        <w:rPr>
          <w:rFonts w:ascii="Calibri" w:hAnsi="Calibri"/>
        </w:rPr>
        <w:t xml:space="preserve"> of production is </w:t>
      </w:r>
      <w:r w:rsidR="003103B3" w:rsidRPr="005C3EC8">
        <w:rPr>
          <w:rFonts w:ascii="Calibri" w:hAnsi="Calibri"/>
        </w:rPr>
        <w:t>in the public domain</w:t>
      </w:r>
      <w:r w:rsidRPr="005C3EC8">
        <w:rPr>
          <w:rFonts w:ascii="Calibri" w:hAnsi="Calibri"/>
        </w:rPr>
        <w:t xml:space="preserve">. </w:t>
      </w:r>
    </w:p>
    <w:p w14:paraId="6A9A6BE0" w14:textId="69F05C2E" w:rsidR="00675030" w:rsidRPr="005C3EC8" w:rsidRDefault="00675030" w:rsidP="0097728B">
      <w:pPr>
        <w:pStyle w:val="Heading2"/>
      </w:pPr>
      <w:bookmarkStart w:id="198" w:name="_Toc459133130"/>
      <w:bookmarkStart w:id="199" w:name="_Toc461803079"/>
      <w:bookmarkStart w:id="200" w:name="_Toc461787336"/>
      <w:bookmarkStart w:id="201" w:name="_Toc461795848"/>
      <w:bookmarkStart w:id="202" w:name="_Toc462149188"/>
      <w:r w:rsidRPr="005C3EC8">
        <w:lastRenderedPageBreak/>
        <w:t>Export data (#3.3)</w:t>
      </w:r>
      <w:bookmarkEnd w:id="198"/>
      <w:bookmarkEnd w:id="199"/>
      <w:bookmarkEnd w:id="200"/>
      <w:bookmarkEnd w:id="201"/>
      <w:bookmarkEnd w:id="202"/>
    </w:p>
    <w:p w14:paraId="7F3CF03F" w14:textId="77777777" w:rsidR="00240C0D" w:rsidRPr="005C3EC8" w:rsidRDefault="00675030" w:rsidP="0097728B">
      <w:pPr>
        <w:pStyle w:val="Heading3"/>
      </w:pPr>
      <w:r w:rsidRPr="005C3EC8">
        <w:t xml:space="preserve">Documentation of progress </w:t>
      </w:r>
    </w:p>
    <w:p w14:paraId="36FF7933" w14:textId="7A8F9575" w:rsidR="00C86058" w:rsidRPr="005C3EC8" w:rsidRDefault="00C86058" w:rsidP="00C86058">
      <w:pPr>
        <w:spacing w:before="120"/>
        <w:rPr>
          <w:rFonts w:ascii="Calibri" w:hAnsi="Calibri"/>
        </w:rPr>
      </w:pPr>
      <w:r w:rsidRPr="005C3EC8">
        <w:rPr>
          <w:rFonts w:ascii="Calibri" w:hAnsi="Calibri"/>
          <w:b/>
          <w:i/>
        </w:rPr>
        <w:t>Systematic disclosures</w:t>
      </w:r>
      <w:r w:rsidRPr="005C3EC8">
        <w:rPr>
          <w:rFonts w:ascii="Calibri" w:hAnsi="Calibri"/>
          <w:i/>
        </w:rPr>
        <w:t xml:space="preserve">: </w:t>
      </w:r>
      <w:r w:rsidR="00FC1DD7" w:rsidRPr="005C3EC8">
        <w:rPr>
          <w:rFonts w:ascii="Calibri" w:hAnsi="Calibri"/>
        </w:rPr>
        <w:t xml:space="preserve">For </w:t>
      </w:r>
      <w:r w:rsidR="00FC1DD7" w:rsidRPr="005C3EC8">
        <w:rPr>
          <w:rFonts w:ascii="Calibri" w:hAnsi="Calibri"/>
          <w:i/>
        </w:rPr>
        <w:t>oil and gas</w:t>
      </w:r>
      <w:r w:rsidR="00FC1DD7" w:rsidRPr="005C3EC8">
        <w:rPr>
          <w:rFonts w:ascii="Calibri" w:hAnsi="Calibri"/>
        </w:rPr>
        <w:t>, the Digest of UK Energy Statistics (DUKES) provides annual export volumes and values for coal, oil and gas.</w:t>
      </w:r>
      <w:r w:rsidR="00FC1DD7" w:rsidRPr="005C3EC8">
        <w:rPr>
          <w:rStyle w:val="FootnoteReference"/>
          <w:rFonts w:ascii="Calibri" w:hAnsi="Calibri"/>
        </w:rPr>
        <w:footnoteReference w:id="258"/>
      </w:r>
    </w:p>
    <w:p w14:paraId="01D962D0" w14:textId="54D30031" w:rsidR="00C86058" w:rsidRPr="005C3EC8" w:rsidRDefault="00B03D0C" w:rsidP="00C86058">
      <w:pPr>
        <w:spacing w:before="120"/>
        <w:rPr>
          <w:rFonts w:ascii="Calibri" w:hAnsi="Calibri"/>
        </w:rPr>
      </w:pPr>
      <w:r w:rsidRPr="005C3EC8">
        <w:rPr>
          <w:rFonts w:ascii="Calibri" w:hAnsi="Calibri"/>
        </w:rPr>
        <w:t xml:space="preserve">For </w:t>
      </w:r>
      <w:r w:rsidRPr="005C3EC8">
        <w:rPr>
          <w:rFonts w:ascii="Calibri" w:hAnsi="Calibri"/>
          <w:i/>
        </w:rPr>
        <w:t>mining and quarrying</w:t>
      </w:r>
      <w:r w:rsidRPr="005C3EC8">
        <w:rPr>
          <w:rFonts w:ascii="Calibri" w:hAnsi="Calibri"/>
        </w:rPr>
        <w:t>, the BGS publishes UK Minerals Yearbooks, albeit with a 2.5-year delay.</w:t>
      </w:r>
      <w:r w:rsidR="00A06242" w:rsidRPr="005C3EC8">
        <w:rPr>
          <w:rFonts w:ascii="Calibri" w:hAnsi="Calibri"/>
        </w:rPr>
        <w:t xml:space="preserve"> The 2015 UK Minerals Yearbook, published in February 2016, provides 2014 export values for 15 mineral commodities.</w:t>
      </w:r>
      <w:r w:rsidR="00A06242" w:rsidRPr="005C3EC8">
        <w:rPr>
          <w:rStyle w:val="FootnoteReference"/>
          <w:rFonts w:ascii="Calibri" w:hAnsi="Calibri"/>
        </w:rPr>
        <w:footnoteReference w:id="259"/>
      </w:r>
      <w:r w:rsidR="00A06242" w:rsidRPr="005C3EC8">
        <w:rPr>
          <w:rFonts w:ascii="Calibri" w:hAnsi="Calibri"/>
        </w:rPr>
        <w:t xml:space="preserve"> However, the Yearbook does not provide export volumes and a number of commodity types are not disaggregated by commodity (e.g. non-ferrous metals). </w:t>
      </w:r>
      <w:r w:rsidR="00940713" w:rsidRPr="005C3EC8">
        <w:rPr>
          <w:rFonts w:ascii="Calibri" w:hAnsi="Calibri"/>
        </w:rPr>
        <w:t>Gov.uk publishes monthly updates on export volumes (but not values) of cement and clinker</w:t>
      </w:r>
      <w:r w:rsidR="00A06242" w:rsidRPr="005C3EC8">
        <w:rPr>
          <w:rFonts w:ascii="Calibri" w:hAnsi="Calibri"/>
        </w:rPr>
        <w:t xml:space="preserve">, and </w:t>
      </w:r>
      <w:r w:rsidR="00940713" w:rsidRPr="005C3EC8">
        <w:rPr>
          <w:rFonts w:ascii="Calibri" w:hAnsi="Calibri"/>
        </w:rPr>
        <w:t xml:space="preserve">monthly reference prices </w:t>
      </w:r>
      <w:r w:rsidR="00A06242" w:rsidRPr="005C3EC8">
        <w:rPr>
          <w:rFonts w:ascii="Calibri" w:hAnsi="Calibri"/>
        </w:rPr>
        <w:t>from which it is possible to estimate export values.</w:t>
      </w:r>
      <w:r w:rsidR="00A06242" w:rsidRPr="005C3EC8">
        <w:rPr>
          <w:rStyle w:val="FootnoteReference"/>
          <w:rFonts w:ascii="Calibri" w:hAnsi="Calibri"/>
        </w:rPr>
        <w:footnoteReference w:id="260"/>
      </w:r>
    </w:p>
    <w:p w14:paraId="41EB70A9" w14:textId="0BB06B68" w:rsidR="00E24D2B" w:rsidRPr="005C3EC8" w:rsidRDefault="00C86058" w:rsidP="00C86058">
      <w:pPr>
        <w:spacing w:before="120"/>
        <w:rPr>
          <w:rFonts w:ascii="Calibri" w:hAnsi="Calibri"/>
        </w:rPr>
      </w:pPr>
      <w:r w:rsidRPr="005C3EC8">
        <w:rPr>
          <w:rFonts w:ascii="Calibri" w:hAnsi="Calibri"/>
          <w:b/>
          <w:i/>
        </w:rPr>
        <w:t>2016 EITI Report</w:t>
      </w:r>
      <w:r w:rsidRPr="005C3EC8">
        <w:rPr>
          <w:rFonts w:ascii="Calibri" w:hAnsi="Calibri"/>
          <w:i/>
        </w:rPr>
        <w:t>:</w:t>
      </w:r>
      <w:r w:rsidRPr="005C3EC8">
        <w:rPr>
          <w:rFonts w:ascii="Calibri" w:hAnsi="Calibri"/>
        </w:rPr>
        <w:t xml:space="preserve"> </w:t>
      </w:r>
      <w:r w:rsidR="00405360" w:rsidRPr="005C3EC8">
        <w:rPr>
          <w:rFonts w:ascii="Calibri" w:hAnsi="Calibri"/>
          <w:i/>
          <w:u w:val="single"/>
        </w:rPr>
        <w:t>E</w:t>
      </w:r>
      <w:r w:rsidR="00675030" w:rsidRPr="005C3EC8">
        <w:rPr>
          <w:rFonts w:ascii="Calibri" w:hAnsi="Calibri"/>
          <w:i/>
          <w:u w:val="single"/>
        </w:rPr>
        <w:t>xport volumes</w:t>
      </w:r>
      <w:r w:rsidR="00675030" w:rsidRPr="005C3EC8">
        <w:rPr>
          <w:rFonts w:ascii="Calibri" w:hAnsi="Calibri"/>
          <w:u w:val="single"/>
        </w:rPr>
        <w:t>:</w:t>
      </w:r>
      <w:r w:rsidR="00675030" w:rsidRPr="005C3EC8">
        <w:rPr>
          <w:rFonts w:ascii="Calibri" w:hAnsi="Calibri"/>
        </w:rPr>
        <w:t xml:space="preserve"> </w:t>
      </w:r>
      <w:r w:rsidR="00C7350C" w:rsidRPr="005C3EC8">
        <w:rPr>
          <w:rFonts w:ascii="Calibri" w:hAnsi="Calibri"/>
        </w:rPr>
        <w:t xml:space="preserve">In </w:t>
      </w:r>
      <w:r w:rsidR="00C7350C" w:rsidRPr="005C3EC8">
        <w:rPr>
          <w:rFonts w:ascii="Calibri" w:hAnsi="Calibri"/>
          <w:i/>
        </w:rPr>
        <w:t>oil and gas</w:t>
      </w:r>
      <w:r w:rsidR="00C7350C" w:rsidRPr="005C3EC8">
        <w:rPr>
          <w:rFonts w:ascii="Calibri" w:hAnsi="Calibri"/>
        </w:rPr>
        <w:t>, t</w:t>
      </w:r>
      <w:r w:rsidR="00827F75" w:rsidRPr="005C3EC8">
        <w:rPr>
          <w:rFonts w:ascii="Calibri" w:hAnsi="Calibri"/>
        </w:rPr>
        <w:t xml:space="preserve">he </w:t>
      </w:r>
      <w:r w:rsidR="00E0124F" w:rsidRPr="005C3EC8">
        <w:rPr>
          <w:rFonts w:ascii="Calibri" w:hAnsi="Calibri"/>
        </w:rPr>
        <w:t>2016 EITI R</w:t>
      </w:r>
      <w:r w:rsidR="00827F75" w:rsidRPr="005C3EC8">
        <w:rPr>
          <w:rFonts w:ascii="Calibri" w:hAnsi="Calibri"/>
        </w:rPr>
        <w:t xml:space="preserve">eport provides </w:t>
      </w:r>
      <w:r w:rsidR="00C7350C" w:rsidRPr="005C3EC8">
        <w:rPr>
          <w:rFonts w:ascii="Calibri" w:hAnsi="Calibri"/>
        </w:rPr>
        <w:t xml:space="preserve">the 2016 export </w:t>
      </w:r>
      <w:r w:rsidR="00827F75" w:rsidRPr="005C3EC8">
        <w:rPr>
          <w:rFonts w:ascii="Calibri" w:hAnsi="Calibri"/>
        </w:rPr>
        <w:t xml:space="preserve">volumes for </w:t>
      </w:r>
      <w:r w:rsidR="00C7350C" w:rsidRPr="005C3EC8">
        <w:rPr>
          <w:rFonts w:ascii="Calibri" w:hAnsi="Calibri"/>
        </w:rPr>
        <w:t xml:space="preserve">crude </w:t>
      </w:r>
      <w:r w:rsidR="00827F75" w:rsidRPr="005C3EC8">
        <w:rPr>
          <w:rFonts w:ascii="Calibri" w:hAnsi="Calibri"/>
        </w:rPr>
        <w:t xml:space="preserve">oil and </w:t>
      </w:r>
      <w:r w:rsidR="00C7350C" w:rsidRPr="005C3EC8">
        <w:rPr>
          <w:rFonts w:ascii="Calibri" w:hAnsi="Calibri"/>
        </w:rPr>
        <w:t xml:space="preserve">natural </w:t>
      </w:r>
      <w:r w:rsidR="00827F75" w:rsidRPr="005C3EC8">
        <w:rPr>
          <w:rFonts w:ascii="Calibri" w:hAnsi="Calibri"/>
        </w:rPr>
        <w:t xml:space="preserve">gas for each year in the 2012-16 period (p.23). </w:t>
      </w:r>
      <w:r w:rsidR="001D0905" w:rsidRPr="005C3EC8">
        <w:rPr>
          <w:rFonts w:ascii="Calibri" w:hAnsi="Calibri"/>
        </w:rPr>
        <w:t xml:space="preserve">Additional information including a graph of the destination of UK oil exports are included (p.28). </w:t>
      </w:r>
    </w:p>
    <w:p w14:paraId="3BF77534" w14:textId="53ABA80C" w:rsidR="00827F75" w:rsidRPr="005C3EC8" w:rsidRDefault="00E24D2B" w:rsidP="00675030">
      <w:pPr>
        <w:spacing w:before="120"/>
        <w:rPr>
          <w:rFonts w:ascii="Calibri" w:hAnsi="Calibri"/>
        </w:rPr>
      </w:pPr>
      <w:r w:rsidRPr="005C3EC8">
        <w:rPr>
          <w:rFonts w:ascii="Calibri" w:hAnsi="Calibri"/>
        </w:rPr>
        <w:t xml:space="preserve">In </w:t>
      </w:r>
      <w:r w:rsidRPr="005C3EC8">
        <w:rPr>
          <w:rFonts w:ascii="Calibri" w:hAnsi="Calibri"/>
          <w:i/>
        </w:rPr>
        <w:t>mining and quarrying</w:t>
      </w:r>
      <w:r w:rsidRPr="005C3EC8">
        <w:rPr>
          <w:rFonts w:ascii="Calibri" w:hAnsi="Calibri"/>
        </w:rPr>
        <w:t xml:space="preserve">, the report provides </w:t>
      </w:r>
      <w:r w:rsidR="00BD4308" w:rsidRPr="005C3EC8">
        <w:rPr>
          <w:rFonts w:ascii="Calibri" w:hAnsi="Calibri"/>
        </w:rPr>
        <w:t xml:space="preserve">export volumes for coal (p.23), kaolin (p.64), but not for the other minerals for which export values are provided, such as </w:t>
      </w:r>
      <w:r w:rsidR="00827F75" w:rsidRPr="005C3EC8">
        <w:rPr>
          <w:rFonts w:ascii="Calibri" w:hAnsi="Calibri"/>
        </w:rPr>
        <w:t>lignite, iron ores, “non-ferrous metal ores”, “unworked stone, gravel, sands etc”</w:t>
      </w:r>
      <w:r w:rsidR="00BD4308" w:rsidRPr="005C3EC8">
        <w:rPr>
          <w:rFonts w:ascii="Calibri" w:hAnsi="Calibri"/>
        </w:rPr>
        <w:t>,</w:t>
      </w:r>
      <w:r w:rsidR="00827F75" w:rsidRPr="005C3EC8">
        <w:rPr>
          <w:rFonts w:ascii="Calibri" w:hAnsi="Calibri"/>
        </w:rPr>
        <w:t xml:space="preserve"> “mining &amp; quarrying products </w:t>
      </w:r>
      <w:proofErr w:type="spellStart"/>
      <w:r w:rsidR="00827F75" w:rsidRPr="005C3EC8">
        <w:rPr>
          <w:rFonts w:ascii="Calibri" w:hAnsi="Calibri"/>
        </w:rPr>
        <w:t>n.e.c.</w:t>
      </w:r>
      <w:proofErr w:type="spellEnd"/>
      <w:r w:rsidR="00827F75" w:rsidRPr="005C3EC8">
        <w:rPr>
          <w:rFonts w:ascii="Calibri" w:hAnsi="Calibri"/>
        </w:rPr>
        <w:t>”</w:t>
      </w:r>
      <w:r w:rsidRPr="005C3EC8">
        <w:rPr>
          <w:rFonts w:ascii="Calibri" w:hAnsi="Calibri"/>
        </w:rPr>
        <w:t xml:space="preserve"> (p.21)</w:t>
      </w:r>
      <w:r w:rsidR="00BD4308" w:rsidRPr="005C3EC8">
        <w:rPr>
          <w:rFonts w:ascii="Calibri" w:hAnsi="Calibri"/>
        </w:rPr>
        <w:t xml:space="preserve"> or </w:t>
      </w:r>
      <w:r w:rsidR="00827F75" w:rsidRPr="005C3EC8">
        <w:rPr>
          <w:rFonts w:ascii="Calibri" w:hAnsi="Calibri"/>
        </w:rPr>
        <w:t xml:space="preserve">aggregates minerals (p.64). </w:t>
      </w:r>
      <w:r w:rsidR="00BD4308" w:rsidRPr="005C3EC8">
        <w:rPr>
          <w:rFonts w:ascii="Calibri" w:hAnsi="Calibri"/>
        </w:rPr>
        <w:t>Export volumes of s</w:t>
      </w:r>
      <w:r w:rsidR="00827F75" w:rsidRPr="005C3EC8">
        <w:rPr>
          <w:rFonts w:ascii="Calibri" w:hAnsi="Calibri"/>
        </w:rPr>
        <w:t>ilica sands</w:t>
      </w:r>
      <w:r w:rsidR="00BD4308" w:rsidRPr="005C3EC8">
        <w:rPr>
          <w:rFonts w:ascii="Calibri" w:hAnsi="Calibri"/>
        </w:rPr>
        <w:t xml:space="preserve"> are only provided for 2014, not 2016 </w:t>
      </w:r>
      <w:r w:rsidR="00827F75" w:rsidRPr="005C3EC8">
        <w:rPr>
          <w:rFonts w:ascii="Calibri" w:hAnsi="Calibri"/>
        </w:rPr>
        <w:t>(p.65)</w:t>
      </w:r>
      <w:r w:rsidR="00BD4308" w:rsidRPr="005C3EC8">
        <w:rPr>
          <w:rFonts w:ascii="Calibri" w:hAnsi="Calibri"/>
        </w:rPr>
        <w:t xml:space="preserve">. </w:t>
      </w:r>
    </w:p>
    <w:p w14:paraId="20D5D6B4" w14:textId="472FB921" w:rsidR="00827F75" w:rsidRPr="005C3EC8" w:rsidRDefault="00405360" w:rsidP="00675030">
      <w:pPr>
        <w:spacing w:before="120"/>
        <w:rPr>
          <w:rFonts w:ascii="Calibri" w:hAnsi="Calibri"/>
          <w:bCs/>
        </w:rPr>
      </w:pPr>
      <w:r w:rsidRPr="005C3EC8">
        <w:rPr>
          <w:rFonts w:ascii="Calibri" w:hAnsi="Calibri"/>
          <w:i/>
          <w:u w:val="single"/>
        </w:rPr>
        <w:t>E</w:t>
      </w:r>
      <w:r w:rsidR="00675030" w:rsidRPr="005C3EC8">
        <w:rPr>
          <w:rFonts w:ascii="Calibri" w:hAnsi="Calibri"/>
          <w:i/>
          <w:u w:val="single"/>
        </w:rPr>
        <w:t>xport value</w:t>
      </w:r>
      <w:r w:rsidRPr="005C3EC8">
        <w:rPr>
          <w:rFonts w:ascii="Calibri" w:hAnsi="Calibri"/>
          <w:i/>
          <w:u w:val="single"/>
        </w:rPr>
        <w:t>s</w:t>
      </w:r>
      <w:r w:rsidR="00675030" w:rsidRPr="005C3EC8">
        <w:rPr>
          <w:rFonts w:ascii="Calibri" w:hAnsi="Calibri"/>
          <w:u w:val="single"/>
        </w:rPr>
        <w:t>:</w:t>
      </w:r>
      <w:r w:rsidR="00675030" w:rsidRPr="005C3EC8">
        <w:rPr>
          <w:rFonts w:ascii="Calibri" w:hAnsi="Calibri"/>
        </w:rPr>
        <w:t xml:space="preserve"> </w:t>
      </w:r>
      <w:r w:rsidR="002E3C08" w:rsidRPr="005C3EC8">
        <w:rPr>
          <w:rFonts w:ascii="Calibri" w:hAnsi="Calibri"/>
        </w:rPr>
        <w:t xml:space="preserve">In </w:t>
      </w:r>
      <w:r w:rsidR="002E3C08" w:rsidRPr="005C3EC8">
        <w:rPr>
          <w:rFonts w:ascii="Calibri" w:hAnsi="Calibri"/>
          <w:i/>
        </w:rPr>
        <w:t>oil and gas</w:t>
      </w:r>
      <w:r w:rsidR="002E3C08" w:rsidRPr="005C3EC8">
        <w:rPr>
          <w:rFonts w:ascii="Calibri" w:hAnsi="Calibri"/>
        </w:rPr>
        <w:t xml:space="preserve">, the report </w:t>
      </w:r>
      <w:r w:rsidR="002F55C9" w:rsidRPr="005C3EC8">
        <w:rPr>
          <w:rFonts w:ascii="Calibri" w:hAnsi="Calibri"/>
        </w:rPr>
        <w:t>provides</w:t>
      </w:r>
      <w:r w:rsidR="002E3C08" w:rsidRPr="005C3EC8">
        <w:rPr>
          <w:rFonts w:ascii="Calibri" w:hAnsi="Calibri"/>
        </w:rPr>
        <w:t xml:space="preserve"> 2016 export values for crude oil and natural gas (p.23). </w:t>
      </w:r>
      <w:r w:rsidR="00045490" w:rsidRPr="005C3EC8">
        <w:rPr>
          <w:rFonts w:ascii="Calibri" w:hAnsi="Calibri"/>
        </w:rPr>
        <w:br/>
      </w:r>
      <w:r w:rsidR="002E3C08" w:rsidRPr="005C3EC8">
        <w:rPr>
          <w:rFonts w:ascii="Calibri" w:hAnsi="Calibri"/>
          <w:bCs/>
        </w:rPr>
        <w:t xml:space="preserve">In </w:t>
      </w:r>
      <w:r w:rsidR="002E3C08" w:rsidRPr="005C3EC8">
        <w:rPr>
          <w:rFonts w:ascii="Calibri" w:hAnsi="Calibri"/>
          <w:bCs/>
          <w:i/>
        </w:rPr>
        <w:t>mining and quarrying</w:t>
      </w:r>
      <w:r w:rsidR="002E3C08" w:rsidRPr="005C3EC8">
        <w:rPr>
          <w:rFonts w:ascii="Calibri" w:hAnsi="Calibri"/>
          <w:bCs/>
        </w:rPr>
        <w:t xml:space="preserve">, </w:t>
      </w:r>
      <w:r w:rsidR="004C25DB" w:rsidRPr="005C3EC8">
        <w:rPr>
          <w:rFonts w:ascii="Calibri" w:hAnsi="Calibri"/>
          <w:bCs/>
        </w:rPr>
        <w:t xml:space="preserve">the </w:t>
      </w:r>
      <w:r w:rsidR="00827F75" w:rsidRPr="005C3EC8">
        <w:rPr>
          <w:rFonts w:ascii="Calibri" w:hAnsi="Calibri"/>
        </w:rPr>
        <w:t xml:space="preserve">report provides </w:t>
      </w:r>
      <w:r w:rsidR="00C7350C" w:rsidRPr="005C3EC8">
        <w:rPr>
          <w:rFonts w:ascii="Calibri" w:hAnsi="Calibri"/>
        </w:rPr>
        <w:t xml:space="preserve">the value of mineral commodity exports for each year in the 2012-16 period, disaggregated by commodity </w:t>
      </w:r>
      <w:r w:rsidR="004C25DB" w:rsidRPr="005C3EC8">
        <w:rPr>
          <w:rFonts w:ascii="Calibri" w:hAnsi="Calibri"/>
        </w:rPr>
        <w:t xml:space="preserve">(coal, lignite, iron ores, kaolin) alongside categories of exports combining several mineral commodities: </w:t>
      </w:r>
      <w:r w:rsidR="00C7350C" w:rsidRPr="005C3EC8">
        <w:rPr>
          <w:rFonts w:ascii="Calibri" w:hAnsi="Calibri"/>
        </w:rPr>
        <w:t xml:space="preserve">“non-ferrous metal ores”, “unworked stone, gravel, sands etc” and “mining &amp; quarrying products </w:t>
      </w:r>
      <w:proofErr w:type="spellStart"/>
      <w:r w:rsidR="00C7350C" w:rsidRPr="005C3EC8">
        <w:rPr>
          <w:rFonts w:ascii="Calibri" w:hAnsi="Calibri"/>
        </w:rPr>
        <w:t>n.e.c.</w:t>
      </w:r>
      <w:proofErr w:type="spellEnd"/>
      <w:r w:rsidR="00C7350C" w:rsidRPr="005C3EC8">
        <w:rPr>
          <w:rFonts w:ascii="Calibri" w:hAnsi="Calibri"/>
        </w:rPr>
        <w:t>” (p</w:t>
      </w:r>
      <w:r w:rsidR="004C25DB" w:rsidRPr="005C3EC8">
        <w:rPr>
          <w:rFonts w:ascii="Calibri" w:hAnsi="Calibri"/>
        </w:rPr>
        <w:t>p</w:t>
      </w:r>
      <w:r w:rsidR="00C7350C" w:rsidRPr="005C3EC8">
        <w:rPr>
          <w:rFonts w:ascii="Calibri" w:hAnsi="Calibri"/>
        </w:rPr>
        <w:t>.21</w:t>
      </w:r>
      <w:r w:rsidR="004C25DB" w:rsidRPr="005C3EC8">
        <w:rPr>
          <w:rFonts w:ascii="Calibri" w:hAnsi="Calibri"/>
        </w:rPr>
        <w:t>,64</w:t>
      </w:r>
      <w:r w:rsidR="00C7350C" w:rsidRPr="005C3EC8">
        <w:rPr>
          <w:rFonts w:ascii="Calibri" w:hAnsi="Calibri"/>
        </w:rPr>
        <w:t xml:space="preserve">). </w:t>
      </w:r>
      <w:r w:rsidR="00827F75" w:rsidRPr="005C3EC8">
        <w:rPr>
          <w:rFonts w:ascii="Calibri" w:hAnsi="Calibri"/>
        </w:rPr>
        <w:t xml:space="preserve">The value of aggregates minerals </w:t>
      </w:r>
      <w:r w:rsidR="004C25DB" w:rsidRPr="005C3EC8">
        <w:rPr>
          <w:rFonts w:ascii="Calibri" w:hAnsi="Calibri"/>
        </w:rPr>
        <w:t xml:space="preserve">and silica sands exports are provided for 2014 </w:t>
      </w:r>
      <w:r w:rsidR="00827F75" w:rsidRPr="005C3EC8">
        <w:rPr>
          <w:rFonts w:ascii="Calibri" w:hAnsi="Calibri"/>
        </w:rPr>
        <w:t>(p</w:t>
      </w:r>
      <w:r w:rsidR="004C25DB" w:rsidRPr="005C3EC8">
        <w:rPr>
          <w:rFonts w:ascii="Calibri" w:hAnsi="Calibri"/>
        </w:rPr>
        <w:t>p</w:t>
      </w:r>
      <w:r w:rsidR="00827F75" w:rsidRPr="005C3EC8">
        <w:rPr>
          <w:rFonts w:ascii="Calibri" w:hAnsi="Calibri"/>
        </w:rPr>
        <w:t>.64</w:t>
      </w:r>
      <w:r w:rsidR="004C25DB" w:rsidRPr="005C3EC8">
        <w:rPr>
          <w:rFonts w:ascii="Calibri" w:hAnsi="Calibri"/>
        </w:rPr>
        <w:t>,65</w:t>
      </w:r>
      <w:r w:rsidR="00827F75" w:rsidRPr="005C3EC8">
        <w:rPr>
          <w:rFonts w:ascii="Calibri" w:hAnsi="Calibri"/>
        </w:rPr>
        <w:t xml:space="preserve">), </w:t>
      </w:r>
      <w:r w:rsidR="004C25DB" w:rsidRPr="005C3EC8">
        <w:rPr>
          <w:rFonts w:ascii="Calibri" w:hAnsi="Calibri"/>
        </w:rPr>
        <w:t xml:space="preserve">not </w:t>
      </w:r>
      <w:r w:rsidR="00827F75" w:rsidRPr="005C3EC8">
        <w:rPr>
          <w:rFonts w:ascii="Calibri" w:hAnsi="Calibri"/>
        </w:rPr>
        <w:t xml:space="preserve">2016. </w:t>
      </w:r>
    </w:p>
    <w:p w14:paraId="4B6265CB" w14:textId="4E846CE8" w:rsidR="00A23668" w:rsidRPr="005C3EC8" w:rsidRDefault="00A23668" w:rsidP="00A23668">
      <w:pPr>
        <w:rPr>
          <w:rFonts w:ascii="Calibri" w:hAnsi="Calibri"/>
          <w:bCs/>
        </w:rPr>
      </w:pPr>
      <w:r w:rsidRPr="005C3EC8">
        <w:rPr>
          <w:rFonts w:ascii="Calibri" w:hAnsi="Calibri"/>
          <w:bCs/>
        </w:rPr>
        <w:t xml:space="preserve">The supplement to the 2016 EITI Report notes that export data included in the report drew on the best data available to the MSG and explains that the government had recently taken the view that collection and publication of </w:t>
      </w:r>
      <w:r w:rsidR="000B577A" w:rsidRPr="005C3EC8">
        <w:rPr>
          <w:rFonts w:ascii="Calibri" w:hAnsi="Calibri"/>
          <w:bCs/>
        </w:rPr>
        <w:t xml:space="preserve">some export </w:t>
      </w:r>
      <w:r w:rsidRPr="005C3EC8">
        <w:rPr>
          <w:rFonts w:ascii="Calibri" w:hAnsi="Calibri"/>
          <w:bCs/>
        </w:rPr>
        <w:t>data was no longer “cost effective”.</w:t>
      </w:r>
      <w:r w:rsidRPr="005C3EC8">
        <w:rPr>
          <w:rStyle w:val="FootnoteReference"/>
          <w:rFonts w:ascii="Calibri" w:hAnsi="Calibri"/>
          <w:bCs/>
        </w:rPr>
        <w:footnoteReference w:id="261"/>
      </w:r>
    </w:p>
    <w:p w14:paraId="63C3A602" w14:textId="77777777" w:rsidR="00240C0D" w:rsidRPr="005C3EC8" w:rsidRDefault="00675030">
      <w:pPr>
        <w:pStyle w:val="Heading3"/>
      </w:pPr>
      <w:r w:rsidRPr="005C3EC8">
        <w:t xml:space="preserve">Stakeholder views </w:t>
      </w:r>
    </w:p>
    <w:p w14:paraId="0CDE13A3" w14:textId="2E3061FF" w:rsidR="002F55C9" w:rsidRPr="005C3EC8" w:rsidRDefault="00FA1A2C" w:rsidP="002F55C9">
      <w:pPr>
        <w:rPr>
          <w:rFonts w:ascii="Calibri" w:hAnsi="Calibri"/>
          <w:bCs/>
        </w:rPr>
      </w:pPr>
      <w:r w:rsidRPr="005C3EC8">
        <w:rPr>
          <w:rFonts w:ascii="Calibri" w:hAnsi="Calibri"/>
          <w:bCs/>
        </w:rPr>
        <w:t>With regards to gaps in the public accessibility of some export data related to non-energy minerals exports, a</w:t>
      </w:r>
      <w:r w:rsidR="002F55C9" w:rsidRPr="005C3EC8">
        <w:rPr>
          <w:rFonts w:ascii="Calibri" w:hAnsi="Calibri"/>
          <w:bCs/>
        </w:rPr>
        <w:t>n independent industry expert noted that HMRC did not disclose export data for most mineral exports given the consolidation of many minerals sub-sectors, included for exported commodities such as silica sands, gypsum, salt and potash. Indeed</w:t>
      </w:r>
      <w:r w:rsidRPr="005C3EC8">
        <w:rPr>
          <w:rFonts w:ascii="Calibri" w:hAnsi="Calibri"/>
          <w:bCs/>
        </w:rPr>
        <w:t>,</w:t>
      </w:r>
      <w:r w:rsidR="002F55C9" w:rsidRPr="005C3EC8">
        <w:rPr>
          <w:rFonts w:ascii="Calibri" w:hAnsi="Calibri"/>
          <w:bCs/>
        </w:rPr>
        <w:t xml:space="preserve"> for sectors where less than three companies operated, the </w:t>
      </w:r>
      <w:r w:rsidR="002F55C9" w:rsidRPr="005C3EC8">
        <w:rPr>
          <w:rFonts w:ascii="Calibri" w:hAnsi="Calibri"/>
          <w:bCs/>
        </w:rPr>
        <w:lastRenderedPageBreak/>
        <w:t xml:space="preserve">government was barred from publicly disclosing information deemed commercially-sensitive, such as pricing data. </w:t>
      </w:r>
      <w:r w:rsidR="00B75C75" w:rsidRPr="005C3EC8">
        <w:rPr>
          <w:rFonts w:ascii="Calibri" w:hAnsi="Calibri"/>
          <w:bCs/>
        </w:rPr>
        <w:t xml:space="preserve">Several stakeholders from government and industry </w:t>
      </w:r>
      <w:r w:rsidR="002F55C9" w:rsidRPr="005C3EC8">
        <w:rPr>
          <w:rFonts w:ascii="Calibri" w:hAnsi="Calibri"/>
          <w:bCs/>
        </w:rPr>
        <w:t xml:space="preserve">explained that it was not methodologically sound to estimate export values using benchmark average prices for a period, given that the vast majority of UK minerals exports included significant value added by the companies. Thus, the UK tended to export construction materials rather than raw minerals such as gypsum for example. An industry MSG member considered that it would have been possible to provide </w:t>
      </w:r>
      <w:r w:rsidR="00DE3524" w:rsidRPr="005C3EC8">
        <w:rPr>
          <w:rFonts w:ascii="Calibri" w:hAnsi="Calibri"/>
          <w:bCs/>
        </w:rPr>
        <w:t xml:space="preserve">general </w:t>
      </w:r>
      <w:r w:rsidR="002F55C9" w:rsidRPr="005C3EC8">
        <w:rPr>
          <w:rFonts w:ascii="Calibri" w:hAnsi="Calibri"/>
          <w:bCs/>
        </w:rPr>
        <w:t>estimates of export values for</w:t>
      </w:r>
      <w:r w:rsidRPr="005C3EC8">
        <w:rPr>
          <w:rFonts w:ascii="Calibri" w:hAnsi="Calibri"/>
          <w:bCs/>
        </w:rPr>
        <w:t xml:space="preserve"> construction materials that were</w:t>
      </w:r>
      <w:r w:rsidR="002F55C9" w:rsidRPr="005C3EC8">
        <w:rPr>
          <w:rFonts w:ascii="Calibri" w:hAnsi="Calibri"/>
          <w:bCs/>
        </w:rPr>
        <w:t xml:space="preserve"> missing from the 2016 EITI Report.</w:t>
      </w:r>
    </w:p>
    <w:p w14:paraId="69A57AC5" w14:textId="422E62B2" w:rsidR="00597FC5" w:rsidRPr="005C3EC8" w:rsidRDefault="00675030">
      <w:pPr>
        <w:pStyle w:val="Heading3"/>
      </w:pPr>
      <w:bookmarkStart w:id="203" w:name="_Toc459133133"/>
      <w:bookmarkStart w:id="204" w:name="_Toc461803082"/>
      <w:r w:rsidRPr="005C3EC8">
        <w:t>Initial assessment</w:t>
      </w:r>
      <w:bookmarkEnd w:id="203"/>
      <w:bookmarkEnd w:id="204"/>
    </w:p>
    <w:p w14:paraId="63585469" w14:textId="5EE0C212" w:rsidR="00405360" w:rsidRPr="005C3EC8" w:rsidRDefault="00675030" w:rsidP="00405360">
      <w:pPr>
        <w:spacing w:before="120"/>
        <w:rPr>
          <w:rFonts w:ascii="Calibri" w:hAnsi="Calibri"/>
        </w:rPr>
      </w:pPr>
      <w:r w:rsidRPr="005C3EC8">
        <w:rPr>
          <w:rFonts w:ascii="Calibri" w:hAnsi="Calibri"/>
        </w:rPr>
        <w:t xml:space="preserve">The International Secretariat’s initial assessment is that </w:t>
      </w:r>
      <w:r w:rsidR="0091646C" w:rsidRPr="005C3EC8">
        <w:rPr>
          <w:rFonts w:ascii="Calibri" w:hAnsi="Calibri"/>
          <w:bCs/>
        </w:rPr>
        <w:t>the UK</w:t>
      </w:r>
      <w:r w:rsidR="00405360" w:rsidRPr="005C3EC8">
        <w:rPr>
          <w:rFonts w:ascii="Calibri" w:hAnsi="Calibri"/>
        </w:rPr>
        <w:t xml:space="preserve"> </w:t>
      </w:r>
      <w:r w:rsidRPr="005C3EC8">
        <w:rPr>
          <w:rFonts w:ascii="Calibri" w:hAnsi="Calibri"/>
        </w:rPr>
        <w:t xml:space="preserve">has made </w:t>
      </w:r>
      <w:r w:rsidR="0091646C" w:rsidRPr="003B7537">
        <w:rPr>
          <w:rFonts w:ascii="Calibri" w:hAnsi="Calibri"/>
          <w:b/>
          <w:bCs/>
        </w:rPr>
        <w:t>meaningful</w:t>
      </w:r>
      <w:r w:rsidR="0091646C" w:rsidRPr="00A46237">
        <w:rPr>
          <w:rFonts w:ascii="Calibri" w:hAnsi="Calibri"/>
          <w:b/>
          <w:bCs/>
        </w:rPr>
        <w:t xml:space="preserve"> </w:t>
      </w:r>
      <w:r w:rsidRPr="003B7537">
        <w:rPr>
          <w:rFonts w:ascii="Calibri" w:hAnsi="Calibri"/>
          <w:b/>
        </w:rPr>
        <w:t>progress</w:t>
      </w:r>
      <w:r w:rsidRPr="005C3EC8">
        <w:rPr>
          <w:rFonts w:ascii="Calibri" w:hAnsi="Calibri"/>
        </w:rPr>
        <w:t xml:space="preserve"> in meeting this requirement. </w:t>
      </w:r>
      <w:r w:rsidR="0091646C" w:rsidRPr="005C3EC8">
        <w:rPr>
          <w:rFonts w:ascii="Calibri" w:hAnsi="Calibri"/>
        </w:rPr>
        <w:t xml:space="preserve">The 2016 EITI Report provides export volumes and values for oil, gas and coal, but not consistently for mineral commodities such as lignite, iron ores, kaolin, non-ferrous metal ores, unworked stone, gravel, sands, </w:t>
      </w:r>
      <w:r w:rsidR="00365F83" w:rsidRPr="005C3EC8">
        <w:rPr>
          <w:rFonts w:ascii="Calibri" w:hAnsi="Calibri"/>
        </w:rPr>
        <w:t xml:space="preserve">as well as </w:t>
      </w:r>
      <w:r w:rsidR="0091646C" w:rsidRPr="005C3EC8">
        <w:rPr>
          <w:rFonts w:ascii="Calibri" w:hAnsi="Calibri"/>
        </w:rPr>
        <w:t xml:space="preserve">other mining and quarrying products. </w:t>
      </w:r>
      <w:r w:rsidR="00DE3524" w:rsidRPr="005C3EC8">
        <w:rPr>
          <w:rFonts w:ascii="Calibri" w:hAnsi="Calibri"/>
        </w:rPr>
        <w:t xml:space="preserve">While the supplement to the 2016 EITI Report highlights constraints in the public availability of export data for non-energy minerals, it does not explain the constraints in disclosing </w:t>
      </w:r>
      <w:r w:rsidR="00B75C75" w:rsidRPr="005C3EC8">
        <w:rPr>
          <w:rFonts w:ascii="Calibri" w:hAnsi="Calibri"/>
        </w:rPr>
        <w:t xml:space="preserve">estimates for </w:t>
      </w:r>
      <w:r w:rsidR="00DE3524" w:rsidRPr="005C3EC8">
        <w:rPr>
          <w:rFonts w:ascii="Calibri" w:hAnsi="Calibri"/>
        </w:rPr>
        <w:t xml:space="preserve">export </w:t>
      </w:r>
      <w:r w:rsidR="00B75C75" w:rsidRPr="005C3EC8">
        <w:rPr>
          <w:rFonts w:ascii="Calibri" w:hAnsi="Calibri"/>
        </w:rPr>
        <w:t xml:space="preserve">values of non-energy </w:t>
      </w:r>
      <w:r w:rsidR="00DE3524" w:rsidRPr="005C3EC8">
        <w:rPr>
          <w:rFonts w:ascii="Calibri" w:hAnsi="Calibri"/>
        </w:rPr>
        <w:t>minerals.</w:t>
      </w:r>
    </w:p>
    <w:p w14:paraId="67126836" w14:textId="77777777" w:rsidR="00912683" w:rsidRPr="005C3EC8" w:rsidRDefault="00912683" w:rsidP="00405360">
      <w:pPr>
        <w:spacing w:before="120"/>
        <w:rPr>
          <w:color w:val="000000"/>
        </w:rPr>
      </w:pPr>
      <w:r w:rsidRPr="005C3EC8">
        <w:rPr>
          <w:rFonts w:ascii="Calibri" w:hAnsi="Calibri"/>
        </w:rPr>
        <w:t xml:space="preserve">In accordance with Requirement 3.3, the UK should ensure that </w:t>
      </w:r>
      <w:r w:rsidR="00026B02" w:rsidRPr="005C3EC8">
        <w:rPr>
          <w:rFonts w:ascii="Calibri" w:hAnsi="Calibri"/>
        </w:rPr>
        <w:t>export volumes and values are publicly disclosed for every mineral commodity exported annually</w:t>
      </w:r>
      <w:r w:rsidR="00FF2A80" w:rsidRPr="005C3EC8">
        <w:rPr>
          <w:rFonts w:ascii="Calibri" w:hAnsi="Calibri"/>
        </w:rPr>
        <w:t xml:space="preserve">. </w:t>
      </w:r>
    </w:p>
    <w:p w14:paraId="2C28733E" w14:textId="77777777" w:rsidR="00FF2A80" w:rsidRPr="005C3EC8" w:rsidRDefault="00FF2A80" w:rsidP="00405360">
      <w:pPr>
        <w:spacing w:before="120"/>
        <w:rPr>
          <w:color w:val="000000"/>
        </w:rPr>
      </w:pPr>
    </w:p>
    <w:p w14:paraId="7FE1C478" w14:textId="4834C9A4" w:rsidR="00675030" w:rsidRPr="005C3EC8" w:rsidRDefault="00045490" w:rsidP="007906D4">
      <w:pPr>
        <w:pStyle w:val="Caption"/>
        <w:rPr>
          <w:rFonts w:ascii="Calibri" w:hAnsi="Calibri"/>
          <w:color w:val="auto"/>
        </w:rPr>
      </w:pPr>
      <w:bookmarkStart w:id="205" w:name="_Toc463537776"/>
      <w:bookmarkStart w:id="206" w:name="_Toc485385504"/>
      <w:r w:rsidRPr="005C3EC8">
        <w:t xml:space="preserve">Table </w:t>
      </w:r>
      <w:r w:rsidR="000047B5">
        <w:fldChar w:fldCharType="begin"/>
      </w:r>
      <w:r w:rsidR="000047B5">
        <w:instrText xml:space="preserve"> SEQ Table \* ARABIC </w:instrText>
      </w:r>
      <w:r w:rsidR="000047B5">
        <w:fldChar w:fldCharType="separate"/>
      </w:r>
      <w:r w:rsidR="0083320D" w:rsidRPr="005C3EC8">
        <w:t>3</w:t>
      </w:r>
      <w:r w:rsidR="000047B5">
        <w:fldChar w:fldCharType="end"/>
      </w:r>
      <w:r w:rsidRPr="005C3EC8">
        <w:t xml:space="preserve">- </w:t>
      </w:r>
      <w:r w:rsidR="00675030" w:rsidRPr="005C3EC8">
        <w:rPr>
          <w:color w:val="000000"/>
        </w:rPr>
        <w:t xml:space="preserve"> </w:t>
      </w:r>
      <w:r w:rsidR="00675030" w:rsidRPr="005C3EC8">
        <w:rPr>
          <w:rFonts w:eastAsia="Calibri"/>
        </w:rPr>
        <w:t>Summary initial assessment table: Monitoring and production</w:t>
      </w:r>
      <w:bookmarkEnd w:id="205"/>
      <w:bookmarkEnd w:id="20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4270"/>
        <w:gridCol w:w="2245"/>
      </w:tblGrid>
      <w:tr w:rsidR="00FC3899" w:rsidRPr="005C3EC8" w14:paraId="720A2BDA" w14:textId="77777777" w:rsidTr="000829E1">
        <w:trPr>
          <w:trHeight w:val="879"/>
        </w:trPr>
        <w:tc>
          <w:tcPr>
            <w:tcW w:w="2854" w:type="dxa"/>
            <w:shd w:val="clear" w:color="auto" w:fill="D9D9D9"/>
            <w:vAlign w:val="center"/>
          </w:tcPr>
          <w:p w14:paraId="25182590" w14:textId="77777777" w:rsidR="00FC3899" w:rsidRPr="005C3EC8" w:rsidRDefault="00FC3899" w:rsidP="00E03D03">
            <w:pPr>
              <w:pStyle w:val="Tabletext"/>
              <w:rPr>
                <w:b/>
                <w:lang w:val="en-GB"/>
              </w:rPr>
            </w:pPr>
            <w:r w:rsidRPr="005C3EC8">
              <w:rPr>
                <w:b/>
                <w:lang w:val="en-GB"/>
              </w:rPr>
              <w:t>EITI provisions</w:t>
            </w:r>
          </w:p>
        </w:tc>
        <w:tc>
          <w:tcPr>
            <w:tcW w:w="4830" w:type="dxa"/>
            <w:shd w:val="clear" w:color="auto" w:fill="D9D9D9"/>
            <w:vAlign w:val="center"/>
          </w:tcPr>
          <w:p w14:paraId="2A65BF62" w14:textId="77777777" w:rsidR="00FC3899" w:rsidRPr="005C3EC8" w:rsidRDefault="00FC3899" w:rsidP="00E03D03">
            <w:pPr>
              <w:pStyle w:val="Tabletext"/>
              <w:rPr>
                <w:b/>
                <w:lang w:val="en-GB"/>
              </w:rPr>
            </w:pPr>
            <w:r w:rsidRPr="005C3EC8">
              <w:rPr>
                <w:b/>
                <w:lang w:val="en-GB"/>
              </w:rPr>
              <w:t>Summary of main findings</w:t>
            </w:r>
          </w:p>
        </w:tc>
        <w:tc>
          <w:tcPr>
            <w:tcW w:w="1693" w:type="dxa"/>
            <w:shd w:val="clear" w:color="auto" w:fill="D9D9D9"/>
            <w:vAlign w:val="center"/>
          </w:tcPr>
          <w:p w14:paraId="1C6BE3AD" w14:textId="045DE6DF" w:rsidR="00FC3899" w:rsidRPr="005C3EC8" w:rsidRDefault="00FC3899" w:rsidP="00E03D03">
            <w:pPr>
              <w:pStyle w:val="Tabletext"/>
              <w:rPr>
                <w:b/>
                <w:lang w:val="en-GB"/>
              </w:rPr>
            </w:pPr>
            <w:r w:rsidRPr="005C3EC8">
              <w:rPr>
                <w:b/>
                <w:lang w:val="en-GB"/>
              </w:rPr>
              <w:t xml:space="preserve">International Secretariat’s initial assessment of progress with the EITI provisions </w:t>
            </w:r>
          </w:p>
        </w:tc>
      </w:tr>
      <w:tr w:rsidR="00675030" w:rsidRPr="005C3EC8" w14:paraId="44B21D36" w14:textId="77777777" w:rsidTr="000829E1">
        <w:tc>
          <w:tcPr>
            <w:tcW w:w="2854" w:type="dxa"/>
            <w:shd w:val="clear" w:color="auto" w:fill="auto"/>
            <w:vAlign w:val="center"/>
          </w:tcPr>
          <w:p w14:paraId="133B38B7" w14:textId="09A374AD" w:rsidR="00675030" w:rsidRPr="005C3EC8" w:rsidRDefault="00675030" w:rsidP="00E03D03">
            <w:pPr>
              <w:pStyle w:val="Tabletext"/>
              <w:rPr>
                <w:lang w:val="en-GB"/>
              </w:rPr>
            </w:pPr>
            <w:r w:rsidRPr="005C3EC8">
              <w:rPr>
                <w:lang w:val="en-GB"/>
              </w:rPr>
              <w:t>Overview of the extractive sector, including exploration activities (#3.1)</w:t>
            </w:r>
          </w:p>
        </w:tc>
        <w:tc>
          <w:tcPr>
            <w:tcW w:w="4830" w:type="dxa"/>
            <w:shd w:val="clear" w:color="auto" w:fill="auto"/>
            <w:vAlign w:val="center"/>
          </w:tcPr>
          <w:p w14:paraId="17AF5FC8" w14:textId="2DFF7D61" w:rsidR="00675030" w:rsidRPr="005C3EC8" w:rsidRDefault="002432FB" w:rsidP="00E03D03">
            <w:pPr>
              <w:pStyle w:val="Tabletext"/>
              <w:rPr>
                <w:lang w:val="en-GB"/>
              </w:rPr>
            </w:pPr>
            <w:r w:rsidRPr="005C3EC8">
              <w:rPr>
                <w:lang w:val="en-GB"/>
              </w:rPr>
              <w:t>The 2016 EITI Report provides an overview of the oil and gas, shale gas, coal, mining and quarrying sectors, including significant exploration activities.</w:t>
            </w:r>
          </w:p>
        </w:tc>
        <w:tc>
          <w:tcPr>
            <w:tcW w:w="1693" w:type="dxa"/>
            <w:vAlign w:val="center"/>
          </w:tcPr>
          <w:p w14:paraId="3DFA4191" w14:textId="1BF74C70" w:rsidR="00675030" w:rsidRPr="005C3EC8" w:rsidRDefault="001518E3" w:rsidP="001518E3">
            <w:pPr>
              <w:pStyle w:val="Tabletext"/>
              <w:jc w:val="center"/>
              <w:rPr>
                <w:lang w:val="en-GB"/>
              </w:rPr>
            </w:pPr>
            <w:r w:rsidRPr="005C3EC8">
              <w:rPr>
                <w:lang w:val="en-GB"/>
              </w:rPr>
              <w:t>Satisfactory progress</w:t>
            </w:r>
            <w:r w:rsidR="00B118D3" w:rsidRPr="005C3EC8">
              <w:rPr>
                <w:lang w:val="en-GB"/>
              </w:rPr>
              <w:t xml:space="preserve"> (Beyond)</w:t>
            </w:r>
          </w:p>
        </w:tc>
      </w:tr>
      <w:tr w:rsidR="00675030" w:rsidRPr="005C3EC8" w14:paraId="35F6E81A" w14:textId="77777777" w:rsidTr="000829E1">
        <w:tc>
          <w:tcPr>
            <w:tcW w:w="2854" w:type="dxa"/>
            <w:shd w:val="clear" w:color="auto" w:fill="auto"/>
            <w:vAlign w:val="center"/>
          </w:tcPr>
          <w:p w14:paraId="001769AD" w14:textId="77777777" w:rsidR="00675030" w:rsidRPr="005C3EC8" w:rsidRDefault="00675030" w:rsidP="00E03D03">
            <w:pPr>
              <w:pStyle w:val="Tabletext"/>
              <w:rPr>
                <w:lang w:val="en-GB"/>
              </w:rPr>
            </w:pPr>
            <w:r w:rsidRPr="005C3EC8">
              <w:rPr>
                <w:lang w:val="en-GB"/>
              </w:rPr>
              <w:t>Production data (#3.2)</w:t>
            </w:r>
          </w:p>
        </w:tc>
        <w:tc>
          <w:tcPr>
            <w:tcW w:w="4830" w:type="dxa"/>
            <w:shd w:val="clear" w:color="auto" w:fill="auto"/>
            <w:vAlign w:val="center"/>
          </w:tcPr>
          <w:p w14:paraId="1D3DC926" w14:textId="3E8A8239" w:rsidR="00675030" w:rsidRPr="005C3EC8" w:rsidRDefault="002432FB" w:rsidP="00E03D03">
            <w:pPr>
              <w:pStyle w:val="Tabletext"/>
              <w:rPr>
                <w:lang w:val="en-GB"/>
              </w:rPr>
            </w:pPr>
            <w:r w:rsidRPr="005C3EC8">
              <w:rPr>
                <w:lang w:val="en-GB"/>
              </w:rPr>
              <w:t xml:space="preserve">The 2016 EITI Report provides production volumes for all commodities produced in 2016 aside from silica sands, industrial and agricultural carbonates, and tungsten, and production volumes only for oil, gas and coal. The report states that the government does not record production values for construction materials, but does not refer any MSG discussions on estimates of the value of production. Although it is possible to source annual average prices for certain </w:t>
            </w:r>
            <w:r w:rsidRPr="005C3EC8">
              <w:rPr>
                <w:lang w:val="en-GB"/>
              </w:rPr>
              <w:lastRenderedPageBreak/>
              <w:t>minerals produced in the UK from government sources, the lack of publicly-available 2016 production volumes and values for certain minerals produced by material companies in the 2016 EITI Report means that the broader objective of transparency in national extractives production cannot be considered to be met. While the supplement to the 2016 EITI Report highlights constraints in the public availability of production data for non-energy minerals, it does not explain the constraints in disclosing an average annual production or sales price for these minerals.</w:t>
            </w:r>
          </w:p>
        </w:tc>
        <w:tc>
          <w:tcPr>
            <w:tcW w:w="1693" w:type="dxa"/>
            <w:vAlign w:val="center"/>
          </w:tcPr>
          <w:p w14:paraId="665A6C3A" w14:textId="3C53A124" w:rsidR="00675030" w:rsidRPr="005C3EC8" w:rsidRDefault="001518E3" w:rsidP="001518E3">
            <w:pPr>
              <w:pStyle w:val="Tabletext"/>
              <w:jc w:val="center"/>
              <w:rPr>
                <w:lang w:val="en-GB"/>
              </w:rPr>
            </w:pPr>
            <w:r w:rsidRPr="005C3EC8">
              <w:rPr>
                <w:lang w:val="en-GB"/>
              </w:rPr>
              <w:lastRenderedPageBreak/>
              <w:t>Meaningful progress</w:t>
            </w:r>
          </w:p>
        </w:tc>
      </w:tr>
      <w:tr w:rsidR="00675030" w:rsidRPr="005C3EC8" w14:paraId="1AC92263" w14:textId="77777777" w:rsidTr="000829E1">
        <w:tc>
          <w:tcPr>
            <w:tcW w:w="2854" w:type="dxa"/>
            <w:shd w:val="clear" w:color="auto" w:fill="auto"/>
            <w:vAlign w:val="center"/>
          </w:tcPr>
          <w:p w14:paraId="5C331106" w14:textId="77777777" w:rsidR="00675030" w:rsidRPr="005C3EC8" w:rsidRDefault="00675030" w:rsidP="00E03D03">
            <w:pPr>
              <w:pStyle w:val="Tabletext"/>
              <w:rPr>
                <w:lang w:val="en-GB"/>
              </w:rPr>
            </w:pPr>
            <w:r w:rsidRPr="005C3EC8">
              <w:rPr>
                <w:lang w:val="en-GB"/>
              </w:rPr>
              <w:t>Export data (#3.3)</w:t>
            </w:r>
          </w:p>
        </w:tc>
        <w:tc>
          <w:tcPr>
            <w:tcW w:w="4830" w:type="dxa"/>
            <w:shd w:val="clear" w:color="auto" w:fill="auto"/>
            <w:vAlign w:val="center"/>
          </w:tcPr>
          <w:p w14:paraId="2E20FC61" w14:textId="03244039" w:rsidR="00675030" w:rsidRPr="005C3EC8" w:rsidRDefault="002432FB" w:rsidP="00E03D03">
            <w:pPr>
              <w:pStyle w:val="Tabletext"/>
              <w:rPr>
                <w:lang w:val="en-GB"/>
              </w:rPr>
            </w:pPr>
            <w:r w:rsidRPr="005C3EC8">
              <w:rPr>
                <w:lang w:val="en-GB"/>
              </w:rPr>
              <w:t>The 2016 EITI Report provides export volumes and values for oil, gas and coal, but not consistently for mineral commodities such as lignite, iron ores, kaolin, non-ferrous metal ores, unworked stone, gravel, sands, as well as other mining and quarrying products. While the supplement to the 2016 EITI Report highlights constraints in the public availability of export data for non-energy minerals, it does not explain the constraints in disclosing estimates for export values of non-energy minerals.</w:t>
            </w:r>
          </w:p>
        </w:tc>
        <w:tc>
          <w:tcPr>
            <w:tcW w:w="1693" w:type="dxa"/>
            <w:vAlign w:val="center"/>
          </w:tcPr>
          <w:p w14:paraId="427EEFFA" w14:textId="6B5FD825" w:rsidR="00675030" w:rsidRPr="005C3EC8" w:rsidRDefault="001518E3" w:rsidP="001518E3">
            <w:pPr>
              <w:pStyle w:val="Tabletext"/>
              <w:jc w:val="center"/>
              <w:rPr>
                <w:lang w:val="en-GB"/>
              </w:rPr>
            </w:pPr>
            <w:r w:rsidRPr="005C3EC8">
              <w:rPr>
                <w:lang w:val="en-GB"/>
              </w:rPr>
              <w:t>Meaningful progress</w:t>
            </w:r>
          </w:p>
        </w:tc>
      </w:tr>
      <w:tr w:rsidR="00675030" w:rsidRPr="005C3EC8" w14:paraId="0B3315C8" w14:textId="77777777" w:rsidTr="008C1A47">
        <w:tc>
          <w:tcPr>
            <w:tcW w:w="0" w:type="auto"/>
            <w:gridSpan w:val="3"/>
            <w:shd w:val="clear" w:color="auto" w:fill="FFFFFF"/>
            <w:vAlign w:val="center"/>
          </w:tcPr>
          <w:p w14:paraId="3138FE44" w14:textId="1D96C38A" w:rsidR="00675030" w:rsidRPr="005C3EC8" w:rsidRDefault="008C1A47" w:rsidP="00E03D03">
            <w:pPr>
              <w:pStyle w:val="Tabletext"/>
              <w:rPr>
                <w:b/>
                <w:lang w:val="en-GB"/>
              </w:rPr>
            </w:pPr>
            <w:r w:rsidRPr="005C3EC8">
              <w:rPr>
                <w:b/>
                <w:lang w:val="en-GB"/>
              </w:rPr>
              <w:t xml:space="preserve">Secretariat’s </w:t>
            </w:r>
            <w:r w:rsidR="00675030" w:rsidRPr="005C3EC8">
              <w:rPr>
                <w:b/>
                <w:lang w:val="en-GB"/>
              </w:rPr>
              <w:t>recommendations:</w:t>
            </w:r>
          </w:p>
          <w:p w14:paraId="148BAF2D" w14:textId="11B36A44" w:rsidR="00240C0D" w:rsidRPr="005C3EC8" w:rsidRDefault="002432FB" w:rsidP="008200F5">
            <w:pPr>
              <w:pStyle w:val="ListParagraph"/>
              <w:rPr>
                <w:rFonts w:eastAsia="Calibri"/>
              </w:rPr>
            </w:pPr>
            <w:r w:rsidRPr="005C3EC8">
              <w:t>In accordance with Requirement 3.2, the UK should ensure that estimates of production values are publicly disclosed for all minerals produced in the year under review. The UK is encouraged to consider the extent to which estimates prepared based on average benchmarks could ensure that general estimates of the value of production is in the public domain.</w:t>
            </w:r>
          </w:p>
          <w:p w14:paraId="2B237B04" w14:textId="189DE2E0" w:rsidR="00675030" w:rsidRPr="005C3EC8" w:rsidRDefault="002432FB" w:rsidP="008200F5">
            <w:pPr>
              <w:pStyle w:val="ListParagraph"/>
              <w:rPr>
                <w:rFonts w:eastAsia="Calibri"/>
              </w:rPr>
            </w:pPr>
            <w:r w:rsidRPr="005C3EC8">
              <w:t>In accordance with Requirement 3.3, the UK should ensure that export volumes and values are publicly disclosed for every mineral commodity exported annually.</w:t>
            </w:r>
          </w:p>
        </w:tc>
      </w:tr>
    </w:tbl>
    <w:p w14:paraId="7C1E0EBC" w14:textId="77777777" w:rsidR="00045490" w:rsidRPr="005C3EC8" w:rsidRDefault="00045490">
      <w:pPr>
        <w:pStyle w:val="Heading2"/>
      </w:pPr>
      <w:bookmarkStart w:id="207" w:name="_Toc461796629"/>
      <w:bookmarkStart w:id="208" w:name="_Toc461803083"/>
      <w:bookmarkStart w:id="209" w:name="_Toc461786601"/>
      <w:bookmarkStart w:id="210" w:name="_Toc461787172"/>
      <w:bookmarkStart w:id="211" w:name="_Toc461787337"/>
      <w:bookmarkStart w:id="212" w:name="_Toc461792499"/>
      <w:bookmarkStart w:id="213" w:name="_Toc461792572"/>
      <w:bookmarkStart w:id="214" w:name="_Toc461792650"/>
      <w:bookmarkStart w:id="215" w:name="_Toc461795849"/>
      <w:bookmarkStart w:id="216" w:name="_Toc461816222"/>
      <w:bookmarkStart w:id="217" w:name="_Toc461808559"/>
      <w:bookmarkStart w:id="218" w:name="_Toc459133134"/>
      <w:bookmarkStart w:id="219" w:name="_Toc461803084"/>
      <w:bookmarkStart w:id="220" w:name="_Toc461787338"/>
      <w:bookmarkStart w:id="221" w:name="_Toc461795850"/>
      <w:bookmarkStart w:id="222" w:name="_Toc462149189"/>
      <w:bookmarkStart w:id="223" w:name="_Toc459133135"/>
      <w:bookmarkEnd w:id="207"/>
      <w:bookmarkEnd w:id="208"/>
      <w:bookmarkEnd w:id="209"/>
      <w:bookmarkEnd w:id="210"/>
      <w:bookmarkEnd w:id="211"/>
      <w:bookmarkEnd w:id="212"/>
      <w:bookmarkEnd w:id="213"/>
      <w:bookmarkEnd w:id="214"/>
      <w:bookmarkEnd w:id="215"/>
      <w:bookmarkEnd w:id="216"/>
      <w:bookmarkEnd w:id="217"/>
    </w:p>
    <w:p w14:paraId="2D498647" w14:textId="77777777" w:rsidR="00045490" w:rsidRPr="005C3EC8" w:rsidRDefault="00045490">
      <w:pPr>
        <w:widowControl/>
        <w:suppressAutoHyphens w:val="0"/>
        <w:spacing w:after="0" w:line="240" w:lineRule="auto"/>
        <w:rPr>
          <w:rFonts w:ascii="Calibri" w:hAnsi="Calibri"/>
          <w:b/>
          <w:bCs/>
          <w:color w:val="4F81BD"/>
          <w:sz w:val="28"/>
          <w:szCs w:val="26"/>
        </w:rPr>
      </w:pPr>
      <w:r w:rsidRPr="005C3EC8">
        <w:rPr>
          <w:rFonts w:ascii="Calibri" w:hAnsi="Calibri"/>
        </w:rPr>
        <w:br w:type="page"/>
      </w:r>
    </w:p>
    <w:p w14:paraId="61FB878A" w14:textId="7CBFEC43" w:rsidR="000722F1" w:rsidRPr="005C3EC8" w:rsidRDefault="00E91ADB">
      <w:pPr>
        <w:pStyle w:val="Heading2"/>
      </w:pPr>
      <w:r w:rsidRPr="005C3EC8">
        <w:lastRenderedPageBreak/>
        <w:t xml:space="preserve">4. </w:t>
      </w:r>
      <w:r w:rsidR="000722F1" w:rsidRPr="005C3EC8">
        <w:t>Revenue collection</w:t>
      </w:r>
      <w:bookmarkEnd w:id="218"/>
      <w:bookmarkEnd w:id="219"/>
      <w:bookmarkEnd w:id="220"/>
      <w:bookmarkEnd w:id="221"/>
      <w:bookmarkEnd w:id="222"/>
      <w:r w:rsidR="000722F1" w:rsidRPr="005C3EC8">
        <w:t xml:space="preserve"> </w:t>
      </w:r>
    </w:p>
    <w:p w14:paraId="30050D7B" w14:textId="04EB86F0" w:rsidR="006056F7" w:rsidRPr="005C3EC8" w:rsidRDefault="00E91ADB">
      <w:pPr>
        <w:pStyle w:val="Heading2notindexed"/>
      </w:pPr>
      <w:bookmarkStart w:id="224" w:name="_Toc461803085"/>
      <w:bookmarkStart w:id="225" w:name="_Toc461787339"/>
      <w:bookmarkStart w:id="226" w:name="_Toc461795851"/>
      <w:r w:rsidRPr="005C3EC8">
        <w:t xml:space="preserve">4.1 </w:t>
      </w:r>
      <w:r w:rsidR="000722F1" w:rsidRPr="005C3EC8">
        <w:t>Overview</w:t>
      </w:r>
      <w:bookmarkEnd w:id="223"/>
      <w:bookmarkEnd w:id="224"/>
      <w:bookmarkEnd w:id="225"/>
      <w:bookmarkEnd w:id="226"/>
    </w:p>
    <w:p w14:paraId="472332B9" w14:textId="00DA7EC5" w:rsidR="000722F1" w:rsidRPr="005C3EC8" w:rsidRDefault="006056F7" w:rsidP="000722F1">
      <w:pPr>
        <w:spacing w:before="120"/>
        <w:rPr>
          <w:rFonts w:ascii="Calibri" w:hAnsi="Calibri"/>
        </w:rPr>
      </w:pPr>
      <w:r w:rsidRPr="005C3EC8">
        <w:rPr>
          <w:rFonts w:ascii="Calibri" w:hAnsi="Calibri"/>
        </w:rPr>
        <w:t>This section provides details on the implementation of the EITI requirements related to revenue transparency, including the comprehensiveness, quality and level of detail disclosed. It also considers compliance with the EITI Requirements related to procedures for producing EITI Reports.</w:t>
      </w:r>
    </w:p>
    <w:p w14:paraId="2C5DCAFC" w14:textId="3CA26FE6" w:rsidR="000722F1" w:rsidRPr="005C3EC8" w:rsidRDefault="00E91ADB">
      <w:pPr>
        <w:pStyle w:val="Heading2notindexed"/>
      </w:pPr>
      <w:bookmarkStart w:id="227" w:name="_Toc459133136"/>
      <w:bookmarkStart w:id="228" w:name="_Toc461803086"/>
      <w:bookmarkStart w:id="229" w:name="_Toc461787340"/>
      <w:bookmarkStart w:id="230" w:name="_Toc461795852"/>
      <w:r w:rsidRPr="005C3EC8">
        <w:t xml:space="preserve">4.2 </w:t>
      </w:r>
      <w:r w:rsidR="000722F1" w:rsidRPr="005C3EC8">
        <w:t>Assessment</w:t>
      </w:r>
      <w:bookmarkEnd w:id="227"/>
      <w:bookmarkEnd w:id="228"/>
      <w:bookmarkEnd w:id="229"/>
      <w:bookmarkEnd w:id="230"/>
    </w:p>
    <w:p w14:paraId="26F4ECB0" w14:textId="016F5452" w:rsidR="000722F1" w:rsidRPr="005C3EC8" w:rsidRDefault="003D5730" w:rsidP="0097728B">
      <w:pPr>
        <w:pStyle w:val="Heading2"/>
      </w:pPr>
      <w:bookmarkStart w:id="231" w:name="_Toc459133137"/>
      <w:bookmarkStart w:id="232" w:name="_Toc461803087"/>
      <w:bookmarkStart w:id="233" w:name="_Toc461787341"/>
      <w:bookmarkStart w:id="234" w:name="_Toc461795853"/>
      <w:bookmarkStart w:id="235" w:name="_Toc462149190"/>
      <w:r w:rsidRPr="005C3EC8">
        <w:t>Materiality</w:t>
      </w:r>
      <w:r w:rsidR="00B32C5D" w:rsidRPr="005C3EC8">
        <w:t xml:space="preserve"> (#4.1</w:t>
      </w:r>
      <w:r w:rsidR="000722F1" w:rsidRPr="005C3EC8">
        <w:t>)</w:t>
      </w:r>
      <w:bookmarkEnd w:id="231"/>
      <w:bookmarkEnd w:id="232"/>
      <w:bookmarkEnd w:id="233"/>
      <w:bookmarkEnd w:id="234"/>
      <w:bookmarkEnd w:id="235"/>
    </w:p>
    <w:p w14:paraId="13B9B3FD" w14:textId="63D7DDC1" w:rsidR="00240C0D" w:rsidRPr="005C3EC8" w:rsidRDefault="00533AAF" w:rsidP="0097728B">
      <w:pPr>
        <w:pStyle w:val="Heading3"/>
      </w:pPr>
      <w:r w:rsidRPr="005C3EC8">
        <w:t xml:space="preserve">Documentation of progress </w:t>
      </w:r>
    </w:p>
    <w:p w14:paraId="585E12D6" w14:textId="5832E3FC" w:rsidR="008C75D4" w:rsidRPr="005C3EC8" w:rsidRDefault="00A903EC" w:rsidP="00A903EC">
      <w:pPr>
        <w:spacing w:before="120"/>
        <w:rPr>
          <w:rFonts w:ascii="Calibri" w:hAnsi="Calibri"/>
        </w:rPr>
      </w:pPr>
      <w:r w:rsidRPr="005C3EC8">
        <w:rPr>
          <w:rFonts w:ascii="Calibri" w:hAnsi="Calibri"/>
          <w:b/>
          <w:i/>
        </w:rPr>
        <w:t>Systematic disclosures</w:t>
      </w:r>
      <w:r w:rsidRPr="005C3EC8">
        <w:rPr>
          <w:rFonts w:ascii="Calibri" w:hAnsi="Calibri"/>
          <w:i/>
        </w:rPr>
        <w:t xml:space="preserve">: </w:t>
      </w:r>
      <w:r w:rsidR="00D103D7" w:rsidRPr="005C3EC8">
        <w:rPr>
          <w:rFonts w:ascii="Calibri" w:hAnsi="Calibri"/>
        </w:rPr>
        <w:t>T</w:t>
      </w:r>
      <w:r w:rsidR="00077ADE" w:rsidRPr="005C3EC8">
        <w:rPr>
          <w:rFonts w:ascii="Calibri" w:hAnsi="Calibri"/>
        </w:rPr>
        <w:t xml:space="preserve">he UK’s </w:t>
      </w:r>
      <w:r w:rsidR="009214E5" w:rsidRPr="005C3EC8">
        <w:rPr>
          <w:rFonts w:ascii="Calibri" w:hAnsi="Calibri"/>
        </w:rPr>
        <w:t xml:space="preserve">first </w:t>
      </w:r>
      <w:r w:rsidR="00077ADE" w:rsidRPr="005C3EC8">
        <w:rPr>
          <w:rFonts w:ascii="Calibri" w:hAnsi="Calibri"/>
        </w:rPr>
        <w:t>EIT</w:t>
      </w:r>
      <w:r w:rsidR="009214E5" w:rsidRPr="005C3EC8">
        <w:rPr>
          <w:rFonts w:ascii="Calibri" w:hAnsi="Calibri"/>
        </w:rPr>
        <w:t>I Report (2014)</w:t>
      </w:r>
      <w:r w:rsidR="00077ADE" w:rsidRPr="005C3EC8">
        <w:rPr>
          <w:rFonts w:ascii="Calibri" w:hAnsi="Calibri"/>
        </w:rPr>
        <w:t xml:space="preserve"> </w:t>
      </w:r>
      <w:r w:rsidR="009214E5" w:rsidRPr="005C3EC8">
        <w:rPr>
          <w:rFonts w:ascii="Calibri" w:hAnsi="Calibri"/>
        </w:rPr>
        <w:t>initially included three revenue streams in oil and gas (Ring Fence Corporation Tax and Supplementary Charge (RFCT &amp; SC), P</w:t>
      </w:r>
      <w:r w:rsidR="00DF051E" w:rsidRPr="005C3EC8">
        <w:rPr>
          <w:rFonts w:ascii="Calibri" w:hAnsi="Calibri"/>
        </w:rPr>
        <w:t>etroleum Revenue Tax (PRT) and Petroleum License F</w:t>
      </w:r>
      <w:r w:rsidR="009214E5" w:rsidRPr="005C3EC8">
        <w:rPr>
          <w:rFonts w:ascii="Calibri" w:hAnsi="Calibri"/>
        </w:rPr>
        <w:t>ees) and three revenue streams in mining and quarrying (</w:t>
      </w:r>
      <w:r w:rsidR="00DF051E" w:rsidRPr="005C3EC8">
        <w:rPr>
          <w:rFonts w:ascii="Calibri" w:hAnsi="Calibri"/>
        </w:rPr>
        <w:t>Corporation T</w:t>
      </w:r>
      <w:r w:rsidR="009214E5" w:rsidRPr="005C3EC8">
        <w:rPr>
          <w:rFonts w:ascii="Calibri" w:hAnsi="Calibri"/>
        </w:rPr>
        <w:t xml:space="preserve">ax, extractive-related payments to The Crown Estate and the Coal Authority) in the scope of reconciliation. The second EITI Report (2015) added two types of oil and gas company payments (the OGA Levy and oil and gas company payments to TCE </w:t>
      </w:r>
      <w:r w:rsidR="008C75D4" w:rsidRPr="005C3EC8">
        <w:rPr>
          <w:rFonts w:ascii="Calibri" w:hAnsi="Calibri"/>
        </w:rPr>
        <w:t>for pipeline easement fees</w:t>
      </w:r>
      <w:r w:rsidR="009214E5" w:rsidRPr="005C3EC8">
        <w:rPr>
          <w:rFonts w:ascii="Calibri" w:hAnsi="Calibri"/>
        </w:rPr>
        <w:t>) to the scope of reconciliation. The third EITI Report (2016) combined Advance Petroleum Revenue Tax (APRT) to the reporting of PRT, which included refunds given the zero-rating of PRT in the 2016 Budget.</w:t>
      </w:r>
      <w:r w:rsidR="009214E5" w:rsidRPr="005C3EC8">
        <w:rPr>
          <w:rStyle w:val="FootnoteReference"/>
          <w:rFonts w:ascii="Calibri" w:hAnsi="Calibri"/>
        </w:rPr>
        <w:footnoteReference w:id="262"/>
      </w:r>
      <w:r w:rsidR="005A35E7" w:rsidRPr="005C3EC8">
        <w:rPr>
          <w:rFonts w:ascii="Calibri" w:hAnsi="Calibri"/>
        </w:rPr>
        <w:t xml:space="preserve"> </w:t>
      </w:r>
      <w:r w:rsidR="008C75D4" w:rsidRPr="005C3EC8">
        <w:rPr>
          <w:rFonts w:ascii="Calibri" w:hAnsi="Calibri"/>
        </w:rPr>
        <w:t>For coal, mining and quarrying, companies were requested to provide their own estimates of the share of Corporation Tax payments that were relat</w:t>
      </w:r>
      <w:r w:rsidR="00DE2A49" w:rsidRPr="005C3EC8">
        <w:rPr>
          <w:rFonts w:ascii="Calibri" w:hAnsi="Calibri"/>
        </w:rPr>
        <w:t>ed to their upstream extractive</w:t>
      </w:r>
      <w:r w:rsidR="008C75D4" w:rsidRPr="005C3EC8">
        <w:rPr>
          <w:rFonts w:ascii="Calibri" w:hAnsi="Calibri"/>
        </w:rPr>
        <w:t xml:space="preserve"> activities, which were then reconciled with HMRC disclosures. </w:t>
      </w:r>
    </w:p>
    <w:p w14:paraId="591D20AA" w14:textId="54053738" w:rsidR="00A903EC" w:rsidRPr="005C3EC8" w:rsidRDefault="00D103D7" w:rsidP="00A903EC">
      <w:pPr>
        <w:spacing w:before="120"/>
        <w:rPr>
          <w:rFonts w:ascii="Calibri" w:hAnsi="Calibri"/>
        </w:rPr>
      </w:pPr>
      <w:r w:rsidRPr="005C3EC8">
        <w:rPr>
          <w:rFonts w:ascii="Calibri" w:hAnsi="Calibri"/>
        </w:rPr>
        <w:t xml:space="preserve">The UK’s </w:t>
      </w:r>
      <w:r w:rsidR="00687CC2" w:rsidRPr="005C3EC8">
        <w:rPr>
          <w:rFonts w:ascii="Calibri" w:hAnsi="Calibri"/>
        </w:rPr>
        <w:t>EITI reporting has</w:t>
      </w:r>
      <w:r w:rsidRPr="005C3EC8">
        <w:rPr>
          <w:rFonts w:ascii="Calibri" w:hAnsi="Calibri"/>
        </w:rPr>
        <w:t xml:space="preserve"> </w:t>
      </w:r>
      <w:r w:rsidR="005A35E7" w:rsidRPr="005C3EC8">
        <w:rPr>
          <w:rFonts w:ascii="Calibri" w:hAnsi="Calibri"/>
        </w:rPr>
        <w:t xml:space="preserve">reconciled payments from </w:t>
      </w:r>
      <w:r w:rsidRPr="005C3EC8">
        <w:rPr>
          <w:rFonts w:ascii="Calibri" w:hAnsi="Calibri"/>
        </w:rPr>
        <w:t xml:space="preserve">71 </w:t>
      </w:r>
      <w:r w:rsidR="005A35E7" w:rsidRPr="005C3EC8">
        <w:rPr>
          <w:rFonts w:ascii="Calibri" w:hAnsi="Calibri"/>
        </w:rPr>
        <w:t xml:space="preserve">material </w:t>
      </w:r>
      <w:r w:rsidRPr="005C3EC8">
        <w:rPr>
          <w:rFonts w:ascii="Calibri" w:hAnsi="Calibri"/>
        </w:rPr>
        <w:t xml:space="preserve">companies for 2014, 60 </w:t>
      </w:r>
      <w:r w:rsidR="00574482" w:rsidRPr="005C3EC8">
        <w:rPr>
          <w:rFonts w:ascii="Calibri" w:hAnsi="Calibri"/>
        </w:rPr>
        <w:t>for</w:t>
      </w:r>
      <w:r w:rsidRPr="005C3EC8">
        <w:rPr>
          <w:rFonts w:ascii="Calibri" w:hAnsi="Calibri"/>
        </w:rPr>
        <w:t xml:space="preserve"> 2015 and 58 </w:t>
      </w:r>
      <w:r w:rsidR="00574482" w:rsidRPr="005C3EC8">
        <w:rPr>
          <w:rFonts w:ascii="Calibri" w:hAnsi="Calibri"/>
        </w:rPr>
        <w:t xml:space="preserve">for </w:t>
      </w:r>
      <w:r w:rsidRPr="005C3EC8">
        <w:rPr>
          <w:rFonts w:ascii="Calibri" w:hAnsi="Calibri"/>
        </w:rPr>
        <w:t xml:space="preserve">2016. </w:t>
      </w:r>
      <w:r w:rsidR="00ED7405" w:rsidRPr="005C3EC8">
        <w:rPr>
          <w:rFonts w:ascii="Calibri" w:hAnsi="Calibri"/>
        </w:rPr>
        <w:t xml:space="preserve">All </w:t>
      </w:r>
      <w:r w:rsidR="00CF5901" w:rsidRPr="005C3EC8">
        <w:rPr>
          <w:rFonts w:ascii="Calibri" w:hAnsi="Calibri"/>
        </w:rPr>
        <w:t xml:space="preserve">extractives </w:t>
      </w:r>
      <w:r w:rsidR="00ED7405" w:rsidRPr="005C3EC8">
        <w:rPr>
          <w:rFonts w:ascii="Calibri" w:hAnsi="Calibri"/>
        </w:rPr>
        <w:t xml:space="preserve">companies accounting for more than 1% of the </w:t>
      </w:r>
      <w:r w:rsidR="00DC5E72" w:rsidRPr="005C3EC8">
        <w:rPr>
          <w:rFonts w:ascii="Calibri" w:hAnsi="Calibri"/>
        </w:rPr>
        <w:t>reconciled government</w:t>
      </w:r>
      <w:r w:rsidR="00ED7405" w:rsidRPr="005C3EC8">
        <w:rPr>
          <w:rFonts w:ascii="Calibri" w:hAnsi="Calibri"/>
        </w:rPr>
        <w:t xml:space="preserve"> extractives revenues in 2014</w:t>
      </w:r>
      <w:r w:rsidR="007852FE" w:rsidRPr="005C3EC8">
        <w:rPr>
          <w:rFonts w:ascii="Calibri" w:hAnsi="Calibri"/>
        </w:rPr>
        <w:t xml:space="preserve"> (11 companies)</w:t>
      </w:r>
      <w:r w:rsidR="00ED7405" w:rsidRPr="005C3EC8">
        <w:rPr>
          <w:rFonts w:ascii="Calibri" w:hAnsi="Calibri"/>
        </w:rPr>
        <w:t xml:space="preserve"> and 2015 </w:t>
      </w:r>
      <w:r w:rsidR="007852FE" w:rsidRPr="005C3EC8">
        <w:rPr>
          <w:rFonts w:ascii="Calibri" w:hAnsi="Calibri"/>
        </w:rPr>
        <w:t xml:space="preserve">(nine companies) </w:t>
      </w:r>
      <w:r w:rsidR="00ED7405" w:rsidRPr="005C3EC8">
        <w:rPr>
          <w:rFonts w:ascii="Calibri" w:hAnsi="Calibri"/>
        </w:rPr>
        <w:t>were from the oil and gas sector</w:t>
      </w:r>
      <w:r w:rsidR="00DC5E72" w:rsidRPr="005C3EC8">
        <w:rPr>
          <w:rFonts w:ascii="Calibri" w:hAnsi="Calibri"/>
        </w:rPr>
        <w:t>,</w:t>
      </w:r>
      <w:r w:rsidR="007852FE" w:rsidRPr="005C3EC8">
        <w:rPr>
          <w:rFonts w:ascii="Calibri" w:hAnsi="Calibri"/>
        </w:rPr>
        <w:t xml:space="preserve"> and accounted for 94.18% and 92.88% of government extractives revenues respectively.</w:t>
      </w:r>
      <w:r w:rsidR="00CF5901" w:rsidRPr="005C3EC8">
        <w:rPr>
          <w:rFonts w:ascii="Calibri" w:hAnsi="Calibri"/>
        </w:rPr>
        <w:t xml:space="preserve"> Given the significant PRT refunds in 2016, three of the 11 companies accounting for the largest (94.89% combined) </w:t>
      </w:r>
      <w:r w:rsidR="00DC5E72" w:rsidRPr="005C3EC8">
        <w:rPr>
          <w:rFonts w:ascii="Calibri" w:hAnsi="Calibri"/>
        </w:rPr>
        <w:t xml:space="preserve">(net) </w:t>
      </w:r>
      <w:r w:rsidR="00CF5901" w:rsidRPr="005C3EC8">
        <w:rPr>
          <w:rFonts w:ascii="Calibri" w:hAnsi="Calibri"/>
        </w:rPr>
        <w:t>extractives payments to government were from the mining and quarrying sector.</w:t>
      </w:r>
      <w:r w:rsidR="00CF5901" w:rsidRPr="005C3EC8">
        <w:rPr>
          <w:rStyle w:val="FootnoteReference"/>
          <w:rFonts w:ascii="Calibri" w:hAnsi="Calibri"/>
        </w:rPr>
        <w:footnoteReference w:id="263"/>
      </w:r>
    </w:p>
    <w:p w14:paraId="07923EEA" w14:textId="3AF3D1DA" w:rsidR="00D0077A" w:rsidRPr="005C3EC8" w:rsidRDefault="00D0077A" w:rsidP="00A903EC">
      <w:pPr>
        <w:spacing w:before="120"/>
        <w:rPr>
          <w:rFonts w:ascii="Calibri" w:hAnsi="Calibri"/>
        </w:rPr>
      </w:pPr>
      <w:r w:rsidRPr="005C3EC8">
        <w:rPr>
          <w:rFonts w:ascii="Calibri" w:hAnsi="Calibri"/>
        </w:rPr>
        <w:t xml:space="preserve">In terms of </w:t>
      </w:r>
      <w:r w:rsidRPr="005C3EC8">
        <w:rPr>
          <w:rFonts w:ascii="Calibri" w:hAnsi="Calibri"/>
          <w:i/>
        </w:rPr>
        <w:t>government disclosures</w:t>
      </w:r>
      <w:r w:rsidRPr="005C3EC8">
        <w:rPr>
          <w:rFonts w:ascii="Calibri" w:hAnsi="Calibri"/>
        </w:rPr>
        <w:t xml:space="preserve"> of extractives revenues, the 2005 Commissioners for Revenue and Customs Act includes taxpayer confidentiality provisions that hinder HMRC’s ability to disclose disaggregated tax revenue information. In 2015, UKEITI developed a system of open-ended taxpayer confidentiality waivers for companies in the scope of EITI reporting. While the 2016 EITI Report notes that “the majority of companies” signed these waivers (p.72), the precise number of companies that have waived their taxpayer confidentiality rights is unclear from UKEITI Reports. </w:t>
      </w:r>
    </w:p>
    <w:p w14:paraId="34C12B6A" w14:textId="5D5CE67C" w:rsidR="00F427C7" w:rsidRPr="005C3EC8" w:rsidRDefault="00F427C7" w:rsidP="00A903EC">
      <w:pPr>
        <w:spacing w:before="120"/>
        <w:rPr>
          <w:rFonts w:ascii="Calibri" w:hAnsi="Calibri"/>
        </w:rPr>
      </w:pPr>
      <w:r w:rsidRPr="005C3EC8">
        <w:rPr>
          <w:rFonts w:ascii="Calibri" w:hAnsi="Calibri"/>
        </w:rPr>
        <w:t>In terms of oil and gas revenues, the UK Government website publishes annual statistics on government revenues from UK oil and gas production</w:t>
      </w:r>
      <w:r w:rsidR="00F371B6" w:rsidRPr="005C3EC8">
        <w:rPr>
          <w:rStyle w:val="FootnoteReference"/>
          <w:rFonts w:ascii="Calibri" w:hAnsi="Calibri"/>
        </w:rPr>
        <w:footnoteReference w:id="264"/>
      </w:r>
      <w:r w:rsidRPr="005C3EC8">
        <w:rPr>
          <w:rFonts w:ascii="Calibri" w:hAnsi="Calibri"/>
        </w:rPr>
        <w:t xml:space="preserve">, which provide aggregate figures for revenues from RFCT, SC </w:t>
      </w:r>
      <w:r w:rsidRPr="005C3EC8">
        <w:rPr>
          <w:rFonts w:ascii="Calibri" w:hAnsi="Calibri"/>
        </w:rPr>
        <w:lastRenderedPageBreak/>
        <w:t>and PRT</w:t>
      </w:r>
      <w:r w:rsidR="00F371B6" w:rsidRPr="005C3EC8">
        <w:rPr>
          <w:rFonts w:ascii="Calibri" w:hAnsi="Calibri"/>
        </w:rPr>
        <w:t xml:space="preserve">, albeit not disaggregated by company. </w:t>
      </w:r>
      <w:r w:rsidR="00576C2C" w:rsidRPr="005C3EC8">
        <w:rPr>
          <w:rFonts w:ascii="Calibri" w:hAnsi="Calibri"/>
        </w:rPr>
        <w:t>The OGA annual reports and accounts</w:t>
      </w:r>
      <w:r w:rsidR="00576C2C" w:rsidRPr="005C3EC8">
        <w:rPr>
          <w:rStyle w:val="FootnoteReference"/>
          <w:rFonts w:ascii="Calibri" w:hAnsi="Calibri"/>
        </w:rPr>
        <w:footnoteReference w:id="265"/>
      </w:r>
      <w:r w:rsidR="00576C2C" w:rsidRPr="005C3EC8">
        <w:rPr>
          <w:rFonts w:ascii="Calibri" w:hAnsi="Calibri"/>
        </w:rPr>
        <w:t xml:space="preserve"> provide figures for aggregate revenue from the OGA levy</w:t>
      </w:r>
      <w:r w:rsidR="003077F8" w:rsidRPr="005C3EC8">
        <w:rPr>
          <w:rFonts w:ascii="Calibri" w:hAnsi="Calibri"/>
        </w:rPr>
        <w:t xml:space="preserve"> and for “fees and charges” (combined)</w:t>
      </w:r>
      <w:r w:rsidR="00250A15" w:rsidRPr="005C3EC8">
        <w:rPr>
          <w:rFonts w:ascii="Calibri" w:hAnsi="Calibri"/>
        </w:rPr>
        <w:t>, albeit not disaggregated by company</w:t>
      </w:r>
      <w:r w:rsidR="003077F8" w:rsidRPr="005C3EC8">
        <w:rPr>
          <w:rFonts w:ascii="Calibri" w:hAnsi="Calibri"/>
        </w:rPr>
        <w:t xml:space="preserve"> nor between the various types of fees and charges levied on oil and gas companies</w:t>
      </w:r>
      <w:r w:rsidR="00250A15" w:rsidRPr="005C3EC8">
        <w:rPr>
          <w:rFonts w:ascii="Calibri" w:hAnsi="Calibri"/>
        </w:rPr>
        <w:t xml:space="preserve">. </w:t>
      </w:r>
    </w:p>
    <w:p w14:paraId="23DDA597" w14:textId="45DE8A4E" w:rsidR="00F371B6" w:rsidRPr="005C3EC8" w:rsidRDefault="003077F8" w:rsidP="00A903EC">
      <w:pPr>
        <w:spacing w:before="120"/>
        <w:rPr>
          <w:rFonts w:ascii="Calibri" w:hAnsi="Calibri"/>
        </w:rPr>
      </w:pPr>
      <w:r w:rsidRPr="005C3EC8">
        <w:rPr>
          <w:rFonts w:ascii="Calibri" w:hAnsi="Calibri"/>
        </w:rPr>
        <w:t>In terms of mining and quarrying, t</w:t>
      </w:r>
      <w:r w:rsidR="00F371B6" w:rsidRPr="005C3EC8">
        <w:rPr>
          <w:rFonts w:ascii="Calibri" w:hAnsi="Calibri"/>
        </w:rPr>
        <w:t>he Office for Budget Responsibility (OBR) publishes monthly public finance releases</w:t>
      </w:r>
      <w:r w:rsidR="00F371B6" w:rsidRPr="005C3EC8">
        <w:rPr>
          <w:rStyle w:val="FootnoteReference"/>
          <w:rFonts w:ascii="Calibri" w:hAnsi="Calibri"/>
        </w:rPr>
        <w:footnoteReference w:id="266"/>
      </w:r>
      <w:r w:rsidR="00F371B6" w:rsidRPr="005C3EC8">
        <w:rPr>
          <w:rFonts w:ascii="Calibri" w:hAnsi="Calibri"/>
        </w:rPr>
        <w:t>, that provide aggregate figures for common tax revenues including Corporation Tax</w:t>
      </w:r>
      <w:r w:rsidR="007274B8" w:rsidRPr="005C3EC8">
        <w:rPr>
          <w:rFonts w:ascii="Calibri" w:hAnsi="Calibri"/>
        </w:rPr>
        <w:t>. This data is presented in open data format and with visualisation tools on the UK Public Revenue website.</w:t>
      </w:r>
      <w:r w:rsidR="007274B8" w:rsidRPr="005C3EC8">
        <w:rPr>
          <w:rStyle w:val="FootnoteReference"/>
          <w:rFonts w:ascii="Calibri" w:hAnsi="Calibri"/>
        </w:rPr>
        <w:footnoteReference w:id="267"/>
      </w:r>
      <w:r w:rsidR="00F6705E" w:rsidRPr="005C3EC8">
        <w:rPr>
          <w:rFonts w:ascii="Calibri" w:hAnsi="Calibri"/>
        </w:rPr>
        <w:t xml:space="preserve"> However, the </w:t>
      </w:r>
      <w:r w:rsidR="00F22F8E" w:rsidRPr="005C3EC8">
        <w:rPr>
          <w:rFonts w:ascii="Calibri" w:hAnsi="Calibri"/>
        </w:rPr>
        <w:t xml:space="preserve">common tax </w:t>
      </w:r>
      <w:r w:rsidR="00F6705E" w:rsidRPr="005C3EC8">
        <w:rPr>
          <w:rFonts w:ascii="Calibri" w:hAnsi="Calibri"/>
        </w:rPr>
        <w:t xml:space="preserve">data is consolidated in aggregate figures, and neither disaggregated by company nor </w:t>
      </w:r>
      <w:r w:rsidR="00DA69EF" w:rsidRPr="005C3EC8">
        <w:rPr>
          <w:rFonts w:ascii="Calibri" w:hAnsi="Calibri"/>
        </w:rPr>
        <w:t xml:space="preserve">disaggregated between extractives and non-extractives components. </w:t>
      </w:r>
      <w:r w:rsidR="00494DBD" w:rsidRPr="005C3EC8">
        <w:rPr>
          <w:rFonts w:ascii="Calibri" w:hAnsi="Calibri"/>
        </w:rPr>
        <w:t>The Coal Authority’s annual report and accounts</w:t>
      </w:r>
      <w:r w:rsidR="00494DBD" w:rsidRPr="005C3EC8">
        <w:rPr>
          <w:rStyle w:val="FootnoteReference"/>
          <w:rFonts w:ascii="Calibri" w:hAnsi="Calibri"/>
        </w:rPr>
        <w:footnoteReference w:id="268"/>
      </w:r>
      <w:r w:rsidR="00494DBD" w:rsidRPr="005C3EC8">
        <w:rPr>
          <w:rFonts w:ascii="Calibri" w:hAnsi="Calibri"/>
        </w:rPr>
        <w:t xml:space="preserve"> provide consolidated figures for revenues collected from coal companies, including licensing fees and royalties, albeit not disaggregated by company. </w:t>
      </w:r>
      <w:r w:rsidR="00E26F84" w:rsidRPr="005C3EC8">
        <w:rPr>
          <w:rFonts w:ascii="Calibri" w:hAnsi="Calibri"/>
        </w:rPr>
        <w:t>The Crown Estate integrated annual report</w:t>
      </w:r>
      <w:r w:rsidR="00E26F84" w:rsidRPr="005C3EC8">
        <w:rPr>
          <w:rStyle w:val="FootnoteReference"/>
          <w:rFonts w:ascii="Calibri" w:hAnsi="Calibri"/>
        </w:rPr>
        <w:footnoteReference w:id="269"/>
      </w:r>
      <w:r w:rsidR="00E26F84" w:rsidRPr="005C3EC8">
        <w:rPr>
          <w:rFonts w:ascii="Calibri" w:hAnsi="Calibri"/>
        </w:rPr>
        <w:t xml:space="preserve"> provides information on aggregate revenues collected by TCE, albeit not disaggregated by revenue stream or by company. </w:t>
      </w:r>
    </w:p>
    <w:p w14:paraId="4237F575" w14:textId="34692659" w:rsidR="00CF5901" w:rsidRPr="005C3EC8" w:rsidRDefault="00CF5901" w:rsidP="00A903EC">
      <w:pPr>
        <w:spacing w:before="120"/>
        <w:rPr>
          <w:rFonts w:ascii="Calibri" w:hAnsi="Calibri"/>
        </w:rPr>
      </w:pPr>
      <w:r w:rsidRPr="005C3EC8">
        <w:rPr>
          <w:rFonts w:ascii="Calibri" w:hAnsi="Calibri"/>
        </w:rPr>
        <w:t xml:space="preserve">In terms of </w:t>
      </w:r>
      <w:r w:rsidRPr="005C3EC8">
        <w:rPr>
          <w:rFonts w:ascii="Calibri" w:hAnsi="Calibri"/>
          <w:i/>
        </w:rPr>
        <w:t xml:space="preserve">company </w:t>
      </w:r>
      <w:r w:rsidR="00F427C7" w:rsidRPr="005C3EC8">
        <w:rPr>
          <w:rFonts w:ascii="Calibri" w:hAnsi="Calibri"/>
          <w:i/>
        </w:rPr>
        <w:t>disclosures</w:t>
      </w:r>
      <w:r w:rsidR="00F427C7" w:rsidRPr="005C3EC8">
        <w:rPr>
          <w:rFonts w:ascii="Calibri" w:hAnsi="Calibri"/>
        </w:rPr>
        <w:t xml:space="preserve"> of </w:t>
      </w:r>
      <w:r w:rsidRPr="005C3EC8">
        <w:rPr>
          <w:rFonts w:ascii="Calibri" w:hAnsi="Calibri"/>
        </w:rPr>
        <w:t xml:space="preserve">payments to government, companies that </w:t>
      </w:r>
      <w:r w:rsidR="00042F2C" w:rsidRPr="005C3EC8">
        <w:rPr>
          <w:rFonts w:ascii="Calibri" w:hAnsi="Calibri"/>
        </w:rPr>
        <w:t xml:space="preserve">make payments of more than GBP 86,000 in individual payment flows </w:t>
      </w:r>
      <w:r w:rsidRPr="005C3EC8">
        <w:rPr>
          <w:rFonts w:ascii="Calibri" w:hAnsi="Calibri"/>
        </w:rPr>
        <w:t>are required to publicly report their payments to government at a project-level under the EU Accounting and Transparency Directives. The Companies House website hosts a register of extractives companies.</w:t>
      </w:r>
      <w:r w:rsidRPr="005C3EC8">
        <w:rPr>
          <w:rStyle w:val="FootnoteReference"/>
          <w:rFonts w:ascii="Calibri" w:hAnsi="Calibri"/>
        </w:rPr>
        <w:footnoteReference w:id="270"/>
      </w:r>
      <w:r w:rsidRPr="005C3EC8">
        <w:rPr>
          <w:rFonts w:ascii="Calibri" w:hAnsi="Calibri"/>
        </w:rPr>
        <w:t xml:space="preserve"> </w:t>
      </w:r>
      <w:r w:rsidR="003C0871" w:rsidRPr="005C3EC8">
        <w:rPr>
          <w:rFonts w:ascii="Calibri" w:hAnsi="Calibri"/>
        </w:rPr>
        <w:t>Based on a review of publicly-available payments to governments report, it appears that 34 of the 58 material companies in the 2016 EITI Report were required to publish statutory payments to government reports, either in the UK or in their home jurisdiction</w:t>
      </w:r>
      <w:r w:rsidR="00042F2C" w:rsidRPr="005C3EC8">
        <w:rPr>
          <w:rFonts w:ascii="Calibri" w:hAnsi="Calibri"/>
        </w:rPr>
        <w:t xml:space="preserve"> (e.g. France, Norway)</w:t>
      </w:r>
      <w:r w:rsidR="003C0871" w:rsidRPr="005C3EC8">
        <w:rPr>
          <w:rFonts w:ascii="Calibri" w:hAnsi="Calibri"/>
        </w:rPr>
        <w:t>. Of the 34 companies that routinely disclose their payments to the UK government as part of mandatory disclosure requirements, 30 submitted reports to the UK Companies House and four companies</w:t>
      </w:r>
      <w:r w:rsidR="003C0871" w:rsidRPr="005C3EC8">
        <w:rPr>
          <w:rStyle w:val="FootnoteReference"/>
          <w:rFonts w:ascii="Calibri" w:hAnsi="Calibri"/>
        </w:rPr>
        <w:footnoteReference w:id="271"/>
      </w:r>
      <w:r w:rsidR="003C0871" w:rsidRPr="005C3EC8">
        <w:rPr>
          <w:rFonts w:ascii="Calibri" w:hAnsi="Calibri"/>
        </w:rPr>
        <w:t xml:space="preserve"> submitted reports in their home jurisdiction.</w:t>
      </w:r>
      <w:r w:rsidR="003263B9" w:rsidRPr="005C3EC8">
        <w:rPr>
          <w:rFonts w:ascii="Calibri" w:hAnsi="Calibri"/>
        </w:rPr>
        <w:t xml:space="preserve"> </w:t>
      </w:r>
      <w:r w:rsidR="00D0077A" w:rsidRPr="005C3EC8">
        <w:rPr>
          <w:rFonts w:ascii="Calibri" w:hAnsi="Calibri"/>
        </w:rPr>
        <w:t>At the start of Validation (1 July 2018), 27 of the 41 material oil and gas companies in the 2016 EITI Report had published reports on statutory payments to the UK Government (all but one</w:t>
      </w:r>
      <w:r w:rsidR="00D0077A" w:rsidRPr="005C3EC8">
        <w:rPr>
          <w:rStyle w:val="FootnoteReference"/>
          <w:rFonts w:ascii="Calibri" w:hAnsi="Calibri"/>
        </w:rPr>
        <w:footnoteReference w:id="272"/>
      </w:r>
      <w:r w:rsidR="00D0077A" w:rsidRPr="005C3EC8">
        <w:rPr>
          <w:rFonts w:ascii="Calibri" w:hAnsi="Calibri"/>
        </w:rPr>
        <w:t xml:space="preserve"> for 2016 or later), while only one of the 17 material mining and quarrying companies had done so. The</w:t>
      </w:r>
      <w:r w:rsidR="003263B9" w:rsidRPr="005C3EC8">
        <w:rPr>
          <w:rFonts w:ascii="Calibri" w:hAnsi="Calibri"/>
        </w:rPr>
        <w:t xml:space="preserve"> 34 companies </w:t>
      </w:r>
      <w:r w:rsidR="00D0077A" w:rsidRPr="005C3EC8">
        <w:rPr>
          <w:rFonts w:ascii="Calibri" w:hAnsi="Calibri"/>
        </w:rPr>
        <w:t xml:space="preserve">that had reported under the EU Accounting and Transparency Directives </w:t>
      </w:r>
      <w:r w:rsidR="003263B9" w:rsidRPr="005C3EC8">
        <w:rPr>
          <w:rFonts w:ascii="Calibri" w:hAnsi="Calibri"/>
        </w:rPr>
        <w:t xml:space="preserve">accounted for around 86% of extractives payments to government in 2016 (see Annex </w:t>
      </w:r>
      <w:r w:rsidR="00437F80" w:rsidRPr="005C3EC8">
        <w:rPr>
          <w:rFonts w:ascii="Calibri" w:hAnsi="Calibri"/>
        </w:rPr>
        <w:t>B</w:t>
      </w:r>
      <w:r w:rsidR="003263B9" w:rsidRPr="005C3EC8">
        <w:rPr>
          <w:rFonts w:ascii="Calibri" w:hAnsi="Calibri"/>
        </w:rPr>
        <w:t>).</w:t>
      </w:r>
      <w:r w:rsidR="00042F2C" w:rsidRPr="005C3EC8">
        <w:rPr>
          <w:rFonts w:ascii="Calibri" w:hAnsi="Calibri"/>
        </w:rPr>
        <w:t xml:space="preserve"> </w:t>
      </w:r>
      <w:r w:rsidR="003263B9" w:rsidRPr="005C3EC8">
        <w:rPr>
          <w:rFonts w:ascii="Calibri" w:hAnsi="Calibri"/>
        </w:rPr>
        <w:t>These statutory payments to government reports under the EU Accounting and Transparency Directives include project-level reporting of taxes and fees paid to government, disaggregated by collecting government entity</w:t>
      </w:r>
      <w:r w:rsidR="00042F2C" w:rsidRPr="005C3EC8">
        <w:rPr>
          <w:rFonts w:ascii="Calibri" w:hAnsi="Calibri"/>
        </w:rPr>
        <w:t xml:space="preserve"> but not by individual revenue stream</w:t>
      </w:r>
      <w:r w:rsidR="00D16232" w:rsidRPr="005C3EC8">
        <w:rPr>
          <w:rFonts w:ascii="Calibri" w:hAnsi="Calibri"/>
        </w:rPr>
        <w:t xml:space="preserve"> (</w:t>
      </w:r>
      <w:r w:rsidR="00D16232" w:rsidRPr="005C3EC8">
        <w:rPr>
          <w:rFonts w:ascii="Calibri" w:hAnsi="Calibri"/>
          <w:i/>
        </w:rPr>
        <w:t>see Requirement 4.7</w:t>
      </w:r>
      <w:r w:rsidR="00D16232" w:rsidRPr="005C3EC8">
        <w:rPr>
          <w:rFonts w:ascii="Calibri" w:hAnsi="Calibri"/>
        </w:rPr>
        <w:t>)</w:t>
      </w:r>
      <w:r w:rsidR="003263B9" w:rsidRPr="005C3EC8">
        <w:rPr>
          <w:rFonts w:ascii="Calibri" w:hAnsi="Calibri"/>
        </w:rPr>
        <w:t xml:space="preserve">. </w:t>
      </w:r>
    </w:p>
    <w:p w14:paraId="5314F5A2" w14:textId="463080E0" w:rsidR="007274B8" w:rsidRPr="005C3EC8" w:rsidRDefault="00D16232" w:rsidP="00A903EC">
      <w:pPr>
        <w:spacing w:before="120"/>
        <w:rPr>
          <w:rFonts w:ascii="Calibri" w:hAnsi="Calibri"/>
        </w:rPr>
      </w:pPr>
      <w:r w:rsidRPr="005C3EC8">
        <w:rPr>
          <w:rFonts w:ascii="Calibri" w:hAnsi="Calibri"/>
        </w:rPr>
        <w:t xml:space="preserve">While EITI reporting is based on a calendar year, companies have the discretion of choosing their own financial year for the purposes of their mandatory payments to governments reports. Whereas most oil and gas companies operate on a calendar year for their accounting, the UK Government operates on a fiscal year running from </w:t>
      </w:r>
      <w:r w:rsidR="001244E2" w:rsidRPr="005C3EC8">
        <w:rPr>
          <w:rFonts w:ascii="Calibri" w:hAnsi="Calibri"/>
        </w:rPr>
        <w:t>1 April to 31 March</w:t>
      </w:r>
      <w:r w:rsidR="001B69DE" w:rsidRPr="005C3EC8">
        <w:rPr>
          <w:rFonts w:ascii="Calibri" w:hAnsi="Calibri"/>
        </w:rPr>
        <w:t xml:space="preserve"> (</w:t>
      </w:r>
      <w:r w:rsidR="001B69DE" w:rsidRPr="005C3EC8">
        <w:rPr>
          <w:rFonts w:ascii="Calibri" w:hAnsi="Calibri"/>
          <w:i/>
        </w:rPr>
        <w:t>see Requirement 4.8</w:t>
      </w:r>
      <w:r w:rsidR="001B69DE" w:rsidRPr="005C3EC8">
        <w:rPr>
          <w:rFonts w:ascii="Calibri" w:hAnsi="Calibri"/>
        </w:rPr>
        <w:t>)</w:t>
      </w:r>
      <w:r w:rsidR="001244E2" w:rsidRPr="005C3EC8">
        <w:rPr>
          <w:rFonts w:ascii="Calibri" w:hAnsi="Calibri"/>
        </w:rPr>
        <w:t xml:space="preserve">. </w:t>
      </w:r>
    </w:p>
    <w:p w14:paraId="45EF1CF1" w14:textId="3A745E30" w:rsidR="00C77F0E" w:rsidRPr="005C3EC8" w:rsidRDefault="00A903EC" w:rsidP="00A903EC">
      <w:pPr>
        <w:spacing w:before="120"/>
        <w:rPr>
          <w:rFonts w:ascii="Calibri" w:hAnsi="Calibri"/>
        </w:rPr>
      </w:pPr>
      <w:r w:rsidRPr="005C3EC8">
        <w:rPr>
          <w:rFonts w:ascii="Calibri" w:hAnsi="Calibri"/>
          <w:b/>
          <w:i/>
        </w:rPr>
        <w:t>2016 EITI Report</w:t>
      </w:r>
      <w:r w:rsidRPr="005C3EC8">
        <w:rPr>
          <w:rFonts w:ascii="Calibri" w:hAnsi="Calibri"/>
          <w:i/>
        </w:rPr>
        <w:t>:</w:t>
      </w:r>
      <w:r w:rsidRPr="005C3EC8">
        <w:rPr>
          <w:rFonts w:ascii="Calibri" w:hAnsi="Calibri"/>
        </w:rPr>
        <w:t xml:space="preserve"> </w:t>
      </w:r>
      <w:r w:rsidR="00533AAF" w:rsidRPr="005C3EC8">
        <w:rPr>
          <w:rFonts w:ascii="Calibri" w:hAnsi="Calibri"/>
          <w:i/>
          <w:u w:val="single"/>
        </w:rPr>
        <w:t>Materiality threshold for revenue streams</w:t>
      </w:r>
      <w:r w:rsidRPr="005C3EC8">
        <w:rPr>
          <w:rFonts w:ascii="Calibri" w:hAnsi="Calibri"/>
        </w:rPr>
        <w:t xml:space="preserve">: </w:t>
      </w:r>
      <w:r w:rsidR="00897B9B" w:rsidRPr="005C3EC8">
        <w:rPr>
          <w:rFonts w:ascii="Calibri" w:hAnsi="Calibri"/>
        </w:rPr>
        <w:t>The 2016 EITI R</w:t>
      </w:r>
      <w:r w:rsidR="00C77F0E" w:rsidRPr="005C3EC8">
        <w:rPr>
          <w:rFonts w:ascii="Calibri" w:hAnsi="Calibri"/>
        </w:rPr>
        <w:t xml:space="preserve">eport describes the evolution </w:t>
      </w:r>
      <w:r w:rsidR="00C77F0E" w:rsidRPr="005C3EC8">
        <w:rPr>
          <w:rFonts w:ascii="Calibri" w:hAnsi="Calibri"/>
        </w:rPr>
        <w:lastRenderedPageBreak/>
        <w:t xml:space="preserve">in the MSG’s approach to </w:t>
      </w:r>
      <w:r w:rsidR="00DB522F" w:rsidRPr="005C3EC8">
        <w:rPr>
          <w:rFonts w:ascii="Calibri" w:hAnsi="Calibri"/>
        </w:rPr>
        <w:t>selecting material revenue streams</w:t>
      </w:r>
      <w:r w:rsidR="00C77F0E" w:rsidRPr="005C3EC8">
        <w:rPr>
          <w:rFonts w:ascii="Calibri" w:hAnsi="Calibri"/>
        </w:rPr>
        <w:t xml:space="preserve"> over the three EITI Reports to date (p.69). </w:t>
      </w:r>
      <w:r w:rsidR="000A197F" w:rsidRPr="005C3EC8">
        <w:rPr>
          <w:rFonts w:ascii="Calibri" w:hAnsi="Calibri"/>
        </w:rPr>
        <w:t>While the inclusion of seven types of payment flows</w:t>
      </w:r>
      <w:r w:rsidR="000A197F" w:rsidRPr="005C3EC8">
        <w:rPr>
          <w:rStyle w:val="FootnoteReference"/>
          <w:rFonts w:ascii="Calibri" w:hAnsi="Calibri"/>
        </w:rPr>
        <w:footnoteReference w:id="273"/>
      </w:r>
      <w:r w:rsidR="000A197F" w:rsidRPr="005C3EC8">
        <w:rPr>
          <w:rFonts w:ascii="Calibri" w:hAnsi="Calibri"/>
        </w:rPr>
        <w:t xml:space="preserve"> in the first (2014) EITI Report is confirmed (p.69), the 2016 EITI Report does not explain the rationale for selecting these revenue flows, e.g. with a quantitative materiality threshold (as a share of total government extractives revenues). </w:t>
      </w:r>
      <w:r w:rsidR="000F29CC" w:rsidRPr="005C3EC8">
        <w:rPr>
          <w:rFonts w:ascii="Calibri" w:hAnsi="Calibri"/>
        </w:rPr>
        <w:t xml:space="preserve">Similarly, the 2016 EITI Report notes the inclusion of two more material revenue streams in the second (2015) EITI Report (p.69), albeit without providing justification for their inclusion. For the third (2016) EITI Report, the report notes the inclusion of Advance Petroleum Revenue Tax (APRT), reported together with PRT (p.69), albeit without providing the rationale for this expansion in the scope of reconciliation. </w:t>
      </w:r>
      <w:r w:rsidR="002B4A41" w:rsidRPr="005C3EC8">
        <w:rPr>
          <w:rFonts w:ascii="Calibri" w:hAnsi="Calibri"/>
        </w:rPr>
        <w:t xml:space="preserve">The MSG has discussed the selection of revenue streams on several occasions, including </w:t>
      </w:r>
      <w:r w:rsidR="002E5817" w:rsidRPr="005C3EC8">
        <w:rPr>
          <w:rFonts w:ascii="Calibri" w:hAnsi="Calibri"/>
        </w:rPr>
        <w:t>on 9 September 2014, 19 May 2015 and 17 May 2016.</w:t>
      </w:r>
      <w:r w:rsidR="00B80580" w:rsidRPr="005C3EC8">
        <w:rPr>
          <w:rStyle w:val="FootnoteReference"/>
          <w:rFonts w:ascii="Calibri" w:hAnsi="Calibri"/>
        </w:rPr>
        <w:footnoteReference w:id="274"/>
      </w:r>
      <w:r w:rsidR="002E5817" w:rsidRPr="005C3EC8">
        <w:rPr>
          <w:rFonts w:ascii="Calibri" w:hAnsi="Calibri"/>
        </w:rPr>
        <w:t xml:space="preserve"> </w:t>
      </w:r>
      <w:r w:rsidR="00DE4D8F" w:rsidRPr="005C3EC8">
        <w:rPr>
          <w:rFonts w:ascii="Calibri" w:hAnsi="Calibri"/>
        </w:rPr>
        <w:t xml:space="preserve">While the MSG discussed the materiality threshold of GBP 86,000 in payments per individual revenue stream in terms of the selection of material companies, there is no evidence of a discussion of a quantitative materiality threshold (as a share of total government extractives revenues) for the selection of material revenue streams. </w:t>
      </w:r>
    </w:p>
    <w:p w14:paraId="0D0EB79E" w14:textId="33571BDF" w:rsidR="00DB522F" w:rsidRPr="005C3EC8" w:rsidRDefault="00454AA4" w:rsidP="00C77F0E">
      <w:pPr>
        <w:spacing w:before="120"/>
        <w:rPr>
          <w:rFonts w:ascii="Calibri" w:hAnsi="Calibri"/>
        </w:rPr>
      </w:pPr>
      <w:r w:rsidRPr="005C3EC8">
        <w:rPr>
          <w:rFonts w:ascii="Calibri" w:hAnsi="Calibri"/>
        </w:rPr>
        <w:t xml:space="preserve">In terms of material </w:t>
      </w:r>
      <w:r w:rsidRPr="005C3EC8">
        <w:rPr>
          <w:rFonts w:ascii="Calibri" w:hAnsi="Calibri"/>
          <w:i/>
        </w:rPr>
        <w:t>oil and gas</w:t>
      </w:r>
      <w:r w:rsidRPr="005C3EC8">
        <w:rPr>
          <w:rFonts w:ascii="Calibri" w:hAnsi="Calibri"/>
        </w:rPr>
        <w:t xml:space="preserve"> revenues, t</w:t>
      </w:r>
      <w:r w:rsidR="00E1279B" w:rsidRPr="005C3EC8">
        <w:rPr>
          <w:rFonts w:ascii="Calibri" w:hAnsi="Calibri"/>
        </w:rPr>
        <w:t xml:space="preserve">he report confirms that companies were themselves allowed to confirm the split in payments </w:t>
      </w:r>
      <w:r w:rsidRPr="005C3EC8">
        <w:rPr>
          <w:rFonts w:ascii="Calibri" w:hAnsi="Calibri"/>
        </w:rPr>
        <w:t xml:space="preserve">of common tax </w:t>
      </w:r>
      <w:r w:rsidR="00E1279B" w:rsidRPr="005C3EC8">
        <w:rPr>
          <w:rFonts w:ascii="Calibri" w:hAnsi="Calibri"/>
        </w:rPr>
        <w:t xml:space="preserve">(of RFCT/SC and </w:t>
      </w:r>
      <w:r w:rsidRPr="005C3EC8">
        <w:rPr>
          <w:rFonts w:ascii="Calibri" w:hAnsi="Calibri"/>
        </w:rPr>
        <w:t xml:space="preserve">of </w:t>
      </w:r>
      <w:r w:rsidR="00E1279B" w:rsidRPr="005C3EC8">
        <w:rPr>
          <w:rFonts w:ascii="Calibri" w:hAnsi="Calibri"/>
        </w:rPr>
        <w:t xml:space="preserve">mainstream corporation tax), only reporting the extractives-related payments (p.70). The </w:t>
      </w:r>
      <w:r w:rsidRPr="005C3EC8">
        <w:rPr>
          <w:rFonts w:ascii="Calibri" w:hAnsi="Calibri"/>
        </w:rPr>
        <w:t xml:space="preserve">report also confirms the </w:t>
      </w:r>
      <w:r w:rsidR="00E1279B" w:rsidRPr="005C3EC8">
        <w:rPr>
          <w:rFonts w:ascii="Calibri" w:hAnsi="Calibri"/>
        </w:rPr>
        <w:t>MSG</w:t>
      </w:r>
      <w:r w:rsidRPr="005C3EC8">
        <w:rPr>
          <w:rFonts w:ascii="Calibri" w:hAnsi="Calibri"/>
        </w:rPr>
        <w:t>’s decision</w:t>
      </w:r>
      <w:r w:rsidR="00E1279B" w:rsidRPr="005C3EC8">
        <w:rPr>
          <w:rFonts w:ascii="Calibri" w:hAnsi="Calibri"/>
        </w:rPr>
        <w:t xml:space="preserve"> </w:t>
      </w:r>
      <w:r w:rsidRPr="005C3EC8">
        <w:rPr>
          <w:rFonts w:ascii="Calibri" w:hAnsi="Calibri"/>
        </w:rPr>
        <w:t xml:space="preserve">to require inclusion of </w:t>
      </w:r>
      <w:r w:rsidR="00E1279B" w:rsidRPr="005C3EC8">
        <w:rPr>
          <w:rFonts w:ascii="Calibri" w:hAnsi="Calibri"/>
        </w:rPr>
        <w:t>any interest or penalty payments as an element of the payment with which they are associated (p.70).</w:t>
      </w:r>
      <w:r w:rsidR="00227DCF" w:rsidRPr="005C3EC8">
        <w:rPr>
          <w:rFonts w:ascii="Calibri" w:hAnsi="Calibri"/>
        </w:rPr>
        <w:t xml:space="preserve"> </w:t>
      </w:r>
    </w:p>
    <w:p w14:paraId="14B78F71" w14:textId="1122029F" w:rsidR="00613EC2" w:rsidRPr="005C3EC8" w:rsidRDefault="00454AA4" w:rsidP="00C8623E">
      <w:pPr>
        <w:spacing w:before="120"/>
        <w:rPr>
          <w:rFonts w:ascii="Calibri" w:hAnsi="Calibri"/>
        </w:rPr>
      </w:pPr>
      <w:r w:rsidRPr="005C3EC8">
        <w:rPr>
          <w:rFonts w:ascii="Calibri" w:hAnsi="Calibri"/>
        </w:rPr>
        <w:t xml:space="preserve">In terms of material </w:t>
      </w:r>
      <w:r w:rsidRPr="005C3EC8">
        <w:rPr>
          <w:rFonts w:ascii="Calibri" w:hAnsi="Calibri"/>
          <w:i/>
        </w:rPr>
        <w:t>mining and quarrying</w:t>
      </w:r>
      <w:r w:rsidRPr="005C3EC8">
        <w:rPr>
          <w:rFonts w:ascii="Calibri" w:hAnsi="Calibri"/>
        </w:rPr>
        <w:t xml:space="preserve"> revenues, the report explains </w:t>
      </w:r>
      <w:r w:rsidR="00C77F0E" w:rsidRPr="005C3EC8">
        <w:rPr>
          <w:rFonts w:ascii="Calibri" w:hAnsi="Calibri"/>
        </w:rPr>
        <w:t xml:space="preserve">that planning obligation payments </w:t>
      </w:r>
      <w:r w:rsidRPr="005C3EC8">
        <w:rPr>
          <w:rFonts w:ascii="Calibri" w:hAnsi="Calibri"/>
        </w:rPr>
        <w:t xml:space="preserve">to Local Planning Authorities were excluded from the scope of </w:t>
      </w:r>
      <w:r w:rsidR="00C77F0E" w:rsidRPr="005C3EC8">
        <w:rPr>
          <w:rFonts w:ascii="Calibri" w:hAnsi="Calibri"/>
        </w:rPr>
        <w:t>reconciliation and only unilateral</w:t>
      </w:r>
      <w:r w:rsidRPr="005C3EC8">
        <w:rPr>
          <w:rFonts w:ascii="Calibri" w:hAnsi="Calibri"/>
        </w:rPr>
        <w:t>ly reported by companies given the lack of central record of planning obligation payments and the low value of total payments in 2016 (GBP 98,012)</w:t>
      </w:r>
      <w:r w:rsidR="00C77F0E" w:rsidRPr="005C3EC8">
        <w:rPr>
          <w:rFonts w:ascii="Calibri" w:hAnsi="Calibri"/>
        </w:rPr>
        <w:t xml:space="preserve"> (p.70). </w:t>
      </w:r>
      <w:r w:rsidRPr="005C3EC8">
        <w:rPr>
          <w:rFonts w:ascii="Calibri" w:hAnsi="Calibri"/>
        </w:rPr>
        <w:t xml:space="preserve">It is also confirmed </w:t>
      </w:r>
      <w:r w:rsidR="00C77F0E" w:rsidRPr="005C3EC8">
        <w:rPr>
          <w:rFonts w:ascii="Calibri" w:hAnsi="Calibri"/>
        </w:rPr>
        <w:t>that other payment streams associated with mining and quarrying, such as the Aggregates Levy to the Exchequer, were excluded from the scop</w:t>
      </w:r>
      <w:r w:rsidRPr="005C3EC8">
        <w:rPr>
          <w:rFonts w:ascii="Calibri" w:hAnsi="Calibri"/>
        </w:rPr>
        <w:t>e of reporting given that they we</w:t>
      </w:r>
      <w:r w:rsidR="00C77F0E" w:rsidRPr="005C3EC8">
        <w:rPr>
          <w:rFonts w:ascii="Calibri" w:hAnsi="Calibri"/>
        </w:rPr>
        <w:t>re considered indirect</w:t>
      </w:r>
      <w:r w:rsidRPr="005C3EC8">
        <w:rPr>
          <w:rFonts w:ascii="Calibri" w:hAnsi="Calibri"/>
        </w:rPr>
        <w:t>,</w:t>
      </w:r>
      <w:r w:rsidR="00C77F0E" w:rsidRPr="005C3EC8">
        <w:rPr>
          <w:rFonts w:ascii="Calibri" w:hAnsi="Calibri"/>
        </w:rPr>
        <w:t xml:space="preserve"> rather than direct</w:t>
      </w:r>
      <w:r w:rsidRPr="005C3EC8">
        <w:rPr>
          <w:rFonts w:ascii="Calibri" w:hAnsi="Calibri"/>
        </w:rPr>
        <w:t>,</w:t>
      </w:r>
      <w:r w:rsidR="00C77F0E" w:rsidRPr="005C3EC8">
        <w:rPr>
          <w:rFonts w:ascii="Calibri" w:hAnsi="Calibri"/>
        </w:rPr>
        <w:t xml:space="preserve"> taxes (p.62). </w:t>
      </w:r>
      <w:r w:rsidR="00613EC2" w:rsidRPr="005C3EC8">
        <w:rPr>
          <w:rFonts w:ascii="Calibri" w:hAnsi="Calibri"/>
        </w:rPr>
        <w:t xml:space="preserve">Although the report indicates that payments to the Coal Authority were within the scope of reconciliation, the government’s full unilateral disclosure (pp.11-12) indicate that the Coal Authority reported revenues </w:t>
      </w:r>
      <w:r w:rsidR="00F85B75" w:rsidRPr="005C3EC8">
        <w:rPr>
          <w:rFonts w:ascii="Calibri" w:hAnsi="Calibri"/>
        </w:rPr>
        <w:t xml:space="preserve">only </w:t>
      </w:r>
      <w:r w:rsidR="00613EC2" w:rsidRPr="005C3EC8">
        <w:rPr>
          <w:rFonts w:ascii="Calibri" w:hAnsi="Calibri"/>
        </w:rPr>
        <w:t>from “out of scope” companies, implying that none of the revenues collected by the Coal Authority were deemed to be from material companies.</w:t>
      </w:r>
    </w:p>
    <w:p w14:paraId="122052ED" w14:textId="0C47A1A2" w:rsidR="00E1279B" w:rsidRPr="005C3EC8" w:rsidRDefault="00533AAF" w:rsidP="00227DCF">
      <w:pPr>
        <w:spacing w:before="120"/>
        <w:rPr>
          <w:rFonts w:ascii="Calibri" w:hAnsi="Calibri"/>
        </w:rPr>
      </w:pPr>
      <w:r w:rsidRPr="005C3EC8">
        <w:rPr>
          <w:rFonts w:ascii="Calibri" w:hAnsi="Calibri"/>
          <w:i/>
          <w:u w:val="single"/>
        </w:rPr>
        <w:t>Descriptions of material revenue streams</w:t>
      </w:r>
      <w:r w:rsidR="00227DCF" w:rsidRPr="005C3EC8">
        <w:rPr>
          <w:rFonts w:ascii="Calibri" w:hAnsi="Calibri"/>
          <w:i/>
          <w:u w:val="single"/>
        </w:rPr>
        <w:t>:</w:t>
      </w:r>
      <w:r w:rsidRPr="005C3EC8">
        <w:rPr>
          <w:rFonts w:ascii="Calibri" w:hAnsi="Calibri"/>
        </w:rPr>
        <w:t xml:space="preserve"> </w:t>
      </w:r>
      <w:r w:rsidR="000B393F" w:rsidRPr="005C3EC8">
        <w:rPr>
          <w:rFonts w:ascii="Calibri" w:hAnsi="Calibri"/>
        </w:rPr>
        <w:t xml:space="preserve">The report lists the </w:t>
      </w:r>
      <w:r w:rsidR="00227DCF" w:rsidRPr="005C3EC8">
        <w:rPr>
          <w:rFonts w:ascii="Calibri" w:hAnsi="Calibri"/>
        </w:rPr>
        <w:t>five</w:t>
      </w:r>
      <w:r w:rsidR="000B393F" w:rsidRPr="005C3EC8">
        <w:rPr>
          <w:rFonts w:ascii="Calibri" w:hAnsi="Calibri"/>
        </w:rPr>
        <w:t xml:space="preserve"> material revenue streams</w:t>
      </w:r>
      <w:r w:rsidR="00227DCF" w:rsidRPr="005C3EC8">
        <w:rPr>
          <w:rStyle w:val="FootnoteReference"/>
          <w:rFonts w:ascii="Calibri" w:hAnsi="Calibri"/>
        </w:rPr>
        <w:footnoteReference w:id="275"/>
      </w:r>
      <w:r w:rsidR="000B393F" w:rsidRPr="005C3EC8">
        <w:rPr>
          <w:rFonts w:ascii="Calibri" w:hAnsi="Calibri"/>
        </w:rPr>
        <w:t xml:space="preserve"> in oil and gas (p.69)</w:t>
      </w:r>
      <w:r w:rsidR="00227DCF" w:rsidRPr="005C3EC8">
        <w:rPr>
          <w:rFonts w:ascii="Calibri" w:hAnsi="Calibri"/>
        </w:rPr>
        <w:t xml:space="preserve"> and the three types of material revenues</w:t>
      </w:r>
      <w:r w:rsidR="00227DCF" w:rsidRPr="005C3EC8">
        <w:rPr>
          <w:rStyle w:val="FootnoteReference"/>
          <w:rFonts w:ascii="Calibri" w:hAnsi="Calibri"/>
        </w:rPr>
        <w:footnoteReference w:id="276"/>
      </w:r>
      <w:r w:rsidR="00227DCF" w:rsidRPr="005C3EC8">
        <w:rPr>
          <w:rFonts w:ascii="Calibri" w:hAnsi="Calibri"/>
        </w:rPr>
        <w:t xml:space="preserve"> in mining and quarrying</w:t>
      </w:r>
      <w:r w:rsidR="000B393F" w:rsidRPr="005C3EC8">
        <w:rPr>
          <w:rFonts w:ascii="Calibri" w:hAnsi="Calibri"/>
        </w:rPr>
        <w:t xml:space="preserve"> (p.70)</w:t>
      </w:r>
      <w:r w:rsidR="00227DCF" w:rsidRPr="005C3EC8">
        <w:rPr>
          <w:rFonts w:ascii="Calibri" w:hAnsi="Calibri"/>
        </w:rPr>
        <w:t xml:space="preserve">. The material revenue streams are described both for oil and gas (pp.41,42-51) and mining and quarrying (pp.58-62). </w:t>
      </w:r>
    </w:p>
    <w:p w14:paraId="751DBF54" w14:textId="26C1EB99" w:rsidR="00DB522F" w:rsidRPr="005C3EC8" w:rsidRDefault="00533AAF" w:rsidP="00C67F5D">
      <w:pPr>
        <w:rPr>
          <w:rFonts w:ascii="Calibri" w:hAnsi="Calibri"/>
        </w:rPr>
      </w:pPr>
      <w:r w:rsidRPr="005C3EC8">
        <w:rPr>
          <w:rFonts w:ascii="Calibri" w:hAnsi="Calibri"/>
          <w:i/>
          <w:u w:val="single"/>
        </w:rPr>
        <w:t>Materiality threshold for companies</w:t>
      </w:r>
      <w:r w:rsidR="00A903EC" w:rsidRPr="005C3EC8">
        <w:rPr>
          <w:rFonts w:ascii="Calibri" w:hAnsi="Calibri"/>
        </w:rPr>
        <w:t xml:space="preserve">: </w:t>
      </w:r>
      <w:r w:rsidR="00DB522F" w:rsidRPr="005C3EC8">
        <w:rPr>
          <w:rFonts w:ascii="Calibri" w:hAnsi="Calibri"/>
        </w:rPr>
        <w:t xml:space="preserve">The report </w:t>
      </w:r>
      <w:r w:rsidR="00A04364" w:rsidRPr="005C3EC8">
        <w:rPr>
          <w:rFonts w:ascii="Calibri" w:hAnsi="Calibri"/>
        </w:rPr>
        <w:t>describes</w:t>
      </w:r>
      <w:r w:rsidR="00DB522F" w:rsidRPr="005C3EC8">
        <w:rPr>
          <w:rFonts w:ascii="Calibri" w:hAnsi="Calibri"/>
        </w:rPr>
        <w:t xml:space="preserve"> the MSG’s decision </w:t>
      </w:r>
      <w:r w:rsidR="00A04364" w:rsidRPr="005C3EC8">
        <w:rPr>
          <w:rFonts w:ascii="Calibri" w:hAnsi="Calibri"/>
        </w:rPr>
        <w:t xml:space="preserve">at its July 2017 meeting </w:t>
      </w:r>
      <w:r w:rsidR="00DB522F" w:rsidRPr="005C3EC8">
        <w:rPr>
          <w:rFonts w:ascii="Calibri" w:hAnsi="Calibri"/>
        </w:rPr>
        <w:t xml:space="preserve">to align its materiality threshold for selecting </w:t>
      </w:r>
      <w:r w:rsidR="005A25CB" w:rsidRPr="005C3EC8">
        <w:rPr>
          <w:rFonts w:ascii="Calibri" w:hAnsi="Calibri"/>
        </w:rPr>
        <w:t xml:space="preserve">companies for EITI reporting </w:t>
      </w:r>
      <w:r w:rsidR="00DB522F" w:rsidRPr="005C3EC8">
        <w:rPr>
          <w:rFonts w:ascii="Calibri" w:hAnsi="Calibri"/>
        </w:rPr>
        <w:t>with the Reports on Payments to Governments Regulations 2014</w:t>
      </w:r>
      <w:r w:rsidR="00A04364" w:rsidRPr="005C3EC8">
        <w:rPr>
          <w:rFonts w:ascii="Calibri" w:hAnsi="Calibri"/>
        </w:rPr>
        <w:t>.</w:t>
      </w:r>
      <w:r w:rsidR="00DB522F" w:rsidRPr="005C3EC8">
        <w:rPr>
          <w:rFonts w:ascii="Calibri" w:hAnsi="Calibri"/>
        </w:rPr>
        <w:t xml:space="preserve"> </w:t>
      </w:r>
      <w:r w:rsidR="00A04364" w:rsidRPr="005C3EC8">
        <w:rPr>
          <w:rFonts w:ascii="Calibri" w:hAnsi="Calibri"/>
        </w:rPr>
        <w:t xml:space="preserve">This regulation </w:t>
      </w:r>
      <w:r w:rsidR="005A25CB" w:rsidRPr="005C3EC8">
        <w:rPr>
          <w:rFonts w:ascii="Calibri" w:hAnsi="Calibri"/>
        </w:rPr>
        <w:t>implemented</w:t>
      </w:r>
      <w:r w:rsidR="00DB522F" w:rsidRPr="005C3EC8">
        <w:rPr>
          <w:rFonts w:ascii="Calibri" w:hAnsi="Calibri"/>
        </w:rPr>
        <w:t xml:space="preserve"> the EU Accounting Directive</w:t>
      </w:r>
      <w:r w:rsidR="005A25CB" w:rsidRPr="005C3EC8">
        <w:rPr>
          <w:rFonts w:ascii="Calibri" w:hAnsi="Calibri"/>
        </w:rPr>
        <w:t xml:space="preserve"> and set a </w:t>
      </w:r>
      <w:r w:rsidR="00DB522F" w:rsidRPr="005C3EC8">
        <w:rPr>
          <w:rFonts w:ascii="Calibri" w:hAnsi="Calibri"/>
        </w:rPr>
        <w:t>GBP</w:t>
      </w:r>
      <w:r w:rsidR="005A25CB" w:rsidRPr="005C3EC8">
        <w:rPr>
          <w:rFonts w:ascii="Calibri" w:hAnsi="Calibri"/>
        </w:rPr>
        <w:t xml:space="preserve"> </w:t>
      </w:r>
      <w:r w:rsidR="00DB522F" w:rsidRPr="005C3EC8">
        <w:rPr>
          <w:rFonts w:ascii="Calibri" w:hAnsi="Calibri"/>
        </w:rPr>
        <w:lastRenderedPageBreak/>
        <w:t xml:space="preserve">86,000 </w:t>
      </w:r>
      <w:r w:rsidR="005A25CB" w:rsidRPr="005C3EC8">
        <w:rPr>
          <w:rFonts w:ascii="Calibri" w:hAnsi="Calibri"/>
        </w:rPr>
        <w:t xml:space="preserve">threshold in </w:t>
      </w:r>
      <w:r w:rsidR="003F3878" w:rsidRPr="005C3EC8">
        <w:rPr>
          <w:rFonts w:ascii="Calibri" w:hAnsi="Calibri"/>
        </w:rPr>
        <w:t xml:space="preserve">aggregate </w:t>
      </w:r>
      <w:r w:rsidR="005A25CB" w:rsidRPr="005C3EC8">
        <w:rPr>
          <w:rFonts w:ascii="Calibri" w:hAnsi="Calibri"/>
        </w:rPr>
        <w:t xml:space="preserve">payments to government per </w:t>
      </w:r>
      <w:r w:rsidR="00DB522F" w:rsidRPr="005C3EC8">
        <w:rPr>
          <w:rFonts w:ascii="Calibri" w:hAnsi="Calibri"/>
        </w:rPr>
        <w:t xml:space="preserve">revenue stream at group level (p.71). </w:t>
      </w:r>
      <w:r w:rsidR="002B476E" w:rsidRPr="005C3EC8">
        <w:rPr>
          <w:rFonts w:ascii="Calibri" w:hAnsi="Calibri"/>
        </w:rPr>
        <w:t>This was in line with the MSG’s approach to materiality defined in the UK’s August 2014 EITI Candidature application</w:t>
      </w:r>
      <w:r w:rsidR="002B476E" w:rsidRPr="005C3EC8">
        <w:rPr>
          <w:rStyle w:val="FootnoteReference"/>
          <w:rFonts w:ascii="Calibri" w:hAnsi="Calibri"/>
        </w:rPr>
        <w:footnoteReference w:id="277"/>
      </w:r>
      <w:r w:rsidR="004E0A92" w:rsidRPr="005C3EC8">
        <w:rPr>
          <w:rFonts w:ascii="Calibri" w:hAnsi="Calibri"/>
        </w:rPr>
        <w:t xml:space="preserve"> and confirmed at the MSG’s May 2015 meeting.</w:t>
      </w:r>
      <w:r w:rsidR="004E0A92" w:rsidRPr="005C3EC8">
        <w:rPr>
          <w:rStyle w:val="FootnoteReference"/>
          <w:rFonts w:ascii="Calibri" w:hAnsi="Calibri"/>
        </w:rPr>
        <w:footnoteReference w:id="278"/>
      </w:r>
    </w:p>
    <w:p w14:paraId="35EA22D1" w14:textId="77777777" w:rsidR="00570591" w:rsidRPr="005C3EC8" w:rsidRDefault="00C77F0E" w:rsidP="00C77F0E">
      <w:pPr>
        <w:rPr>
          <w:rFonts w:ascii="Calibri" w:hAnsi="Calibri"/>
        </w:rPr>
      </w:pPr>
      <w:r w:rsidRPr="005C3EC8">
        <w:rPr>
          <w:rFonts w:ascii="Calibri" w:hAnsi="Calibri"/>
        </w:rPr>
        <w:t xml:space="preserve">In </w:t>
      </w:r>
      <w:r w:rsidRPr="005C3EC8">
        <w:rPr>
          <w:rFonts w:ascii="Calibri" w:hAnsi="Calibri"/>
          <w:i/>
        </w:rPr>
        <w:t>oil and gas</w:t>
      </w:r>
      <w:r w:rsidRPr="005C3EC8">
        <w:rPr>
          <w:rFonts w:ascii="Calibri" w:hAnsi="Calibri"/>
        </w:rPr>
        <w:t xml:space="preserve">, the MSG </w:t>
      </w:r>
      <w:r w:rsidR="00A04364" w:rsidRPr="005C3EC8">
        <w:rPr>
          <w:rFonts w:ascii="Calibri" w:hAnsi="Calibri"/>
        </w:rPr>
        <w:t xml:space="preserve">selected the </w:t>
      </w:r>
      <w:r w:rsidRPr="005C3EC8">
        <w:rPr>
          <w:rFonts w:ascii="Calibri" w:hAnsi="Calibri"/>
        </w:rPr>
        <w:t xml:space="preserve">42 companies </w:t>
      </w:r>
      <w:r w:rsidR="00A04364" w:rsidRPr="005C3EC8">
        <w:rPr>
          <w:rFonts w:ascii="Calibri" w:hAnsi="Calibri"/>
        </w:rPr>
        <w:t xml:space="preserve">identified by HMRC as </w:t>
      </w:r>
      <w:r w:rsidRPr="005C3EC8">
        <w:rPr>
          <w:rFonts w:ascii="Calibri" w:hAnsi="Calibri"/>
        </w:rPr>
        <w:t xml:space="preserve">having made material payments in relation to their upstream activities in 2016, </w:t>
      </w:r>
      <w:r w:rsidR="00A04364" w:rsidRPr="005C3EC8">
        <w:rPr>
          <w:rFonts w:ascii="Calibri" w:hAnsi="Calibri"/>
        </w:rPr>
        <w:t>providing a</w:t>
      </w:r>
      <w:r w:rsidRPr="005C3EC8">
        <w:rPr>
          <w:rFonts w:ascii="Calibri" w:hAnsi="Calibri"/>
        </w:rPr>
        <w:t xml:space="preserve"> </w:t>
      </w:r>
      <w:r w:rsidR="00A04364" w:rsidRPr="005C3EC8">
        <w:rPr>
          <w:rFonts w:ascii="Calibri" w:hAnsi="Calibri"/>
        </w:rPr>
        <w:t xml:space="preserve">targeted </w:t>
      </w:r>
      <w:r w:rsidRPr="005C3EC8">
        <w:rPr>
          <w:rFonts w:ascii="Calibri" w:hAnsi="Calibri"/>
        </w:rPr>
        <w:t xml:space="preserve">98% reconciliation coverage of oil and gas payments (p.72). </w:t>
      </w:r>
    </w:p>
    <w:p w14:paraId="2368D36B" w14:textId="4822FF3D" w:rsidR="009013C3" w:rsidRPr="005C3EC8" w:rsidRDefault="00C77F0E" w:rsidP="00C77F0E">
      <w:pPr>
        <w:rPr>
          <w:rFonts w:ascii="Calibri" w:hAnsi="Calibri"/>
        </w:rPr>
      </w:pPr>
      <w:r w:rsidRPr="005C3EC8">
        <w:rPr>
          <w:rFonts w:ascii="Calibri" w:hAnsi="Calibri"/>
        </w:rPr>
        <w:t xml:space="preserve">In </w:t>
      </w:r>
      <w:r w:rsidRPr="005C3EC8">
        <w:rPr>
          <w:rFonts w:ascii="Calibri" w:hAnsi="Calibri"/>
          <w:i/>
        </w:rPr>
        <w:t>mining and quarrying</w:t>
      </w:r>
      <w:r w:rsidRPr="005C3EC8">
        <w:rPr>
          <w:rFonts w:ascii="Calibri" w:hAnsi="Calibri"/>
        </w:rPr>
        <w:t xml:space="preserve">, the report </w:t>
      </w:r>
      <w:r w:rsidR="006F5F77" w:rsidRPr="005C3EC8">
        <w:rPr>
          <w:rFonts w:ascii="Calibri" w:hAnsi="Calibri"/>
        </w:rPr>
        <w:t xml:space="preserve">highlights </w:t>
      </w:r>
      <w:r w:rsidRPr="005C3EC8">
        <w:rPr>
          <w:rFonts w:ascii="Calibri" w:hAnsi="Calibri"/>
        </w:rPr>
        <w:t>the lack of sector-specific taxes on which to base materiality decisions for selecting companies</w:t>
      </w:r>
      <w:r w:rsidR="006F5F77" w:rsidRPr="005C3EC8">
        <w:rPr>
          <w:rFonts w:ascii="Calibri" w:hAnsi="Calibri"/>
        </w:rPr>
        <w:t xml:space="preserve"> as a key constraint</w:t>
      </w:r>
      <w:r w:rsidRPr="005C3EC8">
        <w:rPr>
          <w:rFonts w:ascii="Calibri" w:hAnsi="Calibri"/>
        </w:rPr>
        <w:t xml:space="preserve">. Adopting the same approach as in 2015, the MSG based its selection of material companies on disclosures of material revenues by TCE (17 companies), the Coal Authority </w:t>
      </w:r>
      <w:r w:rsidR="00B81990" w:rsidRPr="005C3EC8">
        <w:rPr>
          <w:rFonts w:ascii="Calibri" w:hAnsi="Calibri"/>
        </w:rPr>
        <w:t>(two</w:t>
      </w:r>
      <w:r w:rsidRPr="005C3EC8">
        <w:rPr>
          <w:rFonts w:ascii="Calibri" w:hAnsi="Calibri"/>
        </w:rPr>
        <w:t xml:space="preserve"> companies) </w:t>
      </w:r>
      <w:r w:rsidR="00B81990" w:rsidRPr="005C3EC8">
        <w:rPr>
          <w:rFonts w:ascii="Calibri" w:hAnsi="Calibri"/>
        </w:rPr>
        <w:t>and “three</w:t>
      </w:r>
      <w:r w:rsidRPr="005C3EC8">
        <w:rPr>
          <w:rFonts w:ascii="Calibri" w:hAnsi="Calibri"/>
        </w:rPr>
        <w:t xml:space="preserve"> additional companies as being the largest companies operating in the aggregates sector” (pp.72-73). </w:t>
      </w:r>
      <w:r w:rsidR="009013C3" w:rsidRPr="005C3EC8">
        <w:rPr>
          <w:rFonts w:ascii="Calibri" w:hAnsi="Calibri"/>
        </w:rPr>
        <w:t xml:space="preserve">The MSG originally selected material mining and quarrying companies (for the 2014 EITI Report) at its May 2015 meeting, where it </w:t>
      </w:r>
      <w:r w:rsidR="00655EA6" w:rsidRPr="005C3EC8">
        <w:rPr>
          <w:rFonts w:ascii="Calibri" w:hAnsi="Calibri"/>
        </w:rPr>
        <w:t xml:space="preserve">agreed on </w:t>
      </w:r>
      <w:r w:rsidR="00795F81" w:rsidRPr="005C3EC8">
        <w:rPr>
          <w:rFonts w:ascii="Calibri" w:hAnsi="Calibri"/>
        </w:rPr>
        <w:t xml:space="preserve">selecting </w:t>
      </w:r>
      <w:r w:rsidR="00655EA6" w:rsidRPr="005C3EC8">
        <w:rPr>
          <w:rFonts w:ascii="Calibri" w:hAnsi="Calibri"/>
        </w:rPr>
        <w:t>companies accounting for a total of over 80% of UK mining and quarrying</w:t>
      </w:r>
      <w:r w:rsidR="00795F81" w:rsidRPr="005C3EC8">
        <w:rPr>
          <w:rFonts w:ascii="Calibri" w:hAnsi="Calibri"/>
        </w:rPr>
        <w:t xml:space="preserve"> production in 2014</w:t>
      </w:r>
      <w:r w:rsidR="00655EA6" w:rsidRPr="005C3EC8">
        <w:rPr>
          <w:rFonts w:ascii="Calibri" w:hAnsi="Calibri"/>
        </w:rPr>
        <w:t>.</w:t>
      </w:r>
      <w:r w:rsidR="00655EA6" w:rsidRPr="005C3EC8">
        <w:rPr>
          <w:rStyle w:val="FootnoteReference"/>
          <w:rFonts w:ascii="Calibri" w:hAnsi="Calibri"/>
        </w:rPr>
        <w:footnoteReference w:id="279"/>
      </w:r>
    </w:p>
    <w:p w14:paraId="417C463A" w14:textId="2CEC0B64" w:rsidR="00C77F0E" w:rsidRPr="005C3EC8" w:rsidRDefault="00C77F0E" w:rsidP="00C8623E">
      <w:pPr>
        <w:rPr>
          <w:rFonts w:ascii="Calibri" w:hAnsi="Calibri"/>
        </w:rPr>
      </w:pPr>
      <w:r w:rsidRPr="005C3EC8">
        <w:rPr>
          <w:rFonts w:ascii="Calibri" w:hAnsi="Calibri"/>
        </w:rPr>
        <w:t xml:space="preserve">The report notes adjustments to the scope of companies during the reconciliation exercise, with the exclusion of one oil and gas company and three mining and quarrying companies, and the addition of one mining company. The reasons for these adjustments are explained, </w:t>
      </w:r>
      <w:r w:rsidR="001E2B07" w:rsidRPr="005C3EC8">
        <w:rPr>
          <w:rFonts w:ascii="Calibri" w:hAnsi="Calibri"/>
        </w:rPr>
        <w:t xml:space="preserve">due </w:t>
      </w:r>
      <w:r w:rsidRPr="005C3EC8">
        <w:rPr>
          <w:rFonts w:ascii="Calibri" w:hAnsi="Calibri"/>
        </w:rPr>
        <w:t xml:space="preserve">to the </w:t>
      </w:r>
      <w:r w:rsidR="001E2B07" w:rsidRPr="005C3EC8">
        <w:rPr>
          <w:rFonts w:ascii="Calibri" w:hAnsi="Calibri"/>
        </w:rPr>
        <w:t xml:space="preserve">discovery </w:t>
      </w:r>
      <w:r w:rsidRPr="005C3EC8">
        <w:rPr>
          <w:rFonts w:ascii="Calibri" w:hAnsi="Calibri"/>
        </w:rPr>
        <w:t xml:space="preserve">of </w:t>
      </w:r>
      <w:r w:rsidR="001E2B07" w:rsidRPr="005C3EC8">
        <w:rPr>
          <w:rFonts w:ascii="Calibri" w:hAnsi="Calibri"/>
        </w:rPr>
        <w:t xml:space="preserve">additional </w:t>
      </w:r>
      <w:r w:rsidRPr="005C3EC8">
        <w:rPr>
          <w:rFonts w:ascii="Calibri" w:hAnsi="Calibri"/>
        </w:rPr>
        <w:t xml:space="preserve">material payments/repayments during </w:t>
      </w:r>
      <w:r w:rsidR="001E2B07" w:rsidRPr="005C3EC8">
        <w:rPr>
          <w:rFonts w:ascii="Calibri" w:hAnsi="Calibri"/>
        </w:rPr>
        <w:t xml:space="preserve">reconciliation </w:t>
      </w:r>
      <w:r w:rsidRPr="005C3EC8">
        <w:rPr>
          <w:rFonts w:ascii="Calibri" w:hAnsi="Calibri"/>
        </w:rPr>
        <w:t xml:space="preserve">(p.75). </w:t>
      </w:r>
      <w:r w:rsidR="001E2B07" w:rsidRPr="005C3EC8">
        <w:rPr>
          <w:rFonts w:ascii="Calibri" w:hAnsi="Calibri"/>
        </w:rPr>
        <w:t>The adjustments in the number of material companies during reconciliation reduced the number of material companies from 64</w:t>
      </w:r>
      <w:r w:rsidR="001E2B07" w:rsidRPr="005C3EC8">
        <w:rPr>
          <w:rStyle w:val="FootnoteReference"/>
          <w:rFonts w:ascii="Calibri" w:hAnsi="Calibri"/>
        </w:rPr>
        <w:footnoteReference w:id="280"/>
      </w:r>
      <w:r w:rsidR="001E2B07" w:rsidRPr="005C3EC8">
        <w:rPr>
          <w:rFonts w:ascii="Calibri" w:hAnsi="Calibri"/>
        </w:rPr>
        <w:t xml:space="preserve"> to 61</w:t>
      </w:r>
      <w:r w:rsidR="001E2B07" w:rsidRPr="005C3EC8">
        <w:rPr>
          <w:rStyle w:val="FootnoteReference"/>
          <w:rFonts w:ascii="Calibri" w:hAnsi="Calibri"/>
        </w:rPr>
        <w:footnoteReference w:id="281"/>
      </w:r>
      <w:r w:rsidR="001E2B07" w:rsidRPr="005C3EC8">
        <w:rPr>
          <w:rFonts w:ascii="Calibri" w:hAnsi="Calibri"/>
        </w:rPr>
        <w:t xml:space="preserve"> (p.75).  </w:t>
      </w:r>
    </w:p>
    <w:p w14:paraId="7B4B7102" w14:textId="4945BC1C" w:rsidR="00533AAF" w:rsidRPr="005C3EC8" w:rsidRDefault="00533AAF" w:rsidP="00533AAF">
      <w:pPr>
        <w:spacing w:before="120"/>
        <w:rPr>
          <w:rFonts w:ascii="Calibri" w:hAnsi="Calibri"/>
        </w:rPr>
      </w:pPr>
      <w:r w:rsidRPr="005C3EC8">
        <w:rPr>
          <w:rFonts w:ascii="Calibri" w:hAnsi="Calibri"/>
          <w:i/>
          <w:u w:val="single"/>
        </w:rPr>
        <w:t>Material companies</w:t>
      </w:r>
      <w:r w:rsidRPr="005C3EC8">
        <w:rPr>
          <w:rFonts w:ascii="Calibri" w:hAnsi="Calibri"/>
          <w:u w:val="single"/>
        </w:rPr>
        <w:t>:</w:t>
      </w:r>
      <w:r w:rsidRPr="005C3EC8">
        <w:rPr>
          <w:rFonts w:ascii="Calibri" w:hAnsi="Calibri"/>
        </w:rPr>
        <w:t xml:space="preserve"> </w:t>
      </w:r>
      <w:r w:rsidR="008B4355" w:rsidRPr="005C3EC8">
        <w:rPr>
          <w:rFonts w:ascii="Calibri" w:hAnsi="Calibri"/>
        </w:rPr>
        <w:t>While t</w:t>
      </w:r>
      <w:r w:rsidR="001E2B07" w:rsidRPr="005C3EC8">
        <w:rPr>
          <w:rFonts w:ascii="Calibri" w:hAnsi="Calibri"/>
        </w:rPr>
        <w:t xml:space="preserve">he list of 41 material oil and gas companies is provided both in the 2016 EITI Report (pp.78-79) and on the </w:t>
      </w:r>
      <w:r w:rsidR="008B4355" w:rsidRPr="005C3EC8">
        <w:rPr>
          <w:rFonts w:ascii="Calibri" w:hAnsi="Calibri"/>
        </w:rPr>
        <w:t>Department for BEIS’</w:t>
      </w:r>
      <w:r w:rsidR="001E2B07" w:rsidRPr="005C3EC8">
        <w:rPr>
          <w:rFonts w:ascii="Calibri" w:hAnsi="Calibri"/>
        </w:rPr>
        <w:t xml:space="preserve"> website</w:t>
      </w:r>
      <w:r w:rsidR="001E2B07" w:rsidRPr="005C3EC8">
        <w:rPr>
          <w:rStyle w:val="FootnoteReference"/>
          <w:rFonts w:ascii="Calibri" w:hAnsi="Calibri"/>
        </w:rPr>
        <w:footnoteReference w:id="282"/>
      </w:r>
      <w:r w:rsidR="001249F4" w:rsidRPr="005C3EC8">
        <w:rPr>
          <w:rFonts w:ascii="Calibri" w:hAnsi="Calibri"/>
        </w:rPr>
        <w:t xml:space="preserve">, </w:t>
      </w:r>
      <w:r w:rsidR="008B4355" w:rsidRPr="005C3EC8">
        <w:rPr>
          <w:rFonts w:ascii="Calibri" w:hAnsi="Calibri"/>
        </w:rPr>
        <w:t>those two sources</w:t>
      </w:r>
      <w:r w:rsidR="008B4355" w:rsidRPr="005C3EC8">
        <w:rPr>
          <w:rStyle w:val="FootnoteReference"/>
          <w:rFonts w:ascii="Calibri" w:hAnsi="Calibri"/>
        </w:rPr>
        <w:footnoteReference w:id="283"/>
      </w:r>
      <w:r w:rsidR="008B4355" w:rsidRPr="005C3EC8">
        <w:rPr>
          <w:rFonts w:ascii="Calibri" w:hAnsi="Calibri"/>
        </w:rPr>
        <w:t xml:space="preserve"> (p.79) only provide </w:t>
      </w:r>
      <w:r w:rsidR="001249F4" w:rsidRPr="005C3EC8">
        <w:rPr>
          <w:rFonts w:ascii="Calibri" w:hAnsi="Calibri"/>
        </w:rPr>
        <w:t>the list</w:t>
      </w:r>
      <w:r w:rsidR="008B4355" w:rsidRPr="005C3EC8">
        <w:rPr>
          <w:rFonts w:ascii="Calibri" w:hAnsi="Calibri"/>
        </w:rPr>
        <w:t xml:space="preserve"> of 17 material mining and quarrying companies that reported, rather than the full list of 20 material </w:t>
      </w:r>
      <w:r w:rsidR="00C8430B" w:rsidRPr="005C3EC8">
        <w:rPr>
          <w:rFonts w:ascii="Calibri" w:hAnsi="Calibri"/>
        </w:rPr>
        <w:t xml:space="preserve">mining and quarrying </w:t>
      </w:r>
      <w:r w:rsidR="008B4355" w:rsidRPr="005C3EC8">
        <w:rPr>
          <w:rFonts w:ascii="Calibri" w:hAnsi="Calibri"/>
        </w:rPr>
        <w:t xml:space="preserve">companies. </w:t>
      </w:r>
    </w:p>
    <w:p w14:paraId="7E31F95B" w14:textId="6476730F" w:rsidR="00C77F0E" w:rsidRPr="005C3EC8" w:rsidRDefault="00533AAF" w:rsidP="00C67F5D">
      <w:pPr>
        <w:spacing w:before="120"/>
        <w:rPr>
          <w:rFonts w:ascii="Calibri" w:hAnsi="Calibri"/>
        </w:rPr>
      </w:pPr>
      <w:r w:rsidRPr="005C3EC8">
        <w:rPr>
          <w:rFonts w:ascii="Calibri" w:hAnsi="Calibri"/>
          <w:i/>
          <w:u w:val="single"/>
        </w:rPr>
        <w:t>Material company reporting</w:t>
      </w:r>
      <w:r w:rsidR="00A903EC" w:rsidRPr="005C3EC8">
        <w:rPr>
          <w:rFonts w:ascii="Calibri" w:hAnsi="Calibri"/>
          <w:i/>
          <w:u w:val="single"/>
        </w:rPr>
        <w:t>:</w:t>
      </w:r>
      <w:r w:rsidRPr="005C3EC8">
        <w:rPr>
          <w:rFonts w:ascii="Calibri" w:hAnsi="Calibri"/>
        </w:rPr>
        <w:t xml:space="preserve"> </w:t>
      </w:r>
      <w:r w:rsidR="00043014" w:rsidRPr="005C3EC8">
        <w:rPr>
          <w:rFonts w:ascii="Calibri" w:hAnsi="Calibri"/>
        </w:rPr>
        <w:t>The report confirms that three mining and quarrying companies</w:t>
      </w:r>
      <w:r w:rsidR="00C77F0E" w:rsidRPr="005C3EC8">
        <w:rPr>
          <w:rFonts w:ascii="Calibri" w:hAnsi="Calibri"/>
        </w:rPr>
        <w:t xml:space="preserve"> </w:t>
      </w:r>
      <w:r w:rsidR="00043014" w:rsidRPr="005C3EC8">
        <w:rPr>
          <w:rFonts w:ascii="Calibri" w:hAnsi="Calibri"/>
        </w:rPr>
        <w:t>(</w:t>
      </w:r>
      <w:r w:rsidR="00C77F0E" w:rsidRPr="005C3EC8">
        <w:rPr>
          <w:rFonts w:ascii="Calibri" w:hAnsi="Calibri"/>
        </w:rPr>
        <w:t xml:space="preserve">of </w:t>
      </w:r>
      <w:r w:rsidR="00043014" w:rsidRPr="005C3EC8">
        <w:rPr>
          <w:rFonts w:ascii="Calibri" w:hAnsi="Calibri"/>
        </w:rPr>
        <w:t xml:space="preserve">20 material mining and quarrying companies and </w:t>
      </w:r>
      <w:r w:rsidR="00C77F0E" w:rsidRPr="005C3EC8">
        <w:rPr>
          <w:rFonts w:ascii="Calibri" w:hAnsi="Calibri"/>
        </w:rPr>
        <w:t>61 material companies</w:t>
      </w:r>
      <w:r w:rsidR="00043014" w:rsidRPr="005C3EC8">
        <w:rPr>
          <w:rFonts w:ascii="Calibri" w:hAnsi="Calibri"/>
        </w:rPr>
        <w:t>)</w:t>
      </w:r>
      <w:r w:rsidR="00C77F0E" w:rsidRPr="005C3EC8">
        <w:rPr>
          <w:rFonts w:ascii="Calibri" w:hAnsi="Calibri"/>
        </w:rPr>
        <w:t xml:space="preserve"> did not submit reporting templates</w:t>
      </w:r>
      <w:r w:rsidR="00043014" w:rsidRPr="005C3EC8">
        <w:rPr>
          <w:rFonts w:ascii="Calibri" w:hAnsi="Calibri"/>
        </w:rPr>
        <w:t xml:space="preserve"> (p.75)</w:t>
      </w:r>
      <w:r w:rsidR="00C77F0E" w:rsidRPr="005C3EC8">
        <w:rPr>
          <w:rFonts w:ascii="Calibri" w:hAnsi="Calibri"/>
        </w:rPr>
        <w:t xml:space="preserve">, </w:t>
      </w:r>
      <w:r w:rsidR="00043014" w:rsidRPr="005C3EC8">
        <w:rPr>
          <w:rFonts w:ascii="Calibri" w:hAnsi="Calibri"/>
        </w:rPr>
        <w:t xml:space="preserve">albeit without listing the names of non-reporting companies. The report </w:t>
      </w:r>
      <w:r w:rsidR="00C77F0E" w:rsidRPr="005C3EC8">
        <w:rPr>
          <w:rFonts w:ascii="Calibri" w:hAnsi="Calibri"/>
        </w:rPr>
        <w:t>only</w:t>
      </w:r>
      <w:r w:rsidR="00043014" w:rsidRPr="005C3EC8">
        <w:rPr>
          <w:rFonts w:ascii="Calibri" w:hAnsi="Calibri"/>
        </w:rPr>
        <w:t xml:space="preserve"> provides an assessment of the three companies’</w:t>
      </w:r>
      <w:r w:rsidR="00C77F0E" w:rsidRPr="005C3EC8">
        <w:rPr>
          <w:rFonts w:ascii="Calibri" w:hAnsi="Calibri"/>
        </w:rPr>
        <w:t xml:space="preserve"> share of the number of material companies (95%), rather than their share of government </w:t>
      </w:r>
      <w:r w:rsidR="00043014" w:rsidRPr="005C3EC8">
        <w:rPr>
          <w:rFonts w:ascii="Calibri" w:hAnsi="Calibri"/>
        </w:rPr>
        <w:t xml:space="preserve">extractives revenues </w:t>
      </w:r>
      <w:r w:rsidR="00C77F0E" w:rsidRPr="005C3EC8">
        <w:rPr>
          <w:rFonts w:ascii="Calibri" w:hAnsi="Calibri"/>
        </w:rPr>
        <w:t>(p.75)</w:t>
      </w:r>
      <w:r w:rsidR="00043014" w:rsidRPr="005C3EC8">
        <w:rPr>
          <w:rFonts w:ascii="Calibri" w:hAnsi="Calibri"/>
        </w:rPr>
        <w:t>.</w:t>
      </w:r>
      <w:r w:rsidR="00C8430B" w:rsidRPr="005C3EC8">
        <w:rPr>
          <w:rFonts w:ascii="Calibri" w:hAnsi="Calibri"/>
        </w:rPr>
        <w:t xml:space="preserve"> While the report provides full unilateral government disclosure of revenues from “out of scope” companies (pp.11-12), this aggregates revenues from both companies below the materiality threshold and thee three non-reporting material mining and quarrying companies. It is thus not possible to estimate the materiality of payments from the three non-reporting material companies, either in aggregate or per company. </w:t>
      </w:r>
    </w:p>
    <w:p w14:paraId="35979C04" w14:textId="00925919" w:rsidR="005C01C9" w:rsidRPr="005C3EC8" w:rsidRDefault="005C01C9" w:rsidP="00533AAF">
      <w:pPr>
        <w:spacing w:before="120"/>
        <w:rPr>
          <w:rFonts w:ascii="Calibri" w:hAnsi="Calibri"/>
        </w:rPr>
      </w:pPr>
      <w:r w:rsidRPr="005C3EC8">
        <w:rPr>
          <w:rFonts w:ascii="Calibri" w:hAnsi="Calibri"/>
        </w:rPr>
        <w:lastRenderedPageBreak/>
        <w:t>The report also highlights that “a number of companies” had reported their 2016 payments to government under the EU Accounting and Transparency Directives and provides a link</w:t>
      </w:r>
      <w:r w:rsidRPr="005C3EC8">
        <w:rPr>
          <w:rStyle w:val="FootnoteReference"/>
          <w:rFonts w:ascii="Calibri" w:hAnsi="Calibri"/>
        </w:rPr>
        <w:footnoteReference w:id="284"/>
      </w:r>
      <w:r w:rsidRPr="005C3EC8">
        <w:rPr>
          <w:rFonts w:ascii="Calibri" w:hAnsi="Calibri"/>
        </w:rPr>
        <w:t xml:space="preserve"> to the database of such filings (p.80), albeit without specifying the number of material companies that had filed such reports. </w:t>
      </w:r>
    </w:p>
    <w:p w14:paraId="7C39B943" w14:textId="00637EA0" w:rsidR="00C77F0E" w:rsidRPr="005C3EC8" w:rsidRDefault="00533AAF" w:rsidP="00C67F5D">
      <w:pPr>
        <w:spacing w:before="120"/>
        <w:rPr>
          <w:rFonts w:ascii="Calibri" w:hAnsi="Calibri"/>
        </w:rPr>
      </w:pPr>
      <w:r w:rsidRPr="005C3EC8">
        <w:rPr>
          <w:rFonts w:ascii="Calibri" w:hAnsi="Calibri"/>
          <w:i/>
          <w:u w:val="single"/>
        </w:rPr>
        <w:t>Material government entities</w:t>
      </w:r>
      <w:r w:rsidR="00A903EC" w:rsidRPr="005C3EC8">
        <w:rPr>
          <w:rFonts w:ascii="Calibri" w:hAnsi="Calibri"/>
        </w:rPr>
        <w:t xml:space="preserve">: </w:t>
      </w:r>
      <w:r w:rsidR="00C77F0E" w:rsidRPr="005C3EC8">
        <w:rPr>
          <w:rFonts w:ascii="Calibri" w:hAnsi="Calibri"/>
        </w:rPr>
        <w:t>The report lists the four government entities</w:t>
      </w:r>
      <w:r w:rsidR="00C77F0E" w:rsidRPr="005C3EC8">
        <w:rPr>
          <w:rFonts w:ascii="Calibri" w:hAnsi="Calibri"/>
          <w:vertAlign w:val="superscript"/>
        </w:rPr>
        <w:footnoteReference w:id="285"/>
      </w:r>
      <w:r w:rsidR="00C77F0E" w:rsidRPr="005C3EC8">
        <w:rPr>
          <w:rFonts w:ascii="Calibri" w:hAnsi="Calibri"/>
        </w:rPr>
        <w:t xml:space="preserve"> included in the scope of reporting (p.71). </w:t>
      </w:r>
    </w:p>
    <w:p w14:paraId="15A2D94C" w14:textId="65333C10" w:rsidR="00925CBA" w:rsidRPr="005C3EC8" w:rsidRDefault="00533AAF" w:rsidP="00533AAF">
      <w:pPr>
        <w:spacing w:before="120"/>
        <w:rPr>
          <w:rFonts w:ascii="Calibri" w:hAnsi="Calibri"/>
        </w:rPr>
      </w:pPr>
      <w:r w:rsidRPr="005C3EC8">
        <w:rPr>
          <w:rFonts w:ascii="Calibri" w:hAnsi="Calibri"/>
          <w:i/>
          <w:u w:val="single"/>
        </w:rPr>
        <w:t>Government reporting</w:t>
      </w:r>
      <w:r w:rsidRPr="005C3EC8">
        <w:rPr>
          <w:rFonts w:ascii="Calibri" w:hAnsi="Calibri"/>
          <w:u w:val="single"/>
        </w:rPr>
        <w:t>:</w:t>
      </w:r>
      <w:r w:rsidRPr="005C3EC8">
        <w:rPr>
          <w:rFonts w:ascii="Calibri" w:hAnsi="Calibri"/>
        </w:rPr>
        <w:t xml:space="preserve"> </w:t>
      </w:r>
      <w:r w:rsidR="006C6B8D" w:rsidRPr="005C3EC8">
        <w:rPr>
          <w:rFonts w:ascii="Calibri" w:hAnsi="Calibri"/>
        </w:rPr>
        <w:t>The report does not explicitly comment on whether all four material government entities reported all extractives revenues</w:t>
      </w:r>
      <w:r w:rsidR="004571FA" w:rsidRPr="005C3EC8">
        <w:rPr>
          <w:rFonts w:ascii="Calibri" w:hAnsi="Calibri"/>
        </w:rPr>
        <w:t xml:space="preserve">, although </w:t>
      </w:r>
      <w:r w:rsidR="006C6B8D" w:rsidRPr="005C3EC8">
        <w:rPr>
          <w:rFonts w:ascii="Calibri" w:hAnsi="Calibri"/>
        </w:rPr>
        <w:t xml:space="preserve">the </w:t>
      </w:r>
      <w:r w:rsidR="009D25CE" w:rsidRPr="005C3EC8">
        <w:rPr>
          <w:rFonts w:ascii="Calibri" w:hAnsi="Calibri"/>
        </w:rPr>
        <w:t xml:space="preserve">reconciliation results indicate </w:t>
      </w:r>
      <w:r w:rsidR="004571FA" w:rsidRPr="005C3EC8">
        <w:rPr>
          <w:rFonts w:ascii="Calibri" w:hAnsi="Calibri"/>
        </w:rPr>
        <w:t xml:space="preserve">that </w:t>
      </w:r>
      <w:r w:rsidR="009D25CE" w:rsidRPr="005C3EC8">
        <w:rPr>
          <w:rFonts w:ascii="Calibri" w:hAnsi="Calibri"/>
        </w:rPr>
        <w:t xml:space="preserve">HMRC, OGA and TCE </w:t>
      </w:r>
      <w:r w:rsidR="004571FA" w:rsidRPr="005C3EC8">
        <w:rPr>
          <w:rFonts w:ascii="Calibri" w:hAnsi="Calibri"/>
        </w:rPr>
        <w:t xml:space="preserve">submitted reporting templates </w:t>
      </w:r>
      <w:r w:rsidR="009D25CE" w:rsidRPr="005C3EC8">
        <w:rPr>
          <w:rFonts w:ascii="Calibri" w:hAnsi="Calibri"/>
        </w:rPr>
        <w:t xml:space="preserve">(pp.78-79). </w:t>
      </w:r>
      <w:r w:rsidR="001E2C16" w:rsidRPr="005C3EC8">
        <w:rPr>
          <w:rFonts w:ascii="Calibri" w:hAnsi="Calibri"/>
        </w:rPr>
        <w:t xml:space="preserve">While these reconciliation results do not indicate reporting by the Coal Authority, the government’s full unilateral disclosure (pp.11-12) indicate that the Coal Authority reported revenues from “out of scope” companies, implying that none of the revenues collected by the Coal Authority were deemed to be from material companies. </w:t>
      </w:r>
    </w:p>
    <w:p w14:paraId="047B15C4" w14:textId="4D80100E" w:rsidR="00C77F0E" w:rsidRPr="005C3EC8" w:rsidRDefault="00533AAF" w:rsidP="00C8623E">
      <w:pPr>
        <w:spacing w:before="120"/>
        <w:rPr>
          <w:rFonts w:ascii="Calibri" w:hAnsi="Calibri"/>
        </w:rPr>
      </w:pPr>
      <w:r w:rsidRPr="005C3EC8">
        <w:rPr>
          <w:rFonts w:ascii="Calibri" w:hAnsi="Calibri"/>
          <w:i/>
          <w:u w:val="single"/>
        </w:rPr>
        <w:t>Discrepancies</w:t>
      </w:r>
      <w:r w:rsidRPr="005C3EC8">
        <w:rPr>
          <w:rFonts w:ascii="Calibri" w:hAnsi="Calibri"/>
        </w:rPr>
        <w:t xml:space="preserve">: </w:t>
      </w:r>
      <w:r w:rsidR="00C77F0E" w:rsidRPr="005C3EC8">
        <w:rPr>
          <w:rFonts w:ascii="Calibri" w:hAnsi="Calibri"/>
        </w:rPr>
        <w:t xml:space="preserve">The report </w:t>
      </w:r>
      <w:r w:rsidR="005B513B" w:rsidRPr="005C3EC8">
        <w:rPr>
          <w:rFonts w:ascii="Calibri" w:hAnsi="Calibri"/>
        </w:rPr>
        <w:t>describes</w:t>
      </w:r>
      <w:r w:rsidR="00C77F0E" w:rsidRPr="005C3EC8">
        <w:rPr>
          <w:rFonts w:ascii="Calibri" w:hAnsi="Calibri"/>
        </w:rPr>
        <w:t xml:space="preserve"> the MSG’s materiality threshold for investigating discrepancies of 1% or GBP 10,000, whichever was lower (p.75). </w:t>
      </w:r>
      <w:r w:rsidR="005B513B" w:rsidRPr="005C3EC8">
        <w:rPr>
          <w:rFonts w:ascii="Calibri" w:hAnsi="Calibri"/>
        </w:rPr>
        <w:t>While the report provides an explanation for the discrepancies between revenue figures from EITI Reports and HMRC statistics (pp.69-71), it does not provide an explanation for the discrepancies identified during the EITI reconciliation</w:t>
      </w:r>
      <w:r w:rsidR="001C16AC" w:rsidRPr="005C3EC8">
        <w:rPr>
          <w:rFonts w:ascii="Calibri" w:hAnsi="Calibri"/>
        </w:rPr>
        <w:t xml:space="preserve"> itself</w:t>
      </w:r>
      <w:r w:rsidR="005B513B" w:rsidRPr="005C3EC8">
        <w:rPr>
          <w:rFonts w:ascii="Calibri" w:hAnsi="Calibri"/>
        </w:rPr>
        <w:t xml:space="preserve">. </w:t>
      </w:r>
      <w:r w:rsidR="001C16AC" w:rsidRPr="005C3EC8">
        <w:rPr>
          <w:rFonts w:ascii="Calibri" w:hAnsi="Calibri"/>
        </w:rPr>
        <w:t xml:space="preserve">However, it appears that final net unreconciled discrepancies were below the materiality threshold for investigating discrepancies. </w:t>
      </w:r>
      <w:r w:rsidR="00C77F0E" w:rsidRPr="005C3EC8">
        <w:rPr>
          <w:rFonts w:ascii="Calibri" w:hAnsi="Calibri"/>
        </w:rPr>
        <w:t xml:space="preserve">The reconciliation </w:t>
      </w:r>
      <w:r w:rsidR="00D97FDA" w:rsidRPr="005C3EC8">
        <w:rPr>
          <w:rFonts w:ascii="Calibri" w:hAnsi="Calibri"/>
        </w:rPr>
        <w:t xml:space="preserve">results indicate </w:t>
      </w:r>
      <w:r w:rsidR="00C77F0E" w:rsidRPr="005C3EC8">
        <w:rPr>
          <w:rFonts w:ascii="Calibri" w:hAnsi="Calibri"/>
        </w:rPr>
        <w:t>net aggregate unreconciled discrepancies</w:t>
      </w:r>
      <w:r w:rsidR="00D97FDA" w:rsidRPr="005C3EC8">
        <w:rPr>
          <w:rFonts w:ascii="Calibri" w:hAnsi="Calibri"/>
        </w:rPr>
        <w:t xml:space="preserve"> of GBP 12,000 in oil and gas and GBP 7,000 for mining and quarrying, with discrepancies presented in aggregate per company, not disaggregated by revenue stream </w:t>
      </w:r>
      <w:r w:rsidR="00C77F0E" w:rsidRPr="005C3EC8">
        <w:rPr>
          <w:rFonts w:ascii="Calibri" w:hAnsi="Calibri"/>
        </w:rPr>
        <w:t>(pp</w:t>
      </w:r>
      <w:r w:rsidR="005B513B" w:rsidRPr="005C3EC8">
        <w:rPr>
          <w:rFonts w:ascii="Calibri" w:hAnsi="Calibri"/>
        </w:rPr>
        <w:t>.</w:t>
      </w:r>
      <w:r w:rsidR="00C77F0E" w:rsidRPr="005C3EC8">
        <w:rPr>
          <w:rFonts w:ascii="Calibri" w:hAnsi="Calibri"/>
        </w:rPr>
        <w:t xml:space="preserve">78-79). </w:t>
      </w:r>
      <w:r w:rsidR="001C16AC" w:rsidRPr="005C3EC8">
        <w:rPr>
          <w:rFonts w:ascii="Calibri" w:hAnsi="Calibri"/>
        </w:rPr>
        <w:t xml:space="preserve">The report presents only the final net unreconciled discrepancies, not the detail of initial reporting and adjustments during the reconciliation process. </w:t>
      </w:r>
    </w:p>
    <w:p w14:paraId="5634E51D" w14:textId="231CBC3B" w:rsidR="00C77F0E" w:rsidRPr="005C3EC8" w:rsidRDefault="00533AAF" w:rsidP="00B72636">
      <w:pPr>
        <w:spacing w:before="120"/>
        <w:rPr>
          <w:rFonts w:ascii="Calibri" w:hAnsi="Calibri"/>
        </w:rPr>
      </w:pPr>
      <w:r w:rsidRPr="005C3EC8">
        <w:rPr>
          <w:rFonts w:ascii="Calibri" w:hAnsi="Calibri"/>
          <w:i/>
          <w:u w:val="single"/>
        </w:rPr>
        <w:t>Full government disclosure</w:t>
      </w:r>
      <w:r w:rsidRPr="005C3EC8">
        <w:rPr>
          <w:rFonts w:ascii="Calibri" w:hAnsi="Calibri"/>
          <w:u w:val="single"/>
        </w:rPr>
        <w:t>:</w:t>
      </w:r>
      <w:r w:rsidRPr="005C3EC8">
        <w:rPr>
          <w:rFonts w:ascii="Calibri" w:hAnsi="Calibri"/>
        </w:rPr>
        <w:t xml:space="preserve"> </w:t>
      </w:r>
      <w:r w:rsidR="00C77F0E" w:rsidRPr="005C3EC8">
        <w:rPr>
          <w:rFonts w:ascii="Calibri" w:hAnsi="Calibri"/>
        </w:rPr>
        <w:t xml:space="preserve">The report provides the </w:t>
      </w:r>
      <w:r w:rsidR="00CB11FF" w:rsidRPr="005C3EC8">
        <w:rPr>
          <w:rFonts w:ascii="Calibri" w:hAnsi="Calibri"/>
        </w:rPr>
        <w:t xml:space="preserve">government’s unilateral disclosure of </w:t>
      </w:r>
      <w:r w:rsidR="00C77F0E" w:rsidRPr="005C3EC8">
        <w:rPr>
          <w:rFonts w:ascii="Calibri" w:hAnsi="Calibri"/>
        </w:rPr>
        <w:t xml:space="preserve">total revenues collected during </w:t>
      </w:r>
      <w:r w:rsidR="00CB11FF" w:rsidRPr="005C3EC8">
        <w:rPr>
          <w:rFonts w:ascii="Calibri" w:hAnsi="Calibri"/>
        </w:rPr>
        <w:t>calendar-</w:t>
      </w:r>
      <w:r w:rsidR="00C77F0E" w:rsidRPr="005C3EC8">
        <w:rPr>
          <w:rFonts w:ascii="Calibri" w:hAnsi="Calibri"/>
        </w:rPr>
        <w:t xml:space="preserve">year </w:t>
      </w:r>
      <w:r w:rsidR="00CB11FF" w:rsidRPr="005C3EC8">
        <w:rPr>
          <w:rFonts w:ascii="Calibri" w:hAnsi="Calibri"/>
        </w:rPr>
        <w:t xml:space="preserve">2016 </w:t>
      </w:r>
      <w:r w:rsidR="00C77F0E" w:rsidRPr="005C3EC8">
        <w:rPr>
          <w:rFonts w:ascii="Calibri" w:hAnsi="Calibri"/>
        </w:rPr>
        <w:t>fo</w:t>
      </w:r>
      <w:r w:rsidR="00CB11FF" w:rsidRPr="005C3EC8">
        <w:rPr>
          <w:rFonts w:ascii="Calibri" w:hAnsi="Calibri"/>
        </w:rPr>
        <w:t>r</w:t>
      </w:r>
      <w:r w:rsidR="00CB11FF" w:rsidRPr="005C3EC8">
        <w:rPr>
          <w:rFonts w:ascii="Calibri" w:hAnsi="Calibri"/>
          <w:bCs/>
        </w:rPr>
        <w:t xml:space="preserve"> </w:t>
      </w:r>
      <w:r w:rsidR="001302C7" w:rsidRPr="005C3EC8">
        <w:rPr>
          <w:rFonts w:ascii="Calibri" w:hAnsi="Calibri"/>
        </w:rPr>
        <w:t>Corporation T</w:t>
      </w:r>
      <w:r w:rsidR="00C77F0E" w:rsidRPr="005C3EC8">
        <w:rPr>
          <w:rFonts w:ascii="Calibri" w:hAnsi="Calibri"/>
        </w:rPr>
        <w:t>ax (p</w:t>
      </w:r>
      <w:r w:rsidR="001302C7" w:rsidRPr="005C3EC8">
        <w:rPr>
          <w:rFonts w:ascii="Calibri" w:hAnsi="Calibri"/>
        </w:rPr>
        <w:t>p</w:t>
      </w:r>
      <w:r w:rsidR="00C77F0E" w:rsidRPr="005C3EC8">
        <w:rPr>
          <w:rFonts w:ascii="Calibri" w:hAnsi="Calibri"/>
        </w:rPr>
        <w:t>.</w:t>
      </w:r>
      <w:r w:rsidR="001302C7" w:rsidRPr="005C3EC8">
        <w:rPr>
          <w:rFonts w:ascii="Calibri" w:hAnsi="Calibri"/>
        </w:rPr>
        <w:t>11,</w:t>
      </w:r>
      <w:r w:rsidR="00C77F0E" w:rsidRPr="005C3EC8">
        <w:rPr>
          <w:rFonts w:ascii="Calibri" w:hAnsi="Calibri"/>
        </w:rPr>
        <w:t>17)</w:t>
      </w:r>
      <w:r w:rsidR="00A16B97" w:rsidRPr="005C3EC8">
        <w:rPr>
          <w:rFonts w:ascii="Calibri" w:hAnsi="Calibri"/>
        </w:rPr>
        <w:t xml:space="preserve">, </w:t>
      </w:r>
      <w:r w:rsidR="001302C7" w:rsidRPr="005C3EC8">
        <w:rPr>
          <w:rFonts w:ascii="Calibri" w:hAnsi="Calibri"/>
        </w:rPr>
        <w:t>including RFCT/SC and mainstream Corporation Tax paid by mining and quarrying companies (pp.11-12)</w:t>
      </w:r>
      <w:r w:rsidR="00A16B97" w:rsidRPr="005C3EC8">
        <w:rPr>
          <w:rFonts w:ascii="Calibri" w:hAnsi="Calibri"/>
        </w:rPr>
        <w:t xml:space="preserve">, </w:t>
      </w:r>
      <w:r w:rsidR="001302C7" w:rsidRPr="005C3EC8">
        <w:rPr>
          <w:rFonts w:ascii="Calibri" w:hAnsi="Calibri"/>
          <w:bCs/>
        </w:rPr>
        <w:t xml:space="preserve">PRT </w:t>
      </w:r>
      <w:r w:rsidR="00C77F0E" w:rsidRPr="005C3EC8">
        <w:rPr>
          <w:rFonts w:ascii="Calibri" w:hAnsi="Calibri"/>
        </w:rPr>
        <w:t>(p</w:t>
      </w:r>
      <w:r w:rsidR="001302C7" w:rsidRPr="005C3EC8">
        <w:rPr>
          <w:rFonts w:ascii="Calibri" w:hAnsi="Calibri"/>
        </w:rPr>
        <w:t>p</w:t>
      </w:r>
      <w:r w:rsidR="00C77F0E" w:rsidRPr="005C3EC8">
        <w:rPr>
          <w:rFonts w:ascii="Calibri" w:hAnsi="Calibri"/>
        </w:rPr>
        <w:t>.</w:t>
      </w:r>
      <w:r w:rsidR="001302C7" w:rsidRPr="005C3EC8">
        <w:rPr>
          <w:rFonts w:ascii="Calibri" w:hAnsi="Calibri"/>
        </w:rPr>
        <w:t>11,</w:t>
      </w:r>
      <w:r w:rsidR="00C77F0E" w:rsidRPr="005C3EC8">
        <w:rPr>
          <w:rFonts w:ascii="Calibri" w:hAnsi="Calibri"/>
        </w:rPr>
        <w:t>17)</w:t>
      </w:r>
      <w:r w:rsidR="00A16B97" w:rsidRPr="005C3EC8">
        <w:rPr>
          <w:rFonts w:ascii="Calibri" w:hAnsi="Calibri"/>
        </w:rPr>
        <w:t xml:space="preserve">, </w:t>
      </w:r>
      <w:r w:rsidR="00C77F0E" w:rsidRPr="005C3EC8">
        <w:rPr>
          <w:rFonts w:ascii="Calibri" w:hAnsi="Calibri"/>
        </w:rPr>
        <w:t xml:space="preserve">petroleum license </w:t>
      </w:r>
      <w:r w:rsidR="00A16B97" w:rsidRPr="005C3EC8">
        <w:rPr>
          <w:rFonts w:ascii="Calibri" w:hAnsi="Calibri"/>
          <w:bCs/>
        </w:rPr>
        <w:t>f</w:t>
      </w:r>
      <w:r w:rsidR="00A16B97" w:rsidRPr="005C3EC8">
        <w:rPr>
          <w:rFonts w:ascii="Calibri" w:hAnsi="Calibri"/>
        </w:rPr>
        <w:t xml:space="preserve">ees </w:t>
      </w:r>
      <w:r w:rsidR="00C77F0E" w:rsidRPr="005C3EC8">
        <w:rPr>
          <w:rFonts w:ascii="Calibri" w:hAnsi="Calibri"/>
        </w:rPr>
        <w:t>(p</w:t>
      </w:r>
      <w:r w:rsidR="001302C7" w:rsidRPr="005C3EC8">
        <w:rPr>
          <w:rFonts w:ascii="Calibri" w:hAnsi="Calibri"/>
        </w:rPr>
        <w:t>p</w:t>
      </w:r>
      <w:r w:rsidR="00C77F0E" w:rsidRPr="005C3EC8">
        <w:rPr>
          <w:rFonts w:ascii="Calibri" w:hAnsi="Calibri"/>
        </w:rPr>
        <w:t>.</w:t>
      </w:r>
      <w:r w:rsidR="001302C7" w:rsidRPr="005C3EC8">
        <w:rPr>
          <w:rFonts w:ascii="Calibri" w:hAnsi="Calibri"/>
        </w:rPr>
        <w:t>11,</w:t>
      </w:r>
      <w:r w:rsidR="00C77F0E" w:rsidRPr="005C3EC8">
        <w:rPr>
          <w:rFonts w:ascii="Calibri" w:hAnsi="Calibri"/>
        </w:rPr>
        <w:t>20)</w:t>
      </w:r>
      <w:r w:rsidR="00A16B97" w:rsidRPr="005C3EC8">
        <w:rPr>
          <w:rFonts w:ascii="Calibri" w:hAnsi="Calibri"/>
        </w:rPr>
        <w:t xml:space="preserve">, </w:t>
      </w:r>
      <w:r w:rsidR="00C77F0E" w:rsidRPr="005C3EC8">
        <w:rPr>
          <w:rFonts w:ascii="Calibri" w:hAnsi="Calibri"/>
        </w:rPr>
        <w:t>Coal Authority license fees (p.20)</w:t>
      </w:r>
      <w:r w:rsidR="00A16B97" w:rsidRPr="005C3EC8">
        <w:rPr>
          <w:rFonts w:ascii="Calibri" w:hAnsi="Calibri"/>
        </w:rPr>
        <w:t xml:space="preserve">, </w:t>
      </w:r>
      <w:r w:rsidR="00C77F0E" w:rsidRPr="005C3EC8">
        <w:rPr>
          <w:rFonts w:ascii="Calibri" w:hAnsi="Calibri"/>
        </w:rPr>
        <w:t>Coal Authority rents, royalties and rights (</w:t>
      </w:r>
      <w:r w:rsidR="001302C7" w:rsidRPr="005C3EC8">
        <w:rPr>
          <w:rFonts w:ascii="Calibri" w:hAnsi="Calibri"/>
        </w:rPr>
        <w:t>p</w:t>
      </w:r>
      <w:r w:rsidR="00C77F0E" w:rsidRPr="005C3EC8">
        <w:rPr>
          <w:rFonts w:ascii="Calibri" w:hAnsi="Calibri"/>
        </w:rPr>
        <w:t>p.</w:t>
      </w:r>
      <w:r w:rsidR="001302C7" w:rsidRPr="005C3EC8">
        <w:rPr>
          <w:rFonts w:ascii="Calibri" w:hAnsi="Calibri"/>
        </w:rPr>
        <w:t>11,</w:t>
      </w:r>
      <w:r w:rsidR="00C77F0E" w:rsidRPr="005C3EC8">
        <w:rPr>
          <w:rFonts w:ascii="Calibri" w:hAnsi="Calibri"/>
        </w:rPr>
        <w:t>20)</w:t>
      </w:r>
      <w:r w:rsidR="00A16B97" w:rsidRPr="005C3EC8">
        <w:rPr>
          <w:rFonts w:ascii="Calibri" w:hAnsi="Calibri"/>
        </w:rPr>
        <w:t xml:space="preserve">, </w:t>
      </w:r>
      <w:r w:rsidR="00C77F0E" w:rsidRPr="005C3EC8">
        <w:rPr>
          <w:rFonts w:ascii="Calibri" w:hAnsi="Calibri"/>
        </w:rPr>
        <w:t>TCE-collected marine aggregate dredging licence and terrestrial minerals fees</w:t>
      </w:r>
      <w:r w:rsidR="00A16B97" w:rsidRPr="005C3EC8">
        <w:rPr>
          <w:rFonts w:ascii="Calibri" w:hAnsi="Calibri"/>
        </w:rPr>
        <w:t xml:space="preserve"> </w:t>
      </w:r>
      <w:r w:rsidR="00C77F0E" w:rsidRPr="005C3EC8">
        <w:rPr>
          <w:rFonts w:ascii="Calibri" w:hAnsi="Calibri"/>
        </w:rPr>
        <w:t xml:space="preserve"> (</w:t>
      </w:r>
      <w:r w:rsidR="001302C7" w:rsidRPr="005C3EC8">
        <w:rPr>
          <w:rFonts w:ascii="Calibri" w:hAnsi="Calibri"/>
        </w:rPr>
        <w:t>p</w:t>
      </w:r>
      <w:r w:rsidR="00C77F0E" w:rsidRPr="005C3EC8">
        <w:rPr>
          <w:rFonts w:ascii="Calibri" w:hAnsi="Calibri"/>
        </w:rPr>
        <w:t>p.</w:t>
      </w:r>
      <w:r w:rsidR="001302C7" w:rsidRPr="005C3EC8">
        <w:rPr>
          <w:rFonts w:ascii="Calibri" w:hAnsi="Calibri"/>
        </w:rPr>
        <w:t>11,</w:t>
      </w:r>
      <w:r w:rsidR="00C77F0E" w:rsidRPr="005C3EC8">
        <w:rPr>
          <w:rFonts w:ascii="Calibri" w:hAnsi="Calibri"/>
        </w:rPr>
        <w:t>20)</w:t>
      </w:r>
      <w:r w:rsidR="00A16B97" w:rsidRPr="005C3EC8">
        <w:rPr>
          <w:rFonts w:ascii="Calibri" w:hAnsi="Calibri"/>
          <w:bCs/>
        </w:rPr>
        <w:t xml:space="preserve"> </w:t>
      </w:r>
      <w:r w:rsidR="00B72636" w:rsidRPr="005C3EC8">
        <w:rPr>
          <w:rFonts w:ascii="Calibri" w:hAnsi="Calibri"/>
        </w:rPr>
        <w:t xml:space="preserve">OGA levy </w:t>
      </w:r>
      <w:r w:rsidR="00C77F0E" w:rsidRPr="005C3EC8">
        <w:rPr>
          <w:rFonts w:ascii="Calibri" w:hAnsi="Calibri"/>
        </w:rPr>
        <w:t>(p</w:t>
      </w:r>
      <w:r w:rsidR="0017173A" w:rsidRPr="005C3EC8">
        <w:rPr>
          <w:rFonts w:ascii="Calibri" w:hAnsi="Calibri"/>
        </w:rPr>
        <w:t>p</w:t>
      </w:r>
      <w:r w:rsidR="00C77F0E" w:rsidRPr="005C3EC8">
        <w:rPr>
          <w:rFonts w:ascii="Calibri" w:hAnsi="Calibri"/>
        </w:rPr>
        <w:t>.</w:t>
      </w:r>
      <w:r w:rsidR="0017173A" w:rsidRPr="005C3EC8">
        <w:rPr>
          <w:rFonts w:ascii="Calibri" w:hAnsi="Calibri"/>
        </w:rPr>
        <w:t>11,</w:t>
      </w:r>
      <w:r w:rsidR="00C77F0E" w:rsidRPr="005C3EC8">
        <w:rPr>
          <w:rFonts w:ascii="Calibri" w:hAnsi="Calibri"/>
        </w:rPr>
        <w:t>51).</w:t>
      </w:r>
      <w:r w:rsidR="00B72636" w:rsidRPr="005C3EC8">
        <w:rPr>
          <w:rFonts w:ascii="Calibri" w:hAnsi="Calibri"/>
        </w:rPr>
        <w:t xml:space="preserve"> </w:t>
      </w:r>
      <w:r w:rsidR="001302C7" w:rsidRPr="005C3EC8">
        <w:rPr>
          <w:rFonts w:ascii="Calibri" w:hAnsi="Calibri"/>
        </w:rPr>
        <w:t>The reporting of RFCT/SC, payments to TCE and payments to the Coal Authority are reported in aggregate, not disaggregated by individual revenue stream (</w:t>
      </w:r>
      <w:r w:rsidR="001302C7" w:rsidRPr="005C3EC8">
        <w:rPr>
          <w:rFonts w:ascii="Calibri" w:hAnsi="Calibri"/>
          <w:i/>
        </w:rPr>
        <w:t>see Requirement 4.7</w:t>
      </w:r>
      <w:r w:rsidR="001302C7" w:rsidRPr="005C3EC8">
        <w:rPr>
          <w:rFonts w:ascii="Calibri" w:hAnsi="Calibri"/>
        </w:rPr>
        <w:t xml:space="preserve">). </w:t>
      </w:r>
    </w:p>
    <w:p w14:paraId="0FB375F3" w14:textId="319551E9" w:rsidR="008C3BAD" w:rsidRPr="005C3EC8" w:rsidRDefault="008C3BAD" w:rsidP="00C77F0E">
      <w:pPr>
        <w:spacing w:before="120"/>
        <w:rPr>
          <w:rFonts w:ascii="Calibri" w:hAnsi="Calibri"/>
        </w:rPr>
      </w:pPr>
      <w:r w:rsidRPr="005C3EC8">
        <w:rPr>
          <w:rFonts w:ascii="Calibri" w:hAnsi="Calibri"/>
        </w:rPr>
        <w:t>The report notes that “relatively minor” additional payments were reported by government entities for material companies whose payments were below the agreed materiality thresholds and for non-reporting material companies and included in the aggregate government revenue tables provided i</w:t>
      </w:r>
      <w:r w:rsidR="00D97FDA" w:rsidRPr="005C3EC8">
        <w:rPr>
          <w:rFonts w:ascii="Calibri" w:hAnsi="Calibri"/>
        </w:rPr>
        <w:t>n the executive summary (p.79)</w:t>
      </w:r>
      <w:r w:rsidRPr="005C3EC8">
        <w:rPr>
          <w:rFonts w:ascii="Calibri" w:hAnsi="Calibri"/>
        </w:rPr>
        <w:t>.</w:t>
      </w:r>
      <w:r w:rsidR="00B72636" w:rsidRPr="005C3EC8">
        <w:rPr>
          <w:rFonts w:ascii="Calibri" w:hAnsi="Calibri"/>
        </w:rPr>
        <w:t xml:space="preserve"> </w:t>
      </w:r>
    </w:p>
    <w:p w14:paraId="50C0199B" w14:textId="2B6BF7DF" w:rsidR="007236DF" w:rsidRPr="005C3EC8" w:rsidRDefault="00533AAF">
      <w:pPr>
        <w:pStyle w:val="Heading3"/>
      </w:pPr>
      <w:r w:rsidRPr="005C3EC8">
        <w:t xml:space="preserve">Stakeholder views </w:t>
      </w:r>
    </w:p>
    <w:p w14:paraId="421A54D8" w14:textId="7147FC01" w:rsidR="00926281" w:rsidRPr="005C3EC8" w:rsidRDefault="0017173A" w:rsidP="0017173A">
      <w:pPr>
        <w:spacing w:before="120"/>
        <w:rPr>
          <w:rFonts w:ascii="Calibri" w:hAnsi="Calibri"/>
        </w:rPr>
      </w:pPr>
      <w:r w:rsidRPr="005C3EC8">
        <w:rPr>
          <w:rFonts w:ascii="Calibri" w:hAnsi="Calibri"/>
          <w:i/>
          <w:u w:val="single"/>
        </w:rPr>
        <w:t>Materiality</w:t>
      </w:r>
      <w:r w:rsidRPr="005C3EC8">
        <w:rPr>
          <w:rFonts w:ascii="Calibri" w:hAnsi="Calibri"/>
        </w:rPr>
        <w:t>:</w:t>
      </w:r>
      <w:r w:rsidR="009C1B8D" w:rsidRPr="005C3EC8">
        <w:rPr>
          <w:rFonts w:ascii="Calibri" w:hAnsi="Calibri"/>
        </w:rPr>
        <w:t xml:space="preserve"> With regards to the selection of material companies and government entities, </w:t>
      </w:r>
      <w:r w:rsidR="00F03B52" w:rsidRPr="005C3EC8">
        <w:rPr>
          <w:rFonts w:ascii="Calibri" w:hAnsi="Calibri"/>
        </w:rPr>
        <w:t xml:space="preserve">a </w:t>
      </w:r>
      <w:r w:rsidRPr="005C3EC8">
        <w:rPr>
          <w:rFonts w:ascii="Calibri" w:hAnsi="Calibri"/>
        </w:rPr>
        <w:t xml:space="preserve">government </w:t>
      </w:r>
      <w:r w:rsidRPr="005C3EC8">
        <w:rPr>
          <w:rFonts w:ascii="Calibri" w:hAnsi="Calibri"/>
        </w:rPr>
        <w:lastRenderedPageBreak/>
        <w:t>representative confirmed the absence of payments by the oil and gas company onshore Northern Ireland to the DfE</w:t>
      </w:r>
      <w:r w:rsidR="00F03B52" w:rsidRPr="005C3EC8">
        <w:rPr>
          <w:rFonts w:ascii="Calibri" w:hAnsi="Calibri"/>
        </w:rPr>
        <w:t>, as confirmed in the supplement to the 2016 EITI Report</w:t>
      </w:r>
      <w:r w:rsidRPr="005C3EC8">
        <w:rPr>
          <w:rFonts w:ascii="Calibri" w:hAnsi="Calibri"/>
        </w:rPr>
        <w:t xml:space="preserve">. </w:t>
      </w:r>
      <w:r w:rsidR="002B636D" w:rsidRPr="005C3EC8">
        <w:rPr>
          <w:rFonts w:ascii="Calibri" w:hAnsi="Calibri"/>
        </w:rPr>
        <w:t>The IA confirmed that material companies in the 2016 EITI Report were selected based on data from HMRC, OGA, TCE and the CA and consisted of companies having made payments of more than GBP 86,000 per individual revenue stream to either of the four government entities. The IA stated categorically that all companies making material extractives-related payments to the government had been included in the scope of reconciliation.</w:t>
      </w:r>
    </w:p>
    <w:p w14:paraId="5640B3EA" w14:textId="486AD31F" w:rsidR="00F71198" w:rsidRPr="005C3EC8" w:rsidRDefault="002B636D" w:rsidP="00F71198">
      <w:pPr>
        <w:spacing w:before="120"/>
        <w:rPr>
          <w:rFonts w:ascii="Calibri" w:hAnsi="Calibri"/>
        </w:rPr>
      </w:pPr>
      <w:r w:rsidRPr="005C3EC8">
        <w:rPr>
          <w:rFonts w:ascii="Calibri" w:hAnsi="Calibri"/>
        </w:rPr>
        <w:t>There appeared to be differences of opinion between different stakeholders consulted regarding the materiality threshold for selecting revenue streams for reconciliation. None of the industry representatives consulted appeared to be aware of the possibility of setting a quantitative materiality threshold for the selection of revenue streams for reconciliation, as distinct from a materiality threshold for selecting companies.</w:t>
      </w:r>
      <w:r w:rsidR="000B4607" w:rsidRPr="005C3EC8">
        <w:rPr>
          <w:rFonts w:ascii="Calibri" w:hAnsi="Calibri"/>
        </w:rPr>
        <w:t xml:space="preserve"> </w:t>
      </w:r>
      <w:r w:rsidRPr="005C3EC8">
        <w:rPr>
          <w:rFonts w:ascii="Calibri" w:hAnsi="Calibri"/>
        </w:rPr>
        <w:t xml:space="preserve">The IA confirmed that material companies were required to report payments that were more than GBP 86,000 </w:t>
      </w:r>
      <w:r w:rsidR="000B4607" w:rsidRPr="005C3EC8">
        <w:rPr>
          <w:rFonts w:ascii="Calibri" w:hAnsi="Calibri"/>
        </w:rPr>
        <w:t xml:space="preserve">in aggregate payments </w:t>
      </w:r>
      <w:r w:rsidRPr="005C3EC8">
        <w:rPr>
          <w:rFonts w:ascii="Calibri" w:hAnsi="Calibri"/>
        </w:rPr>
        <w:t xml:space="preserve">per revenue stream. </w:t>
      </w:r>
      <w:r w:rsidR="00ED0780" w:rsidRPr="005C3EC8">
        <w:rPr>
          <w:rFonts w:ascii="Calibri" w:hAnsi="Calibri"/>
        </w:rPr>
        <w:t xml:space="preserve">A government official highlighted the challenge of selecting material revenue streams on the basis of their share of government revenues, given that taxes such as PRT registered negative net income to the government in 2016. The official noted risks of defining a quantitative materiality threshold for selecting revenue streams, which could run the risk of excluding revenues like PRT that the MSG agreed should be within the scope of reconciliation. The IA </w:t>
      </w:r>
      <w:r w:rsidRPr="005C3EC8">
        <w:rPr>
          <w:rFonts w:ascii="Calibri" w:hAnsi="Calibri"/>
        </w:rPr>
        <w:t xml:space="preserve">confirmed that material companies were asked to report “any other significant payment” in addition to the material revenue streams in scope. </w:t>
      </w:r>
      <w:r w:rsidR="0017173A" w:rsidRPr="005C3EC8">
        <w:rPr>
          <w:rFonts w:ascii="Calibri" w:hAnsi="Calibri"/>
        </w:rPr>
        <w:t xml:space="preserve">A MSG member explained that the MSG had agreed to include payments to TCE in the scope of reconciliation </w:t>
      </w:r>
      <w:r w:rsidR="000B4607" w:rsidRPr="005C3EC8">
        <w:rPr>
          <w:rFonts w:ascii="Calibri" w:hAnsi="Calibri"/>
        </w:rPr>
        <w:t xml:space="preserve">in the second EITI Report </w:t>
      </w:r>
      <w:r w:rsidR="0017173A" w:rsidRPr="005C3EC8">
        <w:rPr>
          <w:rFonts w:ascii="Calibri" w:hAnsi="Calibri"/>
        </w:rPr>
        <w:t>given the introd</w:t>
      </w:r>
      <w:r w:rsidR="000B4607" w:rsidRPr="005C3EC8">
        <w:rPr>
          <w:rFonts w:ascii="Calibri" w:hAnsi="Calibri"/>
        </w:rPr>
        <w:t xml:space="preserve">uction of the similar OGA levy. </w:t>
      </w:r>
      <w:r w:rsidR="0017173A" w:rsidRPr="005C3EC8">
        <w:rPr>
          <w:rFonts w:ascii="Calibri" w:hAnsi="Calibri"/>
        </w:rPr>
        <w:t xml:space="preserve">Several industry representatives expressed dissatisfaction at the exclusion of the “aggregates levy” from the scope of reconciliation, although they confirmed that the MSG had agreed to exclude it in preparing the first EITI Report (covering 2014). While this decision had been taken on the basis that the aggregates levy was considered an indirect payment from companies, they considered that its exclusion led to the under-estimation of the aggregates sector’s contribution to the economy. </w:t>
      </w:r>
      <w:r w:rsidR="000D5FE1" w:rsidRPr="005C3EC8">
        <w:rPr>
          <w:rFonts w:ascii="Calibri" w:hAnsi="Calibri"/>
        </w:rPr>
        <w:t>A</w:t>
      </w:r>
      <w:r w:rsidR="00F71198" w:rsidRPr="005C3EC8">
        <w:rPr>
          <w:rFonts w:ascii="Calibri" w:hAnsi="Calibri"/>
        </w:rPr>
        <w:t xml:space="preserve"> government official explained that the MSG had agreed </w:t>
      </w:r>
      <w:r w:rsidR="000D5FE1" w:rsidRPr="005C3EC8">
        <w:rPr>
          <w:rFonts w:ascii="Calibri" w:hAnsi="Calibri"/>
        </w:rPr>
        <w:t>that the ‘aggregates levy’</w:t>
      </w:r>
      <w:r w:rsidR="00F71198" w:rsidRPr="005C3EC8">
        <w:rPr>
          <w:rFonts w:ascii="Calibri" w:hAnsi="Calibri"/>
        </w:rPr>
        <w:t xml:space="preserve"> was an indirect transactional tax on sales of aggregates, rather than a form of tax on extraction</w:t>
      </w:r>
      <w:r w:rsidR="00494C96" w:rsidRPr="005C3EC8">
        <w:rPr>
          <w:rFonts w:ascii="Calibri" w:hAnsi="Calibri"/>
        </w:rPr>
        <w:t xml:space="preserve"> or profits</w:t>
      </w:r>
      <w:r w:rsidR="00F71198" w:rsidRPr="005C3EC8">
        <w:rPr>
          <w:rFonts w:ascii="Calibri" w:hAnsi="Calibri"/>
        </w:rPr>
        <w:t>.</w:t>
      </w:r>
      <w:r w:rsidR="007F3C10" w:rsidRPr="005C3EC8">
        <w:rPr>
          <w:rFonts w:ascii="Calibri" w:hAnsi="Calibri"/>
        </w:rPr>
        <w:t xml:space="preserve"> Nonetheless, there was consensus among all stakeholders consulted that the </w:t>
      </w:r>
      <w:r w:rsidR="006F74CF" w:rsidRPr="005C3EC8">
        <w:rPr>
          <w:rFonts w:ascii="Calibri" w:hAnsi="Calibri"/>
        </w:rPr>
        <w:t>2016 reconciliation covered all payments and revenues whose omission or misstatement could significantly affect the comprehensiveness of the EITI Report.</w:t>
      </w:r>
    </w:p>
    <w:p w14:paraId="16899C05" w14:textId="03766DAA" w:rsidR="0017173A" w:rsidRPr="005C3EC8" w:rsidRDefault="0017173A" w:rsidP="0017173A">
      <w:pPr>
        <w:spacing w:before="120"/>
        <w:rPr>
          <w:rFonts w:ascii="Calibri" w:hAnsi="Calibri"/>
        </w:rPr>
      </w:pPr>
      <w:r w:rsidRPr="005C3EC8">
        <w:rPr>
          <w:rFonts w:ascii="Calibri" w:hAnsi="Calibri"/>
          <w:i/>
          <w:u w:val="single"/>
        </w:rPr>
        <w:t>Omissions</w:t>
      </w:r>
      <w:r w:rsidRPr="005C3EC8">
        <w:rPr>
          <w:rFonts w:ascii="Calibri" w:hAnsi="Calibri"/>
          <w:i/>
        </w:rPr>
        <w:t>:</w:t>
      </w:r>
      <w:r w:rsidR="00731A39" w:rsidRPr="005C3EC8">
        <w:rPr>
          <w:rFonts w:ascii="Calibri" w:hAnsi="Calibri"/>
          <w:i/>
        </w:rPr>
        <w:t xml:space="preserve"> </w:t>
      </w:r>
      <w:r w:rsidR="00E565E8" w:rsidRPr="005C3EC8">
        <w:rPr>
          <w:rFonts w:ascii="Calibri" w:hAnsi="Calibri"/>
        </w:rPr>
        <w:t xml:space="preserve">Several </w:t>
      </w:r>
      <w:r w:rsidRPr="005C3EC8">
        <w:rPr>
          <w:rFonts w:ascii="Calibri" w:hAnsi="Calibri"/>
        </w:rPr>
        <w:t xml:space="preserve">government </w:t>
      </w:r>
      <w:r w:rsidR="00E565E8" w:rsidRPr="005C3EC8">
        <w:rPr>
          <w:rFonts w:ascii="Calibri" w:hAnsi="Calibri"/>
        </w:rPr>
        <w:t>representatives consulted</w:t>
      </w:r>
      <w:r w:rsidRPr="005C3EC8">
        <w:rPr>
          <w:rFonts w:ascii="Calibri" w:hAnsi="Calibri"/>
        </w:rPr>
        <w:t xml:space="preserve"> noted that while participation from oil and gas companies had been </w:t>
      </w:r>
      <w:r w:rsidR="00E565E8" w:rsidRPr="005C3EC8">
        <w:rPr>
          <w:rFonts w:ascii="Calibri" w:hAnsi="Calibri"/>
        </w:rPr>
        <w:t>consistently</w:t>
      </w:r>
      <w:r w:rsidRPr="005C3EC8">
        <w:rPr>
          <w:rFonts w:ascii="Calibri" w:hAnsi="Calibri"/>
        </w:rPr>
        <w:t xml:space="preserve"> high, </w:t>
      </w:r>
      <w:r w:rsidR="00987C0E" w:rsidRPr="005C3EC8">
        <w:rPr>
          <w:rFonts w:ascii="Calibri" w:hAnsi="Calibri"/>
        </w:rPr>
        <w:t xml:space="preserve">engagement tended to be </w:t>
      </w:r>
      <w:r w:rsidRPr="005C3EC8">
        <w:rPr>
          <w:rFonts w:ascii="Calibri" w:hAnsi="Calibri"/>
        </w:rPr>
        <w:t xml:space="preserve">weaker from larger companies with only marginal operations in </w:t>
      </w:r>
      <w:r w:rsidR="0040320F" w:rsidRPr="005C3EC8">
        <w:rPr>
          <w:rFonts w:ascii="Calibri" w:hAnsi="Calibri"/>
        </w:rPr>
        <w:t xml:space="preserve">mining and </w:t>
      </w:r>
      <w:r w:rsidRPr="005C3EC8">
        <w:rPr>
          <w:rFonts w:ascii="Calibri" w:hAnsi="Calibri"/>
        </w:rPr>
        <w:t xml:space="preserve">quarrying but that still made </w:t>
      </w:r>
      <w:r w:rsidR="0040320F" w:rsidRPr="005C3EC8">
        <w:rPr>
          <w:rFonts w:ascii="Calibri" w:hAnsi="Calibri"/>
        </w:rPr>
        <w:t>material payments to government.</w:t>
      </w:r>
      <w:r w:rsidRPr="005C3EC8">
        <w:rPr>
          <w:rFonts w:ascii="Calibri" w:hAnsi="Calibri"/>
        </w:rPr>
        <w:t xml:space="preserve"> </w:t>
      </w:r>
      <w:r w:rsidR="0040320F" w:rsidRPr="005C3EC8">
        <w:rPr>
          <w:rFonts w:ascii="Calibri" w:hAnsi="Calibri"/>
        </w:rPr>
        <w:t>It was noted</w:t>
      </w:r>
      <w:r w:rsidRPr="005C3EC8">
        <w:rPr>
          <w:rFonts w:ascii="Calibri" w:hAnsi="Calibri"/>
        </w:rPr>
        <w:t xml:space="preserve"> </w:t>
      </w:r>
      <w:r w:rsidR="0040320F" w:rsidRPr="005C3EC8">
        <w:rPr>
          <w:rFonts w:ascii="Calibri" w:hAnsi="Calibri"/>
        </w:rPr>
        <w:t xml:space="preserve">that a </w:t>
      </w:r>
      <w:r w:rsidRPr="005C3EC8">
        <w:rPr>
          <w:rFonts w:ascii="Calibri" w:hAnsi="Calibri"/>
        </w:rPr>
        <w:t xml:space="preserve">few </w:t>
      </w:r>
      <w:r w:rsidR="0040320F" w:rsidRPr="005C3EC8">
        <w:rPr>
          <w:rFonts w:ascii="Calibri" w:hAnsi="Calibri"/>
        </w:rPr>
        <w:t xml:space="preserve">companies were </w:t>
      </w:r>
      <w:r w:rsidRPr="005C3EC8">
        <w:rPr>
          <w:rFonts w:ascii="Calibri" w:hAnsi="Calibri"/>
        </w:rPr>
        <w:t>persistent non-participants</w:t>
      </w:r>
      <w:r w:rsidR="0040320F" w:rsidRPr="005C3EC8">
        <w:rPr>
          <w:rFonts w:ascii="Calibri" w:hAnsi="Calibri"/>
        </w:rPr>
        <w:t xml:space="preserve"> in EITI reporting</w:t>
      </w:r>
      <w:r w:rsidRPr="005C3EC8">
        <w:rPr>
          <w:rFonts w:ascii="Calibri" w:hAnsi="Calibri"/>
        </w:rPr>
        <w:t>.</w:t>
      </w:r>
      <w:r w:rsidR="00731A39" w:rsidRPr="005C3EC8">
        <w:rPr>
          <w:rFonts w:ascii="Calibri" w:hAnsi="Calibri"/>
        </w:rPr>
        <w:t xml:space="preserve"> </w:t>
      </w:r>
      <w:r w:rsidRPr="005C3EC8">
        <w:rPr>
          <w:rFonts w:ascii="Calibri" w:hAnsi="Calibri"/>
        </w:rPr>
        <w:t xml:space="preserve">One MSG member noted the </w:t>
      </w:r>
      <w:r w:rsidR="005632D7" w:rsidRPr="005C3EC8">
        <w:rPr>
          <w:rFonts w:ascii="Calibri" w:hAnsi="Calibri"/>
        </w:rPr>
        <w:t xml:space="preserve">infrequent attendance </w:t>
      </w:r>
      <w:r w:rsidRPr="005C3EC8">
        <w:rPr>
          <w:rFonts w:ascii="Calibri" w:hAnsi="Calibri"/>
        </w:rPr>
        <w:t xml:space="preserve">of TCE </w:t>
      </w:r>
      <w:r w:rsidR="005632D7" w:rsidRPr="005C3EC8">
        <w:rPr>
          <w:rFonts w:ascii="Calibri" w:hAnsi="Calibri"/>
        </w:rPr>
        <w:t xml:space="preserve">at </w:t>
      </w:r>
      <w:r w:rsidRPr="005C3EC8">
        <w:rPr>
          <w:rFonts w:ascii="Calibri" w:hAnsi="Calibri"/>
        </w:rPr>
        <w:t>MSG meetings</w:t>
      </w:r>
      <w:r w:rsidR="00AD5D7D" w:rsidRPr="005C3EC8">
        <w:rPr>
          <w:rFonts w:ascii="Calibri" w:hAnsi="Calibri"/>
        </w:rPr>
        <w:t>, even if TCE did not hold an</w:t>
      </w:r>
      <w:r w:rsidR="00EE26A4" w:rsidRPr="005C3EC8">
        <w:rPr>
          <w:rFonts w:ascii="Calibri" w:hAnsi="Calibri"/>
        </w:rPr>
        <w:t xml:space="preserve"> MSG </w:t>
      </w:r>
      <w:r w:rsidR="00AD5D7D" w:rsidRPr="005C3EC8">
        <w:rPr>
          <w:rFonts w:ascii="Calibri" w:hAnsi="Calibri"/>
        </w:rPr>
        <w:t>seat</w:t>
      </w:r>
      <w:r w:rsidRPr="005C3EC8">
        <w:rPr>
          <w:rFonts w:ascii="Calibri" w:hAnsi="Calibri"/>
        </w:rPr>
        <w:t xml:space="preserve">, with inconsistencies in the individuals representing the entity and weaknesses in </w:t>
      </w:r>
      <w:r w:rsidR="00AD5D7D" w:rsidRPr="005C3EC8">
        <w:rPr>
          <w:rFonts w:ascii="Calibri" w:hAnsi="Calibri"/>
        </w:rPr>
        <w:t xml:space="preserve">its </w:t>
      </w:r>
      <w:r w:rsidRPr="005C3EC8">
        <w:rPr>
          <w:rFonts w:ascii="Calibri" w:hAnsi="Calibri"/>
        </w:rPr>
        <w:t xml:space="preserve">reporting. It was noted that while TCE had reported revenues from ‘out-of-scope’ companies in the 2015 EITI Report, it had reported no such revenues in its full unilateral disclosure in the 2016 EITI Report, which was potentially linked to the frequent rotation of TCE attendees at MSG meetings. </w:t>
      </w:r>
      <w:r w:rsidR="00731A39" w:rsidRPr="005C3EC8">
        <w:rPr>
          <w:rFonts w:ascii="Calibri" w:hAnsi="Calibri"/>
        </w:rPr>
        <w:t>With regards to the non-identification of non-reporting companies and their individual payments to government, the IA explained that the MSG had directed it not to “name and shame” non-reporting companies and thus not to disclose their names in the 2016 EITI Report.</w:t>
      </w:r>
      <w:r w:rsidR="00361088" w:rsidRPr="005C3EC8">
        <w:rPr>
          <w:rFonts w:ascii="Calibri" w:hAnsi="Calibri"/>
          <w:i/>
        </w:rPr>
        <w:t xml:space="preserve"> </w:t>
      </w:r>
      <w:r w:rsidR="00876EC4" w:rsidRPr="005C3EC8">
        <w:rPr>
          <w:rFonts w:ascii="Calibri" w:hAnsi="Calibri"/>
        </w:rPr>
        <w:t xml:space="preserve">A government official confirmed that HMRC disclosed the names of all material companies to the IA. However, due to reputational concerns, HMRC had only decided to disclose these </w:t>
      </w:r>
      <w:r w:rsidR="00876EC4" w:rsidRPr="005C3EC8">
        <w:rPr>
          <w:rFonts w:ascii="Calibri" w:hAnsi="Calibri"/>
        </w:rPr>
        <w:lastRenderedPageBreak/>
        <w:t xml:space="preserve">names </w:t>
      </w:r>
      <w:r w:rsidR="00361088" w:rsidRPr="005C3EC8">
        <w:rPr>
          <w:rFonts w:ascii="Calibri" w:hAnsi="Calibri"/>
        </w:rPr>
        <w:t xml:space="preserve">to the IA </w:t>
      </w:r>
      <w:r w:rsidR="00876EC4" w:rsidRPr="005C3EC8">
        <w:rPr>
          <w:rFonts w:ascii="Calibri" w:hAnsi="Calibri"/>
        </w:rPr>
        <w:t xml:space="preserve">on the condition that </w:t>
      </w:r>
      <w:r w:rsidR="00361088" w:rsidRPr="005C3EC8">
        <w:rPr>
          <w:rFonts w:ascii="Calibri" w:hAnsi="Calibri"/>
        </w:rPr>
        <w:t xml:space="preserve">companies’ </w:t>
      </w:r>
      <w:r w:rsidR="00876EC4" w:rsidRPr="005C3EC8">
        <w:rPr>
          <w:rFonts w:ascii="Calibri" w:hAnsi="Calibri"/>
        </w:rPr>
        <w:t>names would only be disclosed in the EITI Report if and when they submitted confidentiality waivers to HMRC. He noted that HMRC would have to reassess the practice if the MSG decided to include the names of non-reporting companies in the final EITI Report.</w:t>
      </w:r>
    </w:p>
    <w:p w14:paraId="23D214E8" w14:textId="41DFBDB4" w:rsidR="00571881" w:rsidRPr="005C3EC8" w:rsidRDefault="00571881" w:rsidP="0017173A">
      <w:pPr>
        <w:spacing w:before="120"/>
        <w:rPr>
          <w:rFonts w:ascii="Calibri" w:hAnsi="Calibri"/>
        </w:rPr>
      </w:pPr>
      <w:r w:rsidRPr="005C3EC8">
        <w:rPr>
          <w:rFonts w:ascii="Calibri" w:hAnsi="Calibri"/>
          <w:i/>
          <w:u w:val="single"/>
        </w:rPr>
        <w:t>Confidentiality waivers</w:t>
      </w:r>
      <w:r w:rsidRPr="005C3EC8">
        <w:rPr>
          <w:rFonts w:ascii="Calibri" w:hAnsi="Calibri"/>
        </w:rPr>
        <w:t xml:space="preserve">: A government official considered that the system of confidentiality waivers for EITI purposes was working effectively. While all oil and gas companies had submitted an open-ended waiver ahead of the 2016 EITI Report, the official noted that some mining and quarrying companies had not yet submitted waivers, hindering the government’s ability to disclose tax information for these companies. The IA confirmed that all but one material companies in the 2016 EITI Report had signed taxpayer confidentiality waivers to allow HMRC to disclose their tax payments. A government official noted that the wording of the confidentiality waivers specifically waived confidentiality provisions for the purposes of HMRC’s disclosures to the IA, rather than broader provisions enabling HMRC to disclose </w:t>
      </w:r>
      <w:r w:rsidR="00526020" w:rsidRPr="005C3EC8">
        <w:rPr>
          <w:rFonts w:ascii="Calibri" w:hAnsi="Calibri"/>
        </w:rPr>
        <w:t xml:space="preserve">the waiver’s </w:t>
      </w:r>
      <w:r w:rsidRPr="005C3EC8">
        <w:rPr>
          <w:rFonts w:ascii="Calibri" w:hAnsi="Calibri"/>
        </w:rPr>
        <w:t>tax information publicly.</w:t>
      </w:r>
    </w:p>
    <w:p w14:paraId="38332D9B" w14:textId="39F11013" w:rsidR="0017173A" w:rsidRPr="005C3EC8" w:rsidRDefault="0017173A" w:rsidP="0017173A">
      <w:pPr>
        <w:spacing w:before="120"/>
        <w:rPr>
          <w:rFonts w:ascii="Calibri" w:hAnsi="Calibri"/>
        </w:rPr>
      </w:pPr>
      <w:r w:rsidRPr="005C3EC8">
        <w:rPr>
          <w:rFonts w:ascii="Calibri" w:hAnsi="Calibri"/>
          <w:i/>
          <w:u w:val="single"/>
        </w:rPr>
        <w:t>Discrepancies</w:t>
      </w:r>
      <w:r w:rsidRPr="005C3EC8">
        <w:rPr>
          <w:rFonts w:ascii="Calibri" w:hAnsi="Calibri"/>
        </w:rPr>
        <w:t>:</w:t>
      </w:r>
      <w:r w:rsidR="00361088" w:rsidRPr="005C3EC8">
        <w:rPr>
          <w:rFonts w:ascii="Calibri" w:hAnsi="Calibri"/>
        </w:rPr>
        <w:t xml:space="preserve"> </w:t>
      </w:r>
      <w:r w:rsidR="00526020" w:rsidRPr="005C3EC8">
        <w:rPr>
          <w:rFonts w:ascii="Calibri" w:hAnsi="Calibri"/>
        </w:rPr>
        <w:t xml:space="preserve">The IA </w:t>
      </w:r>
      <w:r w:rsidR="00656AB1" w:rsidRPr="005C3EC8">
        <w:rPr>
          <w:rFonts w:ascii="Calibri" w:hAnsi="Calibri"/>
        </w:rPr>
        <w:t xml:space="preserve">and several government officials </w:t>
      </w:r>
      <w:r w:rsidR="00526020" w:rsidRPr="005C3EC8">
        <w:rPr>
          <w:rFonts w:ascii="Calibri" w:hAnsi="Calibri"/>
        </w:rPr>
        <w:t xml:space="preserve">explained that initial discrepancies pre-reconciliation in </w:t>
      </w:r>
      <w:r w:rsidR="00656AB1" w:rsidRPr="005C3EC8">
        <w:rPr>
          <w:rFonts w:ascii="Calibri" w:hAnsi="Calibri"/>
        </w:rPr>
        <w:t>tax payments</w:t>
      </w:r>
      <w:r w:rsidR="00526020" w:rsidRPr="005C3EC8">
        <w:rPr>
          <w:rFonts w:ascii="Calibri" w:hAnsi="Calibri"/>
        </w:rPr>
        <w:t xml:space="preserve"> data were always significant, but were largely resolved during adjustments. While the MSG had adopted a threshold of GBP 10,000 or 1% of each revenue stream per company for investigating discrepancies, the IA explained that reporting companies were always eager to resolve all discrepancies regardless of their materiality. </w:t>
      </w:r>
      <w:r w:rsidR="00656AB1" w:rsidRPr="005C3EC8">
        <w:rPr>
          <w:rFonts w:ascii="Calibri" w:hAnsi="Calibri"/>
        </w:rPr>
        <w:t>Several stakeholders consulted highlighted errors in reporting 2016 payments and revenues. A government representative noted that the OGA had omitted by oversight one license fee payment of GBP 0.5m for 2016, although this had not been identified during reconciliation. The representative had subsequently realised the oversight and the MSG intended to publish the additional data point. A CSN representative noted that BHP Billiton had reported its full Corporation Tax payments rather than only the RFCT and SC payments in the 2016 EITI Report, without adequate notes in the report explaining this error.</w:t>
      </w:r>
    </w:p>
    <w:p w14:paraId="487431B5" w14:textId="0199192F" w:rsidR="0017173A" w:rsidRPr="005C3EC8" w:rsidRDefault="00656AB1" w:rsidP="00533AAF">
      <w:pPr>
        <w:spacing w:before="120"/>
        <w:rPr>
          <w:rFonts w:ascii="Calibri" w:hAnsi="Calibri"/>
        </w:rPr>
      </w:pPr>
      <w:r w:rsidRPr="005C3EC8">
        <w:rPr>
          <w:rFonts w:ascii="Calibri" w:hAnsi="Calibri"/>
        </w:rPr>
        <w:t xml:space="preserve">There was considerable discussion about the complementarities and differences between EITI reporting and companies’ mandatory payments to governments reports. </w:t>
      </w:r>
      <w:r w:rsidR="0017173A" w:rsidRPr="005C3EC8">
        <w:rPr>
          <w:rFonts w:ascii="Calibri" w:hAnsi="Calibri"/>
        </w:rPr>
        <w:t xml:space="preserve">Several government officials </w:t>
      </w:r>
      <w:r w:rsidRPr="005C3EC8">
        <w:rPr>
          <w:rFonts w:ascii="Calibri" w:hAnsi="Calibri"/>
        </w:rPr>
        <w:t xml:space="preserve">and CSN representatives </w:t>
      </w:r>
      <w:r w:rsidR="0017173A" w:rsidRPr="005C3EC8">
        <w:rPr>
          <w:rFonts w:ascii="Calibri" w:hAnsi="Calibri"/>
        </w:rPr>
        <w:t xml:space="preserve">highlighted </w:t>
      </w:r>
      <w:r w:rsidRPr="005C3EC8">
        <w:rPr>
          <w:rFonts w:ascii="Calibri" w:hAnsi="Calibri"/>
        </w:rPr>
        <w:t>a September 2018</w:t>
      </w:r>
      <w:r w:rsidR="0017173A" w:rsidRPr="005C3EC8">
        <w:rPr>
          <w:rFonts w:ascii="Calibri" w:hAnsi="Calibri"/>
        </w:rPr>
        <w:t xml:space="preserve"> study by PWYP</w:t>
      </w:r>
      <w:r w:rsidRPr="005C3EC8">
        <w:rPr>
          <w:rStyle w:val="FootnoteReference"/>
          <w:rFonts w:ascii="Calibri" w:hAnsi="Calibri"/>
        </w:rPr>
        <w:footnoteReference w:id="286"/>
      </w:r>
      <w:r w:rsidR="0017173A" w:rsidRPr="005C3EC8">
        <w:rPr>
          <w:rFonts w:ascii="Calibri" w:hAnsi="Calibri"/>
        </w:rPr>
        <w:t xml:space="preserve"> comparing EITI data with mandatory reporting data, noting that it indicated discrepancies between the two</w:t>
      </w:r>
      <w:r w:rsidRPr="005C3EC8">
        <w:rPr>
          <w:rFonts w:ascii="Calibri" w:hAnsi="Calibri"/>
        </w:rPr>
        <w:t xml:space="preserve"> that could be explained through consultations with companies</w:t>
      </w:r>
      <w:r w:rsidR="0017173A" w:rsidRPr="005C3EC8">
        <w:rPr>
          <w:rFonts w:ascii="Calibri" w:hAnsi="Calibri"/>
        </w:rPr>
        <w:t xml:space="preserve">. Several industry representatives highlighted differences in reporting parameters between EITI reporting and payments to government reports, which caused discrepancies in payments reported through the two channels. </w:t>
      </w:r>
    </w:p>
    <w:p w14:paraId="75B3D44B" w14:textId="22A6A47D" w:rsidR="00597FC5" w:rsidRPr="005C3EC8" w:rsidRDefault="00533AAF">
      <w:pPr>
        <w:pStyle w:val="Heading3"/>
      </w:pPr>
      <w:bookmarkStart w:id="236" w:name="_Toc459133140"/>
      <w:bookmarkStart w:id="237" w:name="_Toc461803090"/>
      <w:r w:rsidRPr="005C3EC8">
        <w:t>Initial assessment</w:t>
      </w:r>
      <w:bookmarkEnd w:id="236"/>
      <w:bookmarkEnd w:id="237"/>
    </w:p>
    <w:p w14:paraId="4E08D5C2" w14:textId="13D8351E" w:rsidR="00B974BC" w:rsidRPr="005C3EC8" w:rsidRDefault="00533AAF" w:rsidP="00533AAF">
      <w:pPr>
        <w:spacing w:before="120"/>
        <w:rPr>
          <w:rFonts w:ascii="Calibri" w:hAnsi="Calibri"/>
        </w:rPr>
      </w:pPr>
      <w:r w:rsidRPr="005C3EC8">
        <w:rPr>
          <w:rFonts w:ascii="Calibri" w:hAnsi="Calibri"/>
        </w:rPr>
        <w:t xml:space="preserve">The International Secretariat’s assessment is that </w:t>
      </w:r>
      <w:r w:rsidR="00DE14DA" w:rsidRPr="005C3EC8">
        <w:rPr>
          <w:rFonts w:ascii="Calibri" w:hAnsi="Calibri"/>
          <w:bCs/>
        </w:rPr>
        <w:t>the UK</w:t>
      </w:r>
      <w:r w:rsidR="00DE14DA" w:rsidRPr="005C3EC8">
        <w:rPr>
          <w:rFonts w:ascii="Calibri" w:hAnsi="Calibri"/>
        </w:rPr>
        <w:t xml:space="preserve"> </w:t>
      </w:r>
      <w:r w:rsidRPr="005C3EC8">
        <w:rPr>
          <w:rFonts w:ascii="Calibri" w:hAnsi="Calibri"/>
        </w:rPr>
        <w:t xml:space="preserve">has made </w:t>
      </w:r>
      <w:r w:rsidR="00D17CB2" w:rsidRPr="00EC0B9E">
        <w:rPr>
          <w:rFonts w:ascii="Calibri" w:hAnsi="Calibri"/>
          <w:b/>
        </w:rPr>
        <w:t>satisfactory</w:t>
      </w:r>
      <w:r w:rsidR="00C8623E" w:rsidRPr="00EC0B9E">
        <w:rPr>
          <w:rFonts w:ascii="Calibri" w:hAnsi="Calibri"/>
          <w:b/>
        </w:rPr>
        <w:t xml:space="preserve"> </w:t>
      </w:r>
      <w:r w:rsidRPr="00EC0B9E">
        <w:rPr>
          <w:rFonts w:ascii="Calibri" w:hAnsi="Calibri"/>
          <w:b/>
        </w:rPr>
        <w:t>progress</w:t>
      </w:r>
      <w:r w:rsidRPr="005C3EC8">
        <w:rPr>
          <w:rFonts w:ascii="Calibri" w:hAnsi="Calibri"/>
        </w:rPr>
        <w:t xml:space="preserve"> towards meeting this requirement. </w:t>
      </w:r>
      <w:r w:rsidR="00B974BC" w:rsidRPr="005C3EC8">
        <w:rPr>
          <w:rFonts w:ascii="Calibri" w:hAnsi="Calibri"/>
        </w:rPr>
        <w:t xml:space="preserve">The 2016 EITI Report includes a definition of the </w:t>
      </w:r>
      <w:r w:rsidR="00291F2D" w:rsidRPr="005C3EC8">
        <w:rPr>
          <w:rFonts w:ascii="Calibri" w:hAnsi="Calibri"/>
        </w:rPr>
        <w:t>quantitative materiality threshold</w:t>
      </w:r>
      <w:r w:rsidR="00B974BC" w:rsidRPr="005C3EC8">
        <w:rPr>
          <w:rFonts w:ascii="Calibri" w:hAnsi="Calibri"/>
        </w:rPr>
        <w:t xml:space="preserve"> for </w:t>
      </w:r>
      <w:r w:rsidR="00291F2D" w:rsidRPr="005C3EC8">
        <w:rPr>
          <w:rFonts w:ascii="Calibri" w:hAnsi="Calibri"/>
        </w:rPr>
        <w:t xml:space="preserve">selecting </w:t>
      </w:r>
      <w:r w:rsidR="00B974BC" w:rsidRPr="005C3EC8">
        <w:rPr>
          <w:rFonts w:ascii="Calibri" w:hAnsi="Calibri"/>
        </w:rPr>
        <w:t xml:space="preserve">companies to be included in reconciliation, with the justification for thresholds documented in MSG meeting minutes. </w:t>
      </w:r>
      <w:r w:rsidR="00291F2D" w:rsidRPr="005C3EC8">
        <w:rPr>
          <w:rFonts w:ascii="Calibri" w:hAnsi="Calibri"/>
        </w:rPr>
        <w:t>While the report did not define a quantitative materiality threshold for selecting revenue streams for reconciliation, there was consensus among all stakeholders that all payments and revenues whose omission or misstatement could significantly affect the comprehensiveness of the EITI Report had been reconciled.</w:t>
      </w:r>
      <w:r w:rsidR="00E3544B" w:rsidRPr="005C3EC8">
        <w:rPr>
          <w:rFonts w:ascii="Calibri" w:hAnsi="Calibri"/>
        </w:rPr>
        <w:t xml:space="preserve"> </w:t>
      </w:r>
      <w:r w:rsidR="00B974BC" w:rsidRPr="005C3EC8">
        <w:rPr>
          <w:rFonts w:ascii="Calibri" w:hAnsi="Calibri"/>
        </w:rPr>
        <w:t xml:space="preserve">The MSG </w:t>
      </w:r>
      <w:r w:rsidR="00E3544B" w:rsidRPr="005C3EC8">
        <w:rPr>
          <w:rFonts w:ascii="Calibri" w:hAnsi="Calibri"/>
        </w:rPr>
        <w:t xml:space="preserve">approved </w:t>
      </w:r>
      <w:r w:rsidR="00B974BC" w:rsidRPr="005C3EC8">
        <w:rPr>
          <w:rFonts w:ascii="Calibri" w:hAnsi="Calibri"/>
        </w:rPr>
        <w:t xml:space="preserve">the materiality threshold for payments and for </w:t>
      </w:r>
      <w:r w:rsidR="00B974BC" w:rsidRPr="005C3EC8">
        <w:rPr>
          <w:rFonts w:ascii="Calibri" w:hAnsi="Calibri"/>
        </w:rPr>
        <w:lastRenderedPageBreak/>
        <w:t xml:space="preserve">companies. All but three material companies and all government entities reported comprehensively all material payments and revenues in the 2016 EITI Report and full unilateral government disclosures was provided. While the materiality of payments from the three non-reporting material mining and quarrying companies was not explicitly assessed </w:t>
      </w:r>
      <w:r w:rsidR="00E3544B" w:rsidRPr="005C3EC8">
        <w:rPr>
          <w:rFonts w:ascii="Calibri" w:hAnsi="Calibri"/>
        </w:rPr>
        <w:t xml:space="preserve">separately from payments from companies below the materiality threshold </w:t>
      </w:r>
      <w:r w:rsidR="00B974BC" w:rsidRPr="005C3EC8">
        <w:rPr>
          <w:rFonts w:ascii="Calibri" w:hAnsi="Calibri"/>
        </w:rPr>
        <w:t xml:space="preserve">in the 2016 EITI Report, the IA’s </w:t>
      </w:r>
      <w:r w:rsidR="006545B3" w:rsidRPr="005C3EC8">
        <w:rPr>
          <w:rFonts w:ascii="Calibri" w:hAnsi="Calibri"/>
        </w:rPr>
        <w:t xml:space="preserve">assessment that the comprehensiveness of reconciled financial data was satisfactory supports the assessment that the broader objective of </w:t>
      </w:r>
      <w:r w:rsidR="006E7BFA" w:rsidRPr="005C3EC8">
        <w:rPr>
          <w:rFonts w:ascii="Calibri" w:hAnsi="Calibri"/>
        </w:rPr>
        <w:t xml:space="preserve">revenue transparency has been achieved. </w:t>
      </w:r>
    </w:p>
    <w:p w14:paraId="73D9BC93" w14:textId="6FC2F862" w:rsidR="006E7BFA" w:rsidRPr="005C3EC8" w:rsidRDefault="006E7BFA" w:rsidP="00533AAF">
      <w:pPr>
        <w:spacing w:before="120"/>
        <w:rPr>
          <w:rFonts w:ascii="Calibri" w:hAnsi="Calibri"/>
        </w:rPr>
      </w:pPr>
      <w:r w:rsidRPr="005C3EC8">
        <w:rPr>
          <w:rFonts w:ascii="Calibri" w:hAnsi="Calibri"/>
        </w:rPr>
        <w:t xml:space="preserve">To strengthen implementation, the UK is encouraged to ensure that the list of material companies in the scope of EITI reporting is clearly defined and that the IA’s assessment of the materiality of omissions is publicly documented to support its assessment of the comprehensiveness of annual EITI </w:t>
      </w:r>
      <w:r w:rsidR="00E3544B" w:rsidRPr="005C3EC8">
        <w:rPr>
          <w:rFonts w:ascii="Calibri" w:hAnsi="Calibri"/>
        </w:rPr>
        <w:t>reporting</w:t>
      </w:r>
      <w:r w:rsidRPr="005C3EC8">
        <w:rPr>
          <w:rFonts w:ascii="Calibri" w:hAnsi="Calibri"/>
        </w:rPr>
        <w:t xml:space="preserve">. </w:t>
      </w:r>
    </w:p>
    <w:p w14:paraId="4D154672" w14:textId="03F0B626" w:rsidR="000722F1" w:rsidRPr="005C3EC8" w:rsidRDefault="000722F1" w:rsidP="0097728B">
      <w:pPr>
        <w:pStyle w:val="Heading2"/>
      </w:pPr>
      <w:bookmarkStart w:id="238" w:name="_Toc459133141"/>
      <w:bookmarkStart w:id="239" w:name="_Toc461803091"/>
      <w:bookmarkStart w:id="240" w:name="_Toc461787342"/>
      <w:bookmarkStart w:id="241" w:name="_Toc461795854"/>
      <w:bookmarkStart w:id="242" w:name="_Toc462149191"/>
      <w:r w:rsidRPr="005C3EC8">
        <w:t>In-kind revenues (#4.</w:t>
      </w:r>
      <w:r w:rsidR="008D3D57" w:rsidRPr="005C3EC8">
        <w:t>2</w:t>
      </w:r>
      <w:r w:rsidRPr="005C3EC8">
        <w:t>)</w:t>
      </w:r>
      <w:bookmarkEnd w:id="238"/>
      <w:bookmarkEnd w:id="239"/>
      <w:bookmarkEnd w:id="240"/>
      <w:bookmarkEnd w:id="241"/>
      <w:bookmarkEnd w:id="242"/>
    </w:p>
    <w:p w14:paraId="02A06985" w14:textId="2B6A4388" w:rsidR="007236DF" w:rsidRPr="005C3EC8" w:rsidRDefault="00FB10EA" w:rsidP="0097728B">
      <w:pPr>
        <w:pStyle w:val="Heading3"/>
      </w:pPr>
      <w:r w:rsidRPr="005C3EC8">
        <w:t xml:space="preserve">Documentation of progress </w:t>
      </w:r>
    </w:p>
    <w:p w14:paraId="676F2126" w14:textId="5DDFF50D" w:rsidR="000A37CB" w:rsidRPr="005C3EC8" w:rsidRDefault="000A37CB" w:rsidP="000A37CB">
      <w:pPr>
        <w:spacing w:before="120"/>
        <w:rPr>
          <w:rFonts w:ascii="Calibri" w:hAnsi="Calibri"/>
        </w:rPr>
      </w:pPr>
      <w:r w:rsidRPr="005C3EC8">
        <w:rPr>
          <w:rFonts w:ascii="Calibri" w:hAnsi="Calibri"/>
          <w:b/>
          <w:i/>
        </w:rPr>
        <w:t>Systematic disclosures</w:t>
      </w:r>
      <w:r w:rsidRPr="005C3EC8">
        <w:rPr>
          <w:rFonts w:ascii="Calibri" w:hAnsi="Calibri"/>
          <w:i/>
        </w:rPr>
        <w:t xml:space="preserve">: </w:t>
      </w:r>
      <w:r w:rsidRPr="005C3EC8">
        <w:rPr>
          <w:rFonts w:ascii="Calibri" w:hAnsi="Calibri"/>
        </w:rPr>
        <w:t>Not applicable.</w:t>
      </w:r>
    </w:p>
    <w:p w14:paraId="0A76E208" w14:textId="2D57A6D7" w:rsidR="002B5765" w:rsidRPr="005C3EC8" w:rsidRDefault="000A37CB" w:rsidP="000A37CB">
      <w:pPr>
        <w:spacing w:before="120"/>
        <w:rPr>
          <w:rFonts w:ascii="Calibri" w:hAnsi="Calibri"/>
        </w:rPr>
      </w:pPr>
      <w:r w:rsidRPr="005C3EC8">
        <w:rPr>
          <w:rFonts w:ascii="Calibri" w:hAnsi="Calibri"/>
          <w:b/>
          <w:i/>
        </w:rPr>
        <w:t>2016 EITI Report</w:t>
      </w:r>
      <w:r w:rsidRPr="005C3EC8">
        <w:rPr>
          <w:rFonts w:ascii="Calibri" w:hAnsi="Calibri"/>
          <w:i/>
        </w:rPr>
        <w:t>:</w:t>
      </w:r>
      <w:r w:rsidRPr="005C3EC8">
        <w:rPr>
          <w:rFonts w:ascii="Calibri" w:hAnsi="Calibri"/>
        </w:rPr>
        <w:t xml:space="preserve"> </w:t>
      </w:r>
      <w:r w:rsidR="002B5765" w:rsidRPr="005C3EC8">
        <w:rPr>
          <w:rFonts w:ascii="Calibri" w:hAnsi="Calibri"/>
        </w:rPr>
        <w:t xml:space="preserve">The </w:t>
      </w:r>
      <w:r w:rsidR="00692457" w:rsidRPr="005C3EC8">
        <w:rPr>
          <w:rFonts w:ascii="Calibri" w:hAnsi="Calibri"/>
        </w:rPr>
        <w:t>2016 EITI R</w:t>
      </w:r>
      <w:r w:rsidR="002B5765" w:rsidRPr="005C3EC8">
        <w:rPr>
          <w:rFonts w:ascii="Calibri" w:hAnsi="Calibri"/>
        </w:rPr>
        <w:t xml:space="preserve">eport </w:t>
      </w:r>
      <w:r w:rsidR="00B923E1" w:rsidRPr="005C3EC8">
        <w:rPr>
          <w:rFonts w:ascii="Calibri" w:hAnsi="Calibri"/>
        </w:rPr>
        <w:t xml:space="preserve">confirms the lack of </w:t>
      </w:r>
      <w:r w:rsidR="002B5765" w:rsidRPr="005C3EC8">
        <w:rPr>
          <w:rFonts w:ascii="Calibri" w:hAnsi="Calibri"/>
        </w:rPr>
        <w:t>in-kind revenues in the UK extractives sector (p.71)</w:t>
      </w:r>
      <w:r w:rsidR="00B923E1" w:rsidRPr="005C3EC8">
        <w:rPr>
          <w:rFonts w:ascii="Calibri" w:hAnsi="Calibri"/>
        </w:rPr>
        <w:t>, albeit without providing a justification for this assessment</w:t>
      </w:r>
      <w:r w:rsidR="002B5765" w:rsidRPr="005C3EC8">
        <w:rPr>
          <w:rFonts w:ascii="Calibri" w:hAnsi="Calibri"/>
        </w:rPr>
        <w:t xml:space="preserve">. </w:t>
      </w:r>
    </w:p>
    <w:p w14:paraId="034FA96C" w14:textId="3B2A0974" w:rsidR="007236DF" w:rsidRPr="005C3EC8" w:rsidRDefault="00FB10EA">
      <w:pPr>
        <w:pStyle w:val="Heading3"/>
      </w:pPr>
      <w:r w:rsidRPr="005C3EC8">
        <w:t xml:space="preserve">Stakeholder views </w:t>
      </w:r>
    </w:p>
    <w:p w14:paraId="38F89C73" w14:textId="30E85301" w:rsidR="00FB10EA" w:rsidRPr="005C3EC8" w:rsidRDefault="00A14ED3" w:rsidP="00FB10EA">
      <w:pPr>
        <w:spacing w:before="120"/>
        <w:rPr>
          <w:rFonts w:ascii="Calibri" w:hAnsi="Calibri"/>
        </w:rPr>
      </w:pPr>
      <w:r w:rsidRPr="005C3EC8">
        <w:rPr>
          <w:rFonts w:ascii="Calibri" w:hAnsi="Calibri"/>
          <w:bCs/>
        </w:rPr>
        <w:t xml:space="preserve">There was consensus among stakeholders consulted who expressed a view on the issue that there were no in-kind revenues in either oil and gas or mining and quarrying in the UK context. </w:t>
      </w:r>
    </w:p>
    <w:p w14:paraId="5A7937B4" w14:textId="4EF628FE" w:rsidR="00FB10EA" w:rsidRPr="005C3EC8" w:rsidRDefault="00FB10EA">
      <w:pPr>
        <w:pStyle w:val="Heading3"/>
      </w:pPr>
      <w:bookmarkStart w:id="243" w:name="_Toc459133144"/>
      <w:bookmarkStart w:id="244" w:name="_Toc461803094"/>
      <w:r w:rsidRPr="005C3EC8">
        <w:t>Initial assessment</w:t>
      </w:r>
      <w:bookmarkEnd w:id="243"/>
      <w:bookmarkEnd w:id="244"/>
    </w:p>
    <w:p w14:paraId="05A74838" w14:textId="699EC966" w:rsidR="000A62BC" w:rsidRPr="005C3EC8" w:rsidRDefault="00FB10EA" w:rsidP="00B90F5B">
      <w:pPr>
        <w:spacing w:before="120"/>
        <w:rPr>
          <w:rFonts w:ascii="Calibri" w:hAnsi="Calibri"/>
        </w:rPr>
      </w:pPr>
      <w:r w:rsidRPr="005C3EC8">
        <w:rPr>
          <w:rFonts w:ascii="Calibri" w:hAnsi="Calibri"/>
        </w:rPr>
        <w:t>The International Secretariat’s initial assessment is that this requirement</w:t>
      </w:r>
      <w:r w:rsidR="00DE14DA" w:rsidRPr="005C3EC8">
        <w:rPr>
          <w:rFonts w:ascii="Calibri" w:hAnsi="Calibri"/>
        </w:rPr>
        <w:t xml:space="preserve"> was not applicable in the UK in 2016</w:t>
      </w:r>
      <w:r w:rsidR="00C8623E" w:rsidRPr="005C3EC8">
        <w:rPr>
          <w:rFonts w:ascii="Calibri" w:hAnsi="Calibri"/>
        </w:rPr>
        <w:t>.</w:t>
      </w:r>
      <w:r w:rsidRPr="005C3EC8">
        <w:rPr>
          <w:rFonts w:ascii="Calibri" w:hAnsi="Calibri"/>
        </w:rPr>
        <w:t xml:space="preserve"> </w:t>
      </w:r>
      <w:r w:rsidR="00DE14DA" w:rsidRPr="005C3EC8">
        <w:rPr>
          <w:rFonts w:ascii="Calibri" w:hAnsi="Calibri"/>
        </w:rPr>
        <w:t xml:space="preserve">While the 2016 EITI Report only states that </w:t>
      </w:r>
      <w:r w:rsidR="003C5FA2" w:rsidRPr="005C3EC8">
        <w:rPr>
          <w:rFonts w:ascii="Calibri" w:hAnsi="Calibri"/>
        </w:rPr>
        <w:t xml:space="preserve">there were no in-kind revenues in the UK extractives sector, there was consensus among stakeholders consulted that Requirement 4.2 was not applicable in the UK in 2016. </w:t>
      </w:r>
    </w:p>
    <w:p w14:paraId="3E87F482" w14:textId="77777777" w:rsidR="008D3D57" w:rsidRPr="005C3EC8" w:rsidRDefault="008D3D57" w:rsidP="0097728B">
      <w:pPr>
        <w:pStyle w:val="Heading2"/>
      </w:pPr>
      <w:bookmarkStart w:id="245" w:name="_Toc459133145"/>
      <w:bookmarkStart w:id="246" w:name="_Toc461803095"/>
      <w:bookmarkStart w:id="247" w:name="_Toc461787343"/>
      <w:bookmarkStart w:id="248" w:name="_Toc461795855"/>
      <w:bookmarkStart w:id="249" w:name="_Toc462149192"/>
      <w:bookmarkStart w:id="250" w:name="_Toc459133146"/>
      <w:r w:rsidRPr="005C3EC8">
        <w:t>Barter and infrastructure transactions (#4.3)</w:t>
      </w:r>
      <w:bookmarkEnd w:id="245"/>
      <w:bookmarkEnd w:id="246"/>
      <w:bookmarkEnd w:id="247"/>
      <w:bookmarkEnd w:id="248"/>
      <w:bookmarkEnd w:id="249"/>
    </w:p>
    <w:bookmarkEnd w:id="250"/>
    <w:p w14:paraId="394396FB" w14:textId="670793DE" w:rsidR="008A023B" w:rsidRPr="005C3EC8" w:rsidRDefault="009F0617" w:rsidP="0097728B">
      <w:pPr>
        <w:pStyle w:val="Heading3"/>
      </w:pPr>
      <w:r w:rsidRPr="005C3EC8">
        <w:t xml:space="preserve">Documentation of progress </w:t>
      </w:r>
    </w:p>
    <w:p w14:paraId="7E7685F3" w14:textId="76D3FF26" w:rsidR="000A37CB" w:rsidRPr="005C3EC8" w:rsidRDefault="000A37CB" w:rsidP="000A37CB">
      <w:pPr>
        <w:spacing w:before="120"/>
        <w:rPr>
          <w:rFonts w:ascii="Calibri" w:hAnsi="Calibri"/>
        </w:rPr>
      </w:pPr>
      <w:r w:rsidRPr="005C3EC8">
        <w:rPr>
          <w:rFonts w:ascii="Calibri" w:hAnsi="Calibri"/>
          <w:b/>
          <w:i/>
        </w:rPr>
        <w:t>Systematic disclosures</w:t>
      </w:r>
      <w:r w:rsidRPr="005C3EC8">
        <w:rPr>
          <w:rFonts w:ascii="Calibri" w:hAnsi="Calibri"/>
          <w:i/>
        </w:rPr>
        <w:t xml:space="preserve">: </w:t>
      </w:r>
      <w:r w:rsidRPr="005C3EC8">
        <w:rPr>
          <w:rFonts w:ascii="Calibri" w:hAnsi="Calibri"/>
        </w:rPr>
        <w:t>Not applicable.</w:t>
      </w:r>
    </w:p>
    <w:p w14:paraId="412C2326" w14:textId="23FDACCC" w:rsidR="00B923E1" w:rsidRPr="005C3EC8" w:rsidRDefault="000A37CB" w:rsidP="000A37CB">
      <w:pPr>
        <w:spacing w:before="120"/>
        <w:rPr>
          <w:rFonts w:ascii="Calibri" w:hAnsi="Calibri"/>
        </w:rPr>
      </w:pPr>
      <w:r w:rsidRPr="005C3EC8">
        <w:rPr>
          <w:rFonts w:ascii="Calibri" w:hAnsi="Calibri"/>
          <w:b/>
          <w:i/>
        </w:rPr>
        <w:t>2016 EITI Report</w:t>
      </w:r>
      <w:r w:rsidRPr="005C3EC8">
        <w:rPr>
          <w:rFonts w:ascii="Calibri" w:hAnsi="Calibri"/>
          <w:i/>
        </w:rPr>
        <w:t>:</w:t>
      </w:r>
      <w:r w:rsidRPr="005C3EC8">
        <w:rPr>
          <w:rFonts w:ascii="Calibri" w:hAnsi="Calibri"/>
        </w:rPr>
        <w:t xml:space="preserve"> </w:t>
      </w:r>
      <w:r w:rsidR="00B923E1" w:rsidRPr="005C3EC8">
        <w:rPr>
          <w:rFonts w:ascii="Calibri" w:hAnsi="Calibri"/>
        </w:rPr>
        <w:t xml:space="preserve">The 2016 EITI Report confirms the lack of barters arrangements and infrastructure provisions in the UK extractives sector (p.71), albeit without providing a justification for this assessment. </w:t>
      </w:r>
    </w:p>
    <w:p w14:paraId="7C84173B" w14:textId="77777777" w:rsidR="00E91ADB" w:rsidRPr="005C3EC8" w:rsidRDefault="009F0617">
      <w:pPr>
        <w:pStyle w:val="Heading3"/>
      </w:pPr>
      <w:r w:rsidRPr="005C3EC8">
        <w:lastRenderedPageBreak/>
        <w:t>Stakeholder views</w:t>
      </w:r>
    </w:p>
    <w:p w14:paraId="7808D370" w14:textId="6DEBD404" w:rsidR="009F0617" w:rsidRPr="005C3EC8" w:rsidRDefault="001F42CE" w:rsidP="009F0617">
      <w:pPr>
        <w:spacing w:before="120"/>
        <w:rPr>
          <w:rFonts w:ascii="Calibri" w:hAnsi="Calibri"/>
        </w:rPr>
      </w:pPr>
      <w:r w:rsidRPr="005C3EC8">
        <w:rPr>
          <w:rFonts w:ascii="Calibri" w:hAnsi="Calibri"/>
          <w:bCs/>
        </w:rPr>
        <w:t>There was consensus among stakeholders consulted who expressed a view on the issue that there were no barter arrangements or infrastructure provisions in line with Requirement 4.3 in the UK extractive industries in 2016.</w:t>
      </w:r>
    </w:p>
    <w:p w14:paraId="3816184B" w14:textId="105171F3" w:rsidR="009F0617" w:rsidRPr="005C3EC8" w:rsidRDefault="009F0617">
      <w:pPr>
        <w:pStyle w:val="Heading3"/>
      </w:pPr>
      <w:bookmarkStart w:id="251" w:name="_Toc459133148"/>
      <w:bookmarkStart w:id="252" w:name="_Toc461803098"/>
      <w:r w:rsidRPr="005C3EC8">
        <w:t>Initial assessment</w:t>
      </w:r>
      <w:bookmarkEnd w:id="251"/>
      <w:bookmarkEnd w:id="252"/>
    </w:p>
    <w:p w14:paraId="294BED03" w14:textId="6CE9982E" w:rsidR="000722F1" w:rsidRPr="005C3EC8" w:rsidRDefault="00DE14DA" w:rsidP="00946D61">
      <w:pPr>
        <w:rPr>
          <w:rFonts w:ascii="Calibri" w:hAnsi="Calibri"/>
        </w:rPr>
      </w:pPr>
      <w:r w:rsidRPr="005C3EC8">
        <w:rPr>
          <w:rFonts w:ascii="Calibri" w:hAnsi="Calibri"/>
        </w:rPr>
        <w:t xml:space="preserve">The International Secretariat’s initial assessment is that this requirement was not applicable in the UK in 2016. While the 2016 EITI Report only states that </w:t>
      </w:r>
      <w:r w:rsidR="001F42CE" w:rsidRPr="005C3EC8">
        <w:rPr>
          <w:rFonts w:ascii="Calibri" w:hAnsi="Calibri"/>
        </w:rPr>
        <w:t>there were no in-kind revenues in the UK extractives sector, there was consensus among stakeholders consulted that Requirement 4.3 was not applicable in the UK in 2016.</w:t>
      </w:r>
    </w:p>
    <w:p w14:paraId="794BFE52" w14:textId="77777777" w:rsidR="000722F1" w:rsidRPr="005C3EC8" w:rsidRDefault="000722F1" w:rsidP="0097728B">
      <w:pPr>
        <w:pStyle w:val="Heading2"/>
      </w:pPr>
      <w:bookmarkStart w:id="253" w:name="_Toc459133149"/>
      <w:bookmarkStart w:id="254" w:name="_Toc461803099"/>
      <w:bookmarkStart w:id="255" w:name="_Toc461787344"/>
      <w:bookmarkStart w:id="256" w:name="_Toc461795856"/>
      <w:bookmarkStart w:id="257" w:name="_Toc462149193"/>
      <w:bookmarkStart w:id="258" w:name="_Toc459133150"/>
      <w:r w:rsidRPr="005C3EC8">
        <w:t>Transport revenues (#4.</w:t>
      </w:r>
      <w:r w:rsidR="008D3D57" w:rsidRPr="005C3EC8">
        <w:t>4</w:t>
      </w:r>
      <w:r w:rsidRPr="005C3EC8">
        <w:t>)</w:t>
      </w:r>
      <w:bookmarkEnd w:id="253"/>
      <w:bookmarkEnd w:id="254"/>
      <w:bookmarkEnd w:id="255"/>
      <w:bookmarkEnd w:id="256"/>
      <w:bookmarkEnd w:id="257"/>
    </w:p>
    <w:bookmarkEnd w:id="258"/>
    <w:p w14:paraId="659B146A" w14:textId="7DBC77CA" w:rsidR="003E58F5" w:rsidRPr="005C3EC8" w:rsidRDefault="00852467" w:rsidP="0097728B">
      <w:pPr>
        <w:pStyle w:val="Heading3"/>
      </w:pPr>
      <w:r w:rsidRPr="005C3EC8">
        <w:t xml:space="preserve">Documentation of progress </w:t>
      </w:r>
    </w:p>
    <w:p w14:paraId="45E07795" w14:textId="19F1405B" w:rsidR="000A37CB" w:rsidRPr="005C3EC8" w:rsidRDefault="000A37CB" w:rsidP="000A37CB">
      <w:pPr>
        <w:spacing w:before="120"/>
        <w:rPr>
          <w:rFonts w:ascii="Calibri" w:hAnsi="Calibri"/>
        </w:rPr>
      </w:pPr>
      <w:r w:rsidRPr="005C3EC8">
        <w:rPr>
          <w:rFonts w:ascii="Calibri" w:hAnsi="Calibri"/>
          <w:b/>
          <w:i/>
        </w:rPr>
        <w:t>Systematic disclosures</w:t>
      </w:r>
      <w:r w:rsidRPr="005C3EC8">
        <w:rPr>
          <w:rFonts w:ascii="Calibri" w:hAnsi="Calibri"/>
          <w:i/>
        </w:rPr>
        <w:t xml:space="preserve">: </w:t>
      </w:r>
      <w:r w:rsidRPr="005C3EC8">
        <w:rPr>
          <w:rFonts w:ascii="Calibri" w:hAnsi="Calibri"/>
        </w:rPr>
        <w:t>Not applicable.</w:t>
      </w:r>
    </w:p>
    <w:p w14:paraId="4927B689" w14:textId="4F586BE4" w:rsidR="00B923E1" w:rsidRPr="005C3EC8" w:rsidRDefault="000A37CB" w:rsidP="000A37CB">
      <w:pPr>
        <w:spacing w:before="120"/>
        <w:rPr>
          <w:rFonts w:ascii="Calibri" w:hAnsi="Calibri"/>
        </w:rPr>
      </w:pPr>
      <w:r w:rsidRPr="005C3EC8">
        <w:rPr>
          <w:rFonts w:ascii="Calibri" w:hAnsi="Calibri"/>
          <w:b/>
          <w:i/>
        </w:rPr>
        <w:t>2016 EITI Report</w:t>
      </w:r>
      <w:r w:rsidRPr="005C3EC8">
        <w:rPr>
          <w:rFonts w:ascii="Calibri" w:hAnsi="Calibri"/>
          <w:i/>
        </w:rPr>
        <w:t>:</w:t>
      </w:r>
      <w:r w:rsidRPr="005C3EC8">
        <w:rPr>
          <w:rFonts w:ascii="Calibri" w:hAnsi="Calibri"/>
        </w:rPr>
        <w:t xml:space="preserve"> </w:t>
      </w:r>
      <w:r w:rsidR="00B923E1" w:rsidRPr="005C3EC8">
        <w:rPr>
          <w:rFonts w:ascii="Calibri" w:hAnsi="Calibri"/>
        </w:rPr>
        <w:t xml:space="preserve">The 2016 EITI Report confirms the lack of transportation revenues in the UK extractives sector (p.71), albeit without providing a justification for this assessment. </w:t>
      </w:r>
    </w:p>
    <w:p w14:paraId="5967C969" w14:textId="2802190D" w:rsidR="003E58F5" w:rsidRPr="005C3EC8" w:rsidRDefault="00852467">
      <w:pPr>
        <w:pStyle w:val="Heading3"/>
      </w:pPr>
      <w:r w:rsidRPr="005C3EC8">
        <w:t>Stakeholder views</w:t>
      </w:r>
    </w:p>
    <w:p w14:paraId="6D76E0E9" w14:textId="228378F8" w:rsidR="00852467" w:rsidRPr="005C3EC8" w:rsidRDefault="001F42CE" w:rsidP="00852467">
      <w:pPr>
        <w:spacing w:before="120"/>
        <w:rPr>
          <w:rFonts w:ascii="Calibri" w:hAnsi="Calibri"/>
        </w:rPr>
      </w:pPr>
      <w:r w:rsidRPr="005C3EC8">
        <w:rPr>
          <w:rFonts w:ascii="Calibri" w:hAnsi="Calibri"/>
          <w:bCs/>
        </w:rPr>
        <w:t>There was consensus among stakeholders consulted who expressed a view on the issue that there were no government transport revenues related to the extractive industries in line with Requirement 4.4 in the UK in 2016.</w:t>
      </w:r>
    </w:p>
    <w:p w14:paraId="288EFCC3" w14:textId="01E453B5" w:rsidR="00852467" w:rsidRPr="005C3EC8" w:rsidRDefault="00852467">
      <w:pPr>
        <w:pStyle w:val="Heading3"/>
      </w:pPr>
      <w:bookmarkStart w:id="259" w:name="_Toc459133152"/>
      <w:bookmarkStart w:id="260" w:name="_Toc461803102"/>
      <w:r w:rsidRPr="005C3EC8">
        <w:t>Initial assessment</w:t>
      </w:r>
      <w:bookmarkEnd w:id="259"/>
      <w:bookmarkEnd w:id="260"/>
    </w:p>
    <w:p w14:paraId="231AFA04" w14:textId="2379E843" w:rsidR="008D3D57" w:rsidRPr="005C3EC8" w:rsidRDefault="00DE14DA" w:rsidP="00946D61">
      <w:pPr>
        <w:spacing w:before="120"/>
        <w:rPr>
          <w:rFonts w:ascii="Calibri" w:hAnsi="Calibri"/>
        </w:rPr>
      </w:pPr>
      <w:r w:rsidRPr="005C3EC8">
        <w:rPr>
          <w:rFonts w:ascii="Calibri" w:hAnsi="Calibri"/>
        </w:rPr>
        <w:t xml:space="preserve">The International Secretariat’s initial assessment is that this requirement was not applicable in the UK in 2016. </w:t>
      </w:r>
      <w:r w:rsidR="001F42CE" w:rsidRPr="005C3EC8">
        <w:rPr>
          <w:rFonts w:ascii="Calibri" w:hAnsi="Calibri"/>
        </w:rPr>
        <w:t>While the 2016 EITI Report only states that there were government transport revenues in the UK extractives sector, there was consensus among stakeholders consulted that Requirement 4.4 was not applicable in the UK in 2016.</w:t>
      </w:r>
    </w:p>
    <w:p w14:paraId="50A759B0" w14:textId="77777777" w:rsidR="008D3D57" w:rsidRPr="005C3EC8" w:rsidRDefault="008D3D57" w:rsidP="0097728B">
      <w:pPr>
        <w:pStyle w:val="Heading2"/>
      </w:pPr>
      <w:bookmarkStart w:id="261" w:name="_Toc459133153"/>
      <w:bookmarkStart w:id="262" w:name="_Toc461803103"/>
      <w:bookmarkStart w:id="263" w:name="_Toc461787345"/>
      <w:bookmarkStart w:id="264" w:name="_Toc461795857"/>
      <w:bookmarkStart w:id="265" w:name="_Toc462149194"/>
      <w:bookmarkStart w:id="266" w:name="_Toc459133154"/>
      <w:r w:rsidRPr="005C3EC8">
        <w:t>Transactions between SOEs and government (#4.5)</w:t>
      </w:r>
      <w:bookmarkEnd w:id="261"/>
      <w:bookmarkEnd w:id="262"/>
      <w:bookmarkEnd w:id="263"/>
      <w:bookmarkEnd w:id="264"/>
      <w:bookmarkEnd w:id="265"/>
    </w:p>
    <w:bookmarkEnd w:id="266"/>
    <w:p w14:paraId="394A3F90" w14:textId="5F878565" w:rsidR="003E58F5" w:rsidRPr="005C3EC8" w:rsidRDefault="00852467" w:rsidP="0097728B">
      <w:pPr>
        <w:pStyle w:val="Heading3"/>
      </w:pPr>
      <w:r w:rsidRPr="005C3EC8">
        <w:t xml:space="preserve">Documentation of progress </w:t>
      </w:r>
    </w:p>
    <w:p w14:paraId="176F73F4" w14:textId="55C0FC4F" w:rsidR="000A37CB" w:rsidRPr="005C3EC8" w:rsidRDefault="000A37CB" w:rsidP="000A37CB">
      <w:pPr>
        <w:spacing w:before="120"/>
        <w:rPr>
          <w:rFonts w:ascii="Calibri" w:hAnsi="Calibri"/>
        </w:rPr>
      </w:pPr>
      <w:r w:rsidRPr="005C3EC8">
        <w:rPr>
          <w:rFonts w:ascii="Calibri" w:hAnsi="Calibri"/>
          <w:b/>
          <w:i/>
        </w:rPr>
        <w:t>Systematic disclosures</w:t>
      </w:r>
      <w:r w:rsidRPr="005C3EC8">
        <w:rPr>
          <w:rFonts w:ascii="Calibri" w:hAnsi="Calibri"/>
          <w:i/>
        </w:rPr>
        <w:t xml:space="preserve">: </w:t>
      </w:r>
      <w:r w:rsidRPr="005C3EC8">
        <w:rPr>
          <w:rFonts w:ascii="Calibri" w:hAnsi="Calibri"/>
        </w:rPr>
        <w:t xml:space="preserve">Not applicable. </w:t>
      </w:r>
    </w:p>
    <w:p w14:paraId="47EF0562" w14:textId="29C00E7D" w:rsidR="00312A7A" w:rsidRPr="005C3EC8" w:rsidRDefault="000A37CB" w:rsidP="000A37CB">
      <w:pPr>
        <w:spacing w:before="120"/>
        <w:rPr>
          <w:rFonts w:ascii="Calibri" w:hAnsi="Calibri"/>
        </w:rPr>
      </w:pPr>
      <w:r w:rsidRPr="005C3EC8">
        <w:rPr>
          <w:rFonts w:ascii="Calibri" w:hAnsi="Calibri"/>
          <w:b/>
          <w:i/>
        </w:rPr>
        <w:t>2016 EITI Report</w:t>
      </w:r>
      <w:r w:rsidRPr="005C3EC8">
        <w:rPr>
          <w:rFonts w:ascii="Calibri" w:hAnsi="Calibri"/>
          <w:i/>
        </w:rPr>
        <w:t>:</w:t>
      </w:r>
      <w:r w:rsidRPr="005C3EC8">
        <w:rPr>
          <w:rFonts w:ascii="Calibri" w:hAnsi="Calibri"/>
        </w:rPr>
        <w:t xml:space="preserve"> </w:t>
      </w:r>
      <w:r w:rsidR="006878EE" w:rsidRPr="005C3EC8">
        <w:rPr>
          <w:rFonts w:ascii="Calibri" w:hAnsi="Calibri"/>
        </w:rPr>
        <w:t>The 2016 EITI Report</w:t>
      </w:r>
      <w:r w:rsidR="00312A7A" w:rsidRPr="005C3EC8">
        <w:rPr>
          <w:rFonts w:ascii="Calibri" w:hAnsi="Calibri"/>
        </w:rPr>
        <w:t xml:space="preserve"> confirms the lack of state participation in the extractive industries (p.13). The description of the OGA as a not-for-profit government-owned company since October 2016</w:t>
      </w:r>
      <w:r w:rsidR="005D50F7" w:rsidRPr="005C3EC8">
        <w:rPr>
          <w:rFonts w:ascii="Calibri" w:hAnsi="Calibri"/>
        </w:rPr>
        <w:t xml:space="preserve"> (p.51)</w:t>
      </w:r>
      <w:r w:rsidR="00312A7A" w:rsidRPr="005C3EC8">
        <w:rPr>
          <w:rFonts w:ascii="Calibri" w:hAnsi="Calibri"/>
        </w:rPr>
        <w:t xml:space="preserve"> is </w:t>
      </w:r>
      <w:r w:rsidR="005D50F7" w:rsidRPr="005C3EC8">
        <w:rPr>
          <w:rFonts w:ascii="Calibri" w:hAnsi="Calibri"/>
        </w:rPr>
        <w:t xml:space="preserve">addressed under </w:t>
      </w:r>
      <w:r w:rsidR="00312A7A" w:rsidRPr="005C3EC8">
        <w:rPr>
          <w:rFonts w:ascii="Calibri" w:hAnsi="Calibri"/>
        </w:rPr>
        <w:t xml:space="preserve">Requirement 2.6. </w:t>
      </w:r>
      <w:r w:rsidR="005D50F7" w:rsidRPr="005C3EC8">
        <w:rPr>
          <w:rFonts w:ascii="Calibri" w:hAnsi="Calibri"/>
        </w:rPr>
        <w:t xml:space="preserve">As such, revenues collected by the OGA (e.g. OGA levy) are treated under Requirement 4.1. </w:t>
      </w:r>
    </w:p>
    <w:p w14:paraId="5FA21841" w14:textId="071F8A20" w:rsidR="003E58F5" w:rsidRPr="005C3EC8" w:rsidRDefault="00852467">
      <w:pPr>
        <w:pStyle w:val="Heading3"/>
      </w:pPr>
      <w:r w:rsidRPr="005C3EC8">
        <w:lastRenderedPageBreak/>
        <w:t>Stakeholder views</w:t>
      </w:r>
      <w:r w:rsidR="00B639EC" w:rsidRPr="005C3EC8">
        <w:t xml:space="preserve"> </w:t>
      </w:r>
    </w:p>
    <w:p w14:paraId="7F55F9E9" w14:textId="3E7CE9C0" w:rsidR="00852467" w:rsidRPr="005C3EC8" w:rsidRDefault="007D4B47" w:rsidP="00852467">
      <w:pPr>
        <w:rPr>
          <w:rFonts w:ascii="Calibri" w:hAnsi="Calibri"/>
        </w:rPr>
      </w:pPr>
      <w:r w:rsidRPr="005C3EC8">
        <w:rPr>
          <w:rFonts w:ascii="Calibri" w:hAnsi="Calibri"/>
          <w:bCs/>
        </w:rPr>
        <w:t>There was consensus among stakeholders consulted who expressed a view on the issue that there were no state-owned enterprises in the UK extractive industries in 2016 and thus that Requirement 4.5 was not applicable in the UK in 2016.</w:t>
      </w:r>
    </w:p>
    <w:p w14:paraId="44D1BEF1" w14:textId="1257C611" w:rsidR="008D3D57" w:rsidRPr="005C3EC8" w:rsidRDefault="00780017">
      <w:pPr>
        <w:pStyle w:val="Heading3"/>
      </w:pPr>
      <w:bookmarkStart w:id="267" w:name="_Toc459133156"/>
      <w:bookmarkStart w:id="268" w:name="_Toc461803106"/>
      <w:r w:rsidRPr="005C3EC8">
        <w:t>Initial a</w:t>
      </w:r>
      <w:r w:rsidR="008D3D57" w:rsidRPr="005C3EC8">
        <w:t>ssessment</w:t>
      </w:r>
      <w:bookmarkEnd w:id="267"/>
      <w:bookmarkEnd w:id="268"/>
    </w:p>
    <w:p w14:paraId="552344E8" w14:textId="3F3E4CF8" w:rsidR="000722F1" w:rsidRPr="005C3EC8" w:rsidRDefault="000B6E09" w:rsidP="00946D61">
      <w:pPr>
        <w:tabs>
          <w:tab w:val="left" w:pos="2610"/>
        </w:tabs>
        <w:spacing w:after="0" w:line="240" w:lineRule="auto"/>
        <w:rPr>
          <w:rFonts w:ascii="Calibri" w:hAnsi="Calibri"/>
          <w:lang w:eastAsia="x-none"/>
        </w:rPr>
      </w:pPr>
      <w:r w:rsidRPr="005C3EC8">
        <w:rPr>
          <w:rFonts w:ascii="Calibri" w:hAnsi="Calibri"/>
        </w:rPr>
        <w:t xml:space="preserve">The International Secretariat’s initial assessment is that this requirement was not applicable in the UK in 2016. The 2016 EITI Report confirms the lack of state participation in the UK extractive industries in 2016. </w:t>
      </w:r>
    </w:p>
    <w:p w14:paraId="724A7933" w14:textId="77777777" w:rsidR="000722F1" w:rsidRPr="005C3EC8" w:rsidRDefault="000722F1" w:rsidP="0097728B">
      <w:pPr>
        <w:pStyle w:val="Heading2"/>
      </w:pPr>
      <w:bookmarkStart w:id="269" w:name="_Toc459133157"/>
      <w:bookmarkStart w:id="270" w:name="_Toc461803107"/>
      <w:bookmarkStart w:id="271" w:name="_Toc461787346"/>
      <w:bookmarkStart w:id="272" w:name="_Toc461795858"/>
      <w:bookmarkStart w:id="273" w:name="_Toc459133158"/>
      <w:r w:rsidRPr="005C3EC8">
        <w:t>Subnational direct payments (#4.</w:t>
      </w:r>
      <w:r w:rsidR="008D3D57" w:rsidRPr="005C3EC8">
        <w:t>6</w:t>
      </w:r>
      <w:r w:rsidRPr="005C3EC8">
        <w:t>)</w:t>
      </w:r>
      <w:bookmarkEnd w:id="269"/>
      <w:bookmarkEnd w:id="270"/>
      <w:bookmarkEnd w:id="271"/>
      <w:bookmarkEnd w:id="272"/>
    </w:p>
    <w:bookmarkEnd w:id="273"/>
    <w:p w14:paraId="7E028DDF" w14:textId="7CBEBCE2" w:rsidR="00946D61" w:rsidRPr="005C3EC8" w:rsidRDefault="005021B3" w:rsidP="0097728B">
      <w:pPr>
        <w:pStyle w:val="Heading3"/>
      </w:pPr>
      <w:r w:rsidRPr="005C3EC8">
        <w:t xml:space="preserve">Documentation of progress </w:t>
      </w:r>
    </w:p>
    <w:p w14:paraId="72AE0A91" w14:textId="6931BD31" w:rsidR="000A37CB" w:rsidRPr="005C3EC8" w:rsidRDefault="000A37CB" w:rsidP="000A37CB">
      <w:pPr>
        <w:spacing w:before="120"/>
        <w:rPr>
          <w:rFonts w:ascii="Calibri" w:hAnsi="Calibri"/>
        </w:rPr>
      </w:pPr>
      <w:r w:rsidRPr="005C3EC8">
        <w:rPr>
          <w:rFonts w:ascii="Calibri" w:hAnsi="Calibri"/>
          <w:b/>
          <w:i/>
        </w:rPr>
        <w:t>Systematic disclosures</w:t>
      </w:r>
      <w:r w:rsidRPr="005C3EC8">
        <w:rPr>
          <w:rFonts w:ascii="Calibri" w:hAnsi="Calibri"/>
          <w:i/>
        </w:rPr>
        <w:t xml:space="preserve">: </w:t>
      </w:r>
      <w:r w:rsidR="005E16A1" w:rsidRPr="005C3EC8">
        <w:rPr>
          <w:rFonts w:ascii="Calibri" w:hAnsi="Calibri"/>
        </w:rPr>
        <w:t>The latest UKEITI Report (2016) included unilateral disc</w:t>
      </w:r>
      <w:r w:rsidR="005835BF" w:rsidRPr="005C3EC8">
        <w:rPr>
          <w:rFonts w:ascii="Calibri" w:hAnsi="Calibri"/>
        </w:rPr>
        <w:t>losures of Section 106 payments, reported by mining and quarrying companies. Under Section 106 of the 1990 Town and Country Planning Act, mining and quarrying companies are required to make payments to local authorities relating to the granting of planning permission for mining operations to cover local road and infrastructure improvements for instance</w:t>
      </w:r>
      <w:r w:rsidR="00785B05" w:rsidRPr="005C3EC8">
        <w:rPr>
          <w:rFonts w:ascii="Calibri" w:hAnsi="Calibri"/>
        </w:rPr>
        <w:t xml:space="preserve"> (p.20)</w:t>
      </w:r>
      <w:r w:rsidR="005835BF" w:rsidRPr="005C3EC8">
        <w:rPr>
          <w:rFonts w:ascii="Calibri" w:hAnsi="Calibri"/>
        </w:rPr>
        <w:t>.</w:t>
      </w:r>
      <w:r w:rsidR="00385781" w:rsidRPr="005C3EC8">
        <w:rPr>
          <w:rFonts w:ascii="Calibri" w:hAnsi="Calibri"/>
        </w:rPr>
        <w:t xml:space="preserve"> Although mining and quarrying companies are required to make mineral planning and environmental permit fee payments to </w:t>
      </w:r>
      <w:r w:rsidR="00C7259C" w:rsidRPr="005C3EC8">
        <w:rPr>
          <w:rFonts w:ascii="Calibri" w:hAnsi="Calibri"/>
        </w:rPr>
        <w:t xml:space="preserve">local authorities in Wales, Scotland and England as well as fees associated with mining licenses in Northern Ireland, these revenue streams have not been included in the scope of reconciliation to date. </w:t>
      </w:r>
    </w:p>
    <w:p w14:paraId="4B99D5E0" w14:textId="2A208DFF" w:rsidR="008A2C62" w:rsidRPr="005C3EC8" w:rsidRDefault="000A37CB" w:rsidP="005021B3">
      <w:pPr>
        <w:spacing w:before="120"/>
        <w:rPr>
          <w:rFonts w:ascii="Calibri" w:hAnsi="Calibri"/>
        </w:rPr>
      </w:pPr>
      <w:r w:rsidRPr="005C3EC8">
        <w:rPr>
          <w:rFonts w:ascii="Calibri" w:hAnsi="Calibri"/>
          <w:b/>
          <w:i/>
        </w:rPr>
        <w:t>2016 EITI Report</w:t>
      </w:r>
      <w:r w:rsidRPr="005C3EC8">
        <w:rPr>
          <w:rFonts w:ascii="Calibri" w:hAnsi="Calibri"/>
          <w:i/>
        </w:rPr>
        <w:t>:</w:t>
      </w:r>
      <w:r w:rsidRPr="005C3EC8">
        <w:rPr>
          <w:rFonts w:ascii="Calibri" w:hAnsi="Calibri"/>
        </w:rPr>
        <w:t xml:space="preserve"> </w:t>
      </w:r>
      <w:r w:rsidR="006878EE" w:rsidRPr="005C3EC8">
        <w:rPr>
          <w:rFonts w:ascii="Calibri" w:hAnsi="Calibri"/>
        </w:rPr>
        <w:t>The 2016 EITI Report</w:t>
      </w:r>
      <w:r w:rsidR="00B72C28" w:rsidRPr="005C3EC8">
        <w:rPr>
          <w:rFonts w:ascii="Calibri" w:hAnsi="Calibri"/>
        </w:rPr>
        <w:t xml:space="preserve"> </w:t>
      </w:r>
      <w:r w:rsidR="000640E3" w:rsidRPr="005C3EC8">
        <w:rPr>
          <w:rFonts w:ascii="Calibri" w:hAnsi="Calibri"/>
        </w:rPr>
        <w:t xml:space="preserve">describes the devolution of mineral planning and environmental permitting to Mineral Planning Authorities in Wales, Scotland, England and Northern Ireland (p.56,57-58) and the devolution of responsibility </w:t>
      </w:r>
      <w:r w:rsidR="007245E2" w:rsidRPr="005C3EC8">
        <w:rPr>
          <w:rFonts w:ascii="Calibri" w:hAnsi="Calibri"/>
        </w:rPr>
        <w:t xml:space="preserve">to Northern Ireland’s DfE for onshore </w:t>
      </w:r>
      <w:r w:rsidR="000640E3" w:rsidRPr="005C3EC8">
        <w:rPr>
          <w:rFonts w:ascii="Calibri" w:hAnsi="Calibri"/>
        </w:rPr>
        <w:t>Mineral Prospecting Licenses (MPLs) (p</w:t>
      </w:r>
      <w:r w:rsidR="007245E2" w:rsidRPr="005C3EC8">
        <w:rPr>
          <w:rFonts w:ascii="Calibri" w:hAnsi="Calibri"/>
        </w:rPr>
        <w:t>p</w:t>
      </w:r>
      <w:r w:rsidR="000640E3" w:rsidRPr="005C3EC8">
        <w:rPr>
          <w:rFonts w:ascii="Calibri" w:hAnsi="Calibri"/>
        </w:rPr>
        <w:t>.</w:t>
      </w:r>
      <w:r w:rsidR="007245E2" w:rsidRPr="005C3EC8">
        <w:rPr>
          <w:rFonts w:ascii="Calibri" w:hAnsi="Calibri"/>
        </w:rPr>
        <w:t>59,</w:t>
      </w:r>
      <w:r w:rsidR="000640E3" w:rsidRPr="005C3EC8">
        <w:rPr>
          <w:rFonts w:ascii="Calibri" w:hAnsi="Calibri"/>
        </w:rPr>
        <w:t>61)</w:t>
      </w:r>
      <w:r w:rsidR="007245E2" w:rsidRPr="005C3EC8">
        <w:rPr>
          <w:rFonts w:ascii="Calibri" w:hAnsi="Calibri"/>
        </w:rPr>
        <w:t xml:space="preserve"> and onshore oil and gas licenses (pp.40,41)</w:t>
      </w:r>
      <w:r w:rsidR="000640E3" w:rsidRPr="005C3EC8">
        <w:rPr>
          <w:rFonts w:ascii="Calibri" w:hAnsi="Calibri"/>
        </w:rPr>
        <w:t>.</w:t>
      </w:r>
      <w:r w:rsidR="007245E2" w:rsidRPr="005C3EC8">
        <w:rPr>
          <w:rFonts w:ascii="Calibri" w:hAnsi="Calibri"/>
        </w:rPr>
        <w:t xml:space="preserve"> </w:t>
      </w:r>
      <w:r w:rsidR="000640E3" w:rsidRPr="005C3EC8">
        <w:rPr>
          <w:rFonts w:ascii="Calibri" w:hAnsi="Calibri"/>
        </w:rPr>
        <w:t xml:space="preserve">It confirms </w:t>
      </w:r>
      <w:r w:rsidR="007245E2" w:rsidRPr="005C3EC8">
        <w:rPr>
          <w:rFonts w:ascii="Calibri" w:hAnsi="Calibri"/>
        </w:rPr>
        <w:t xml:space="preserve">the existence of </w:t>
      </w:r>
      <w:r w:rsidR="00B72C28" w:rsidRPr="005C3EC8">
        <w:rPr>
          <w:rFonts w:ascii="Calibri" w:hAnsi="Calibri"/>
        </w:rPr>
        <w:t>direct payments to subnational governments</w:t>
      </w:r>
      <w:r w:rsidR="000C7BDA" w:rsidRPr="005C3EC8">
        <w:rPr>
          <w:rFonts w:ascii="Calibri" w:hAnsi="Calibri"/>
        </w:rPr>
        <w:t xml:space="preserve"> in the context of planning obligation payments to Local Planning Authorities, which were excluded from the scope of reconciliation</w:t>
      </w:r>
      <w:r w:rsidR="00242B40" w:rsidRPr="005C3EC8">
        <w:rPr>
          <w:rFonts w:ascii="Calibri" w:hAnsi="Calibri"/>
        </w:rPr>
        <w:t>.</w:t>
      </w:r>
      <w:r w:rsidR="000C7BDA" w:rsidRPr="005C3EC8">
        <w:rPr>
          <w:rFonts w:ascii="Calibri" w:hAnsi="Calibri"/>
        </w:rPr>
        <w:t xml:space="preserve"> </w:t>
      </w:r>
      <w:r w:rsidR="00242B40" w:rsidRPr="005C3EC8">
        <w:rPr>
          <w:rFonts w:ascii="Calibri" w:hAnsi="Calibri"/>
        </w:rPr>
        <w:t xml:space="preserve">The report presents the </w:t>
      </w:r>
      <w:r w:rsidR="000C7BDA" w:rsidRPr="005C3EC8">
        <w:rPr>
          <w:rFonts w:ascii="Calibri" w:hAnsi="Calibri"/>
        </w:rPr>
        <w:t xml:space="preserve">unilateral </w:t>
      </w:r>
      <w:r w:rsidR="00242B40" w:rsidRPr="005C3EC8">
        <w:rPr>
          <w:rFonts w:ascii="Calibri" w:hAnsi="Calibri"/>
        </w:rPr>
        <w:t>dis</w:t>
      </w:r>
      <w:r w:rsidR="008A2C62" w:rsidRPr="005C3EC8">
        <w:rPr>
          <w:rFonts w:ascii="Calibri" w:hAnsi="Calibri"/>
        </w:rPr>
        <w:t>closure of in-kind off-site infrastructure contributions under Section 106 agreements, which are categorised as forms of mandatory social expenditures (</w:t>
      </w:r>
      <w:r w:rsidR="008A2C62" w:rsidRPr="005C3EC8">
        <w:rPr>
          <w:rFonts w:ascii="Calibri" w:hAnsi="Calibri"/>
          <w:i/>
        </w:rPr>
        <w:t>see Requirement 6.1</w:t>
      </w:r>
      <w:r w:rsidR="008A2C62" w:rsidRPr="005C3EC8">
        <w:rPr>
          <w:rFonts w:ascii="Calibri" w:hAnsi="Calibri"/>
        </w:rPr>
        <w:t xml:space="preserve">). </w:t>
      </w:r>
    </w:p>
    <w:p w14:paraId="28ED53B9" w14:textId="7B22F36A" w:rsidR="00F47598" w:rsidRPr="005C3EC8" w:rsidRDefault="00F47598" w:rsidP="008A2C62">
      <w:pPr>
        <w:spacing w:before="120"/>
        <w:rPr>
          <w:rFonts w:ascii="Calibri" w:hAnsi="Calibri"/>
        </w:rPr>
      </w:pPr>
      <w:r w:rsidRPr="005C3EC8">
        <w:rPr>
          <w:rFonts w:ascii="Calibri" w:hAnsi="Calibri"/>
        </w:rPr>
        <w:t xml:space="preserve">While the report describes the devolution of regulatory powers to the DfE </w:t>
      </w:r>
      <w:r w:rsidR="007245E2" w:rsidRPr="005C3EC8">
        <w:rPr>
          <w:rFonts w:ascii="Calibri" w:hAnsi="Calibri"/>
        </w:rPr>
        <w:t>in onshore Northern Ireland</w:t>
      </w:r>
      <w:r w:rsidRPr="005C3EC8">
        <w:rPr>
          <w:rFonts w:ascii="Calibri" w:hAnsi="Calibri"/>
        </w:rPr>
        <w:t xml:space="preserve"> (pp.</w:t>
      </w:r>
      <w:r w:rsidR="007245E2" w:rsidRPr="005C3EC8">
        <w:rPr>
          <w:rFonts w:ascii="Calibri" w:hAnsi="Calibri"/>
        </w:rPr>
        <w:t>40,41,</w:t>
      </w:r>
      <w:r w:rsidRPr="005C3EC8">
        <w:rPr>
          <w:rFonts w:ascii="Calibri" w:hAnsi="Calibri"/>
        </w:rPr>
        <w:t>59,61), with associated direct subnational payment streams, the selection of material revenue streams described under Requirement 4.1 implies that none of the direct subnational p</w:t>
      </w:r>
      <w:r w:rsidR="000B1472" w:rsidRPr="005C3EC8">
        <w:rPr>
          <w:rFonts w:ascii="Calibri" w:hAnsi="Calibri"/>
        </w:rPr>
        <w:t>ayments to Northern Ireland’s Df</w:t>
      </w:r>
      <w:r w:rsidRPr="005C3EC8">
        <w:rPr>
          <w:rFonts w:ascii="Calibri" w:hAnsi="Calibri"/>
        </w:rPr>
        <w:t xml:space="preserve">E were considered material in line with the MSG’s general approach to materiality (pp.69,71). </w:t>
      </w:r>
      <w:r w:rsidR="008A2C62" w:rsidRPr="005C3EC8">
        <w:rPr>
          <w:rFonts w:ascii="Calibri" w:hAnsi="Calibri"/>
        </w:rPr>
        <w:t>The supplement to the 2016 EITI Report states that there were no “recurrent annual rental fee for petroleum licences in Northern Ireland”, which explained why payments to the DfE were not included in the scope of reconciliation.</w:t>
      </w:r>
      <w:r w:rsidR="008A2C62" w:rsidRPr="005C3EC8">
        <w:rPr>
          <w:rStyle w:val="FootnoteReference"/>
          <w:rFonts w:ascii="Calibri" w:hAnsi="Calibri"/>
        </w:rPr>
        <w:footnoteReference w:id="287"/>
      </w:r>
    </w:p>
    <w:p w14:paraId="45561731" w14:textId="2427CF73" w:rsidR="003E58F5" w:rsidRPr="005C3EC8" w:rsidRDefault="00946D61">
      <w:pPr>
        <w:pStyle w:val="Heading3"/>
      </w:pPr>
      <w:r w:rsidRPr="005C3EC8">
        <w:t>Stakeholder views</w:t>
      </w:r>
    </w:p>
    <w:p w14:paraId="67392429" w14:textId="544B5D29" w:rsidR="0083246B" w:rsidRPr="005C3EC8" w:rsidRDefault="008A2C62" w:rsidP="005021B3">
      <w:pPr>
        <w:spacing w:before="120"/>
        <w:rPr>
          <w:rFonts w:ascii="Calibri" w:hAnsi="Calibri"/>
          <w:bCs/>
        </w:rPr>
      </w:pPr>
      <w:r w:rsidRPr="005C3EC8">
        <w:rPr>
          <w:rFonts w:ascii="Calibri" w:hAnsi="Calibri"/>
          <w:bCs/>
        </w:rPr>
        <w:t xml:space="preserve">The IA confirmed that it had understood that Northern Ireland had not collected any revenues related to </w:t>
      </w:r>
      <w:r w:rsidRPr="005C3EC8">
        <w:rPr>
          <w:rFonts w:ascii="Calibri" w:hAnsi="Calibri"/>
          <w:bCs/>
        </w:rPr>
        <w:lastRenderedPageBreak/>
        <w:t>its licensing of minerals or oil and gas activities in 2016 as part of its data collection for the 2016 EITI Report. The IA confirmed its understanding of the supplementary 2016 EITI Report’s statement to mean that Northern Ireland did not collect any extractives-related revenues</w:t>
      </w:r>
      <w:r w:rsidR="0083246B" w:rsidRPr="005C3EC8">
        <w:rPr>
          <w:rFonts w:ascii="Calibri" w:hAnsi="Calibri"/>
          <w:bCs/>
        </w:rPr>
        <w:t>, noting the absence of any extractives-related revenues recorded in the 2016-17 annual report by Northern Ireland’s Department for the Economy.</w:t>
      </w:r>
      <w:r w:rsidR="0083246B" w:rsidRPr="005C3EC8">
        <w:rPr>
          <w:rStyle w:val="FootnoteReference"/>
          <w:rFonts w:ascii="Calibri" w:hAnsi="Calibri"/>
          <w:bCs/>
        </w:rPr>
        <w:footnoteReference w:id="288"/>
      </w:r>
    </w:p>
    <w:p w14:paraId="41BC4496" w14:textId="6477E92C" w:rsidR="005021B3" w:rsidRPr="005C3EC8" w:rsidRDefault="00A4531C" w:rsidP="005021B3">
      <w:pPr>
        <w:spacing w:before="120"/>
        <w:rPr>
          <w:rFonts w:ascii="Calibri" w:hAnsi="Calibri"/>
          <w:bCs/>
        </w:rPr>
      </w:pPr>
      <w:r w:rsidRPr="005C3EC8">
        <w:rPr>
          <w:rFonts w:ascii="Calibri" w:hAnsi="Calibri"/>
          <w:bCs/>
        </w:rPr>
        <w:t xml:space="preserve">There was consensus among stakeholders consulted that company direct payments to Local Planning Authorities were not considered material by the MSG. </w:t>
      </w:r>
      <w:r w:rsidR="00A42571" w:rsidRPr="005C3EC8">
        <w:rPr>
          <w:rFonts w:ascii="Calibri" w:hAnsi="Calibri"/>
          <w:bCs/>
        </w:rPr>
        <w:t xml:space="preserve">A government representative confirmed that Northern Ireland’s DfE did not collect annual rental fees from the sole oil and gas operator operating under its jurisdiction, since license fees were settled at the time of license application and there had been no commercially-viable oil and gas deposits identified onshore Northern Ireland to date. The representative explained that there was no specific imposition collected by the Northern Ireland government from companies operating in mining and quarrying. Rather, these companies were subject to common taxes such as Corporation Tax paid to HMRC. </w:t>
      </w:r>
    </w:p>
    <w:p w14:paraId="531D4E82" w14:textId="51723889" w:rsidR="00FC7A1B" w:rsidRPr="005C3EC8" w:rsidRDefault="00710900">
      <w:pPr>
        <w:pStyle w:val="Heading3"/>
      </w:pPr>
      <w:bookmarkStart w:id="274" w:name="_Toc459133160"/>
      <w:bookmarkStart w:id="275" w:name="_Toc461803110"/>
      <w:r w:rsidRPr="005C3EC8">
        <w:t>Initial a</w:t>
      </w:r>
      <w:r w:rsidR="00FC7A1B" w:rsidRPr="005C3EC8">
        <w:t>ssessment</w:t>
      </w:r>
      <w:bookmarkEnd w:id="274"/>
      <w:bookmarkEnd w:id="275"/>
    </w:p>
    <w:p w14:paraId="5A36B0BD" w14:textId="7BCA56FF" w:rsidR="00861C30" w:rsidRPr="005C3EC8" w:rsidRDefault="005A65CB" w:rsidP="00946D61">
      <w:pPr>
        <w:rPr>
          <w:rFonts w:ascii="Calibri" w:hAnsi="Calibri"/>
        </w:rPr>
      </w:pPr>
      <w:r w:rsidRPr="005C3EC8">
        <w:rPr>
          <w:rFonts w:ascii="Calibri" w:hAnsi="Calibri"/>
          <w:color w:val="000000" w:themeColor="text1"/>
          <w:lang w:eastAsia="x-none"/>
        </w:rPr>
        <w:t xml:space="preserve">The International Secretariat’s initial assessment is that </w:t>
      </w:r>
      <w:r w:rsidR="00A60315" w:rsidRPr="005C3EC8">
        <w:rPr>
          <w:rFonts w:ascii="Calibri" w:hAnsi="Calibri"/>
          <w:color w:val="000000" w:themeColor="text1"/>
          <w:lang w:eastAsia="x-none"/>
        </w:rPr>
        <w:t xml:space="preserve">Requirement 4.6 was not applicable to </w:t>
      </w:r>
      <w:r w:rsidRPr="005C3EC8">
        <w:rPr>
          <w:rFonts w:ascii="Calibri" w:hAnsi="Calibri"/>
          <w:bCs/>
        </w:rPr>
        <w:t>the UK</w:t>
      </w:r>
      <w:r w:rsidRPr="005C3EC8">
        <w:rPr>
          <w:rFonts w:ascii="Calibri" w:hAnsi="Calibri"/>
          <w:color w:val="000000" w:themeColor="text1"/>
          <w:lang w:eastAsia="x-none"/>
        </w:rPr>
        <w:t xml:space="preserve"> </w:t>
      </w:r>
      <w:r w:rsidR="00A60315" w:rsidRPr="005C3EC8">
        <w:rPr>
          <w:rFonts w:ascii="Calibri" w:hAnsi="Calibri"/>
          <w:color w:val="000000" w:themeColor="text1"/>
          <w:lang w:eastAsia="x-none"/>
        </w:rPr>
        <w:t>in the year under review (2016)</w:t>
      </w:r>
      <w:r w:rsidRPr="005C3EC8">
        <w:rPr>
          <w:rFonts w:ascii="Calibri" w:hAnsi="Calibri"/>
          <w:color w:val="000000" w:themeColor="text1"/>
          <w:lang w:eastAsia="x-none"/>
        </w:rPr>
        <w:t xml:space="preserve">. </w:t>
      </w:r>
      <w:r w:rsidRPr="005C3EC8">
        <w:rPr>
          <w:rFonts w:ascii="Calibri" w:hAnsi="Calibri"/>
        </w:rPr>
        <w:t>The 2016 EITI Report confirms the existence of direct subnational payments to Local Planning Authorities</w:t>
      </w:r>
      <w:r w:rsidR="00F47598" w:rsidRPr="005C3EC8">
        <w:rPr>
          <w:rFonts w:ascii="Calibri" w:hAnsi="Calibri"/>
        </w:rPr>
        <w:t xml:space="preserve"> (LPAs) </w:t>
      </w:r>
      <w:r w:rsidR="00861C30" w:rsidRPr="005C3EC8">
        <w:rPr>
          <w:rFonts w:ascii="Calibri" w:hAnsi="Calibri"/>
        </w:rPr>
        <w:t>and it can be inferred that these were excluded from the scope of reconciliation given that they were not considered material.</w:t>
      </w:r>
      <w:r w:rsidR="00F47598" w:rsidRPr="005C3EC8">
        <w:rPr>
          <w:rFonts w:ascii="Calibri" w:hAnsi="Calibri"/>
        </w:rPr>
        <w:t xml:space="preserve"> </w:t>
      </w:r>
      <w:r w:rsidR="00861C30" w:rsidRPr="005C3EC8">
        <w:rPr>
          <w:rFonts w:ascii="Calibri" w:hAnsi="Calibri"/>
        </w:rPr>
        <w:t xml:space="preserve">While the report only explicitly confirms the lack of material direct subnational payments related to oil and gas to Northern Ireland’s DfE, not related to mining, there was consensus among stakeholders consulted that the DfE did not collect material revenues linked to mining and quarrying in 2016. </w:t>
      </w:r>
    </w:p>
    <w:p w14:paraId="59B7EF90" w14:textId="55896D0F" w:rsidR="00523788" w:rsidRPr="005C3EC8" w:rsidRDefault="00523788" w:rsidP="00946D61">
      <w:pPr>
        <w:rPr>
          <w:rFonts w:ascii="Calibri" w:hAnsi="Calibri"/>
          <w:color w:val="000000" w:themeColor="text1"/>
          <w:lang w:eastAsia="x-none"/>
        </w:rPr>
      </w:pPr>
      <w:r w:rsidRPr="005C3EC8">
        <w:rPr>
          <w:rFonts w:ascii="Calibri" w:hAnsi="Calibri"/>
        </w:rPr>
        <w:t xml:space="preserve">To strengthen implementation, the UK is encouraged to </w:t>
      </w:r>
      <w:r w:rsidR="00861C30" w:rsidRPr="005C3EC8">
        <w:rPr>
          <w:rFonts w:ascii="Calibri" w:hAnsi="Calibri"/>
        </w:rPr>
        <w:t xml:space="preserve">provide a clearer public confirmation of the lack of material direct subnational payments related to both oil and gas as well as mining and quarrying as a means of clarifying the lack of applicability of Requirement 4.6. </w:t>
      </w:r>
    </w:p>
    <w:p w14:paraId="78AA9372" w14:textId="77777777" w:rsidR="008D3D57" w:rsidRPr="005C3EC8" w:rsidRDefault="008D3D57" w:rsidP="0097728B">
      <w:pPr>
        <w:pStyle w:val="Heading2"/>
      </w:pPr>
      <w:bookmarkStart w:id="276" w:name="_Toc459133161"/>
      <w:bookmarkStart w:id="277" w:name="_Toc461803111"/>
      <w:bookmarkStart w:id="278" w:name="_Toc461787347"/>
      <w:bookmarkStart w:id="279" w:name="_Toc461795859"/>
      <w:bookmarkStart w:id="280" w:name="_Toc462149195"/>
      <w:bookmarkStart w:id="281" w:name="_Toc459133162"/>
      <w:r w:rsidRPr="005C3EC8">
        <w:t>Level of disaggregation (#4.7)</w:t>
      </w:r>
      <w:bookmarkEnd w:id="276"/>
      <w:bookmarkEnd w:id="277"/>
      <w:bookmarkEnd w:id="278"/>
      <w:bookmarkEnd w:id="279"/>
      <w:bookmarkEnd w:id="280"/>
      <w:r w:rsidRPr="005C3EC8">
        <w:t xml:space="preserve"> </w:t>
      </w:r>
    </w:p>
    <w:bookmarkEnd w:id="281"/>
    <w:p w14:paraId="667A62A2" w14:textId="2E333BDE" w:rsidR="003E58F5" w:rsidRPr="005C3EC8" w:rsidRDefault="005021B3" w:rsidP="0097728B">
      <w:pPr>
        <w:pStyle w:val="Heading3"/>
      </w:pPr>
      <w:r w:rsidRPr="005C3EC8">
        <w:t xml:space="preserve">Documentation of progress </w:t>
      </w:r>
    </w:p>
    <w:p w14:paraId="40775780" w14:textId="47B4C267" w:rsidR="000A37CB" w:rsidRPr="005C3EC8" w:rsidRDefault="000A37CB" w:rsidP="000A37CB">
      <w:pPr>
        <w:spacing w:before="120"/>
        <w:rPr>
          <w:rFonts w:ascii="Calibri" w:hAnsi="Calibri"/>
        </w:rPr>
      </w:pPr>
      <w:r w:rsidRPr="005C3EC8">
        <w:rPr>
          <w:rFonts w:ascii="Calibri" w:hAnsi="Calibri"/>
          <w:b/>
          <w:i/>
        </w:rPr>
        <w:t>Systematic disclosures</w:t>
      </w:r>
      <w:r w:rsidRPr="005C3EC8">
        <w:rPr>
          <w:rFonts w:ascii="Calibri" w:hAnsi="Calibri"/>
          <w:i/>
        </w:rPr>
        <w:t xml:space="preserve">: </w:t>
      </w:r>
      <w:r w:rsidR="00EA4FA4" w:rsidRPr="005C3EC8">
        <w:rPr>
          <w:rFonts w:ascii="Calibri" w:hAnsi="Calibri"/>
        </w:rPr>
        <w:t>In terms of government disclosures, t</w:t>
      </w:r>
      <w:r w:rsidR="00C870A0" w:rsidRPr="005C3EC8">
        <w:rPr>
          <w:rFonts w:ascii="Calibri" w:hAnsi="Calibri"/>
        </w:rPr>
        <w:t>he UK Government website publishes annual figures for oil and gas revenues</w:t>
      </w:r>
      <w:r w:rsidR="00C870A0" w:rsidRPr="005C3EC8">
        <w:rPr>
          <w:rStyle w:val="FootnoteReference"/>
          <w:rFonts w:ascii="Calibri" w:hAnsi="Calibri"/>
        </w:rPr>
        <w:footnoteReference w:id="289"/>
      </w:r>
      <w:r w:rsidR="00C870A0" w:rsidRPr="005C3EC8">
        <w:rPr>
          <w:rFonts w:ascii="Calibri" w:hAnsi="Calibri"/>
        </w:rPr>
        <w:t>, common tax (e.g. Corporation Tax) revenues</w:t>
      </w:r>
      <w:r w:rsidR="00C870A0" w:rsidRPr="005C3EC8">
        <w:rPr>
          <w:rStyle w:val="FootnoteReference"/>
          <w:rFonts w:ascii="Calibri" w:hAnsi="Calibri"/>
        </w:rPr>
        <w:footnoteReference w:id="290"/>
      </w:r>
      <w:r w:rsidR="00C870A0" w:rsidRPr="005C3EC8">
        <w:rPr>
          <w:rFonts w:ascii="Calibri" w:hAnsi="Calibri"/>
        </w:rPr>
        <w:t xml:space="preserve"> and OGA-collected revenues</w:t>
      </w:r>
      <w:r w:rsidR="00C870A0" w:rsidRPr="005C3EC8">
        <w:rPr>
          <w:rStyle w:val="FootnoteReference"/>
          <w:rFonts w:ascii="Calibri" w:hAnsi="Calibri"/>
        </w:rPr>
        <w:footnoteReference w:id="291"/>
      </w:r>
      <w:r w:rsidR="00EA4FA4" w:rsidRPr="005C3EC8">
        <w:rPr>
          <w:rFonts w:ascii="Calibri" w:hAnsi="Calibri"/>
        </w:rPr>
        <w:t>, which provide consolidated figures for collected revenues, albeit not disaggregated by company nor by revenue stream for revenues collected by OGA. The Coal Authority</w:t>
      </w:r>
      <w:r w:rsidR="00EA4FA4" w:rsidRPr="005C3EC8">
        <w:rPr>
          <w:rStyle w:val="FootnoteReference"/>
          <w:rFonts w:ascii="Calibri" w:hAnsi="Calibri"/>
        </w:rPr>
        <w:footnoteReference w:id="292"/>
      </w:r>
      <w:r w:rsidR="00EA4FA4" w:rsidRPr="005C3EC8">
        <w:rPr>
          <w:rFonts w:ascii="Calibri" w:hAnsi="Calibri"/>
        </w:rPr>
        <w:t xml:space="preserve"> and TCE</w:t>
      </w:r>
      <w:r w:rsidR="00EA4FA4" w:rsidRPr="005C3EC8">
        <w:rPr>
          <w:rStyle w:val="FootnoteReference"/>
          <w:rFonts w:ascii="Calibri" w:hAnsi="Calibri"/>
        </w:rPr>
        <w:footnoteReference w:id="293"/>
      </w:r>
      <w:r w:rsidR="00EA4FA4" w:rsidRPr="005C3EC8">
        <w:rPr>
          <w:rFonts w:ascii="Calibri" w:hAnsi="Calibri"/>
        </w:rPr>
        <w:t xml:space="preserve"> annual reports and accounts provide information on the value of consolidated revenues collected by each of the two government entities, albeit not disaggregated by company or by revenue stream. In terms of </w:t>
      </w:r>
      <w:r w:rsidR="00EA4FA4" w:rsidRPr="005C3EC8">
        <w:rPr>
          <w:rFonts w:ascii="Calibri" w:hAnsi="Calibri"/>
        </w:rPr>
        <w:lastRenderedPageBreak/>
        <w:t>company disclosures, the statutory payments to governments reports</w:t>
      </w:r>
      <w:r w:rsidR="000A661C" w:rsidRPr="005C3EC8">
        <w:rPr>
          <w:rFonts w:ascii="Calibri" w:hAnsi="Calibri"/>
        </w:rPr>
        <w:t xml:space="preserve"> required from 34 of the 58 material companies in the 2016 EITI Report present payments to government disaggregated by project, revenue stream and government entity. </w:t>
      </w:r>
    </w:p>
    <w:p w14:paraId="4005A498" w14:textId="35F1D756" w:rsidR="008832B3" w:rsidRPr="005C3EC8" w:rsidRDefault="000A37CB" w:rsidP="000A37CB">
      <w:pPr>
        <w:spacing w:before="120"/>
        <w:rPr>
          <w:rFonts w:ascii="Calibri" w:hAnsi="Calibri"/>
        </w:rPr>
      </w:pPr>
      <w:r w:rsidRPr="005C3EC8">
        <w:rPr>
          <w:rFonts w:ascii="Calibri" w:hAnsi="Calibri"/>
          <w:b/>
          <w:i/>
        </w:rPr>
        <w:t>2016 EITI Report</w:t>
      </w:r>
      <w:r w:rsidRPr="005C3EC8">
        <w:rPr>
          <w:rFonts w:ascii="Calibri" w:hAnsi="Calibri"/>
          <w:i/>
        </w:rPr>
        <w:t>:</w:t>
      </w:r>
      <w:r w:rsidRPr="005C3EC8">
        <w:rPr>
          <w:rFonts w:ascii="Calibri" w:hAnsi="Calibri"/>
        </w:rPr>
        <w:t xml:space="preserve"> </w:t>
      </w:r>
      <w:r w:rsidR="007245E2" w:rsidRPr="005C3EC8">
        <w:rPr>
          <w:rFonts w:ascii="Calibri" w:hAnsi="Calibri"/>
          <w:bCs/>
        </w:rPr>
        <w:t xml:space="preserve">The 2016 EITI Report presents the reconciliation results disaggregated by company, revenue stream and government entity, aside from </w:t>
      </w:r>
      <w:r w:rsidR="00D039EC" w:rsidRPr="005C3EC8">
        <w:rPr>
          <w:rFonts w:ascii="Calibri" w:hAnsi="Calibri"/>
          <w:bCs/>
        </w:rPr>
        <w:t xml:space="preserve">mining and quarrying </w:t>
      </w:r>
      <w:r w:rsidR="007245E2" w:rsidRPr="005C3EC8">
        <w:rPr>
          <w:rFonts w:ascii="Calibri" w:hAnsi="Calibri"/>
          <w:bCs/>
        </w:rPr>
        <w:t xml:space="preserve">revenues collected by TCE and </w:t>
      </w:r>
      <w:r w:rsidR="00C43A06" w:rsidRPr="005C3EC8">
        <w:rPr>
          <w:rFonts w:ascii="Calibri" w:hAnsi="Calibri"/>
          <w:bCs/>
        </w:rPr>
        <w:t xml:space="preserve">Ring-Fenced Corporation Tax / Supplementary Charge (RFCT/SC) </w:t>
      </w:r>
      <w:r w:rsidR="007245E2" w:rsidRPr="005C3EC8">
        <w:rPr>
          <w:rFonts w:ascii="Calibri" w:hAnsi="Calibri"/>
          <w:bCs/>
        </w:rPr>
        <w:t xml:space="preserve">that are </w:t>
      </w:r>
      <w:r w:rsidR="00AE67F8" w:rsidRPr="005C3EC8">
        <w:rPr>
          <w:rFonts w:ascii="Calibri" w:hAnsi="Calibri"/>
          <w:bCs/>
        </w:rPr>
        <w:t>presented in aggregate</w:t>
      </w:r>
      <w:r w:rsidR="007245E2" w:rsidRPr="005C3EC8">
        <w:rPr>
          <w:rFonts w:ascii="Calibri" w:hAnsi="Calibri"/>
          <w:bCs/>
        </w:rPr>
        <w:t xml:space="preserve"> </w:t>
      </w:r>
      <w:r w:rsidR="00AE67F8" w:rsidRPr="005C3EC8">
        <w:rPr>
          <w:rFonts w:ascii="Calibri" w:hAnsi="Calibri"/>
          <w:bCs/>
        </w:rPr>
        <w:t xml:space="preserve">form </w:t>
      </w:r>
      <w:r w:rsidR="0006251E" w:rsidRPr="005C3EC8">
        <w:rPr>
          <w:rFonts w:ascii="Calibri" w:hAnsi="Calibri"/>
          <w:bCs/>
        </w:rPr>
        <w:t xml:space="preserve">(pp.78-79). </w:t>
      </w:r>
      <w:r w:rsidR="0006251E" w:rsidRPr="005C3EC8">
        <w:rPr>
          <w:rFonts w:ascii="Calibri" w:hAnsi="Calibri"/>
        </w:rPr>
        <w:t>These results are also available in HTML and open data (.csv) format on the government’s data portal.</w:t>
      </w:r>
      <w:r w:rsidR="0006251E" w:rsidRPr="005C3EC8">
        <w:rPr>
          <w:rStyle w:val="FootnoteReference"/>
          <w:rFonts w:ascii="Calibri" w:hAnsi="Calibri"/>
        </w:rPr>
        <w:footnoteReference w:id="294"/>
      </w:r>
      <w:r w:rsidR="002C147E" w:rsidRPr="005C3EC8">
        <w:rPr>
          <w:rFonts w:ascii="Calibri" w:hAnsi="Calibri"/>
        </w:rPr>
        <w:t xml:space="preserve"> </w:t>
      </w:r>
      <w:r w:rsidR="005515CE" w:rsidRPr="005C3EC8">
        <w:rPr>
          <w:rFonts w:ascii="Calibri" w:hAnsi="Calibri"/>
        </w:rPr>
        <w:t>While the disclosure of the Coal Authority’s revenues is presented in aggregate, not per revenue stream</w:t>
      </w:r>
      <w:r w:rsidR="005515CE" w:rsidRPr="005C3EC8">
        <w:rPr>
          <w:rStyle w:val="FootnoteReference"/>
          <w:rFonts w:ascii="Calibri" w:hAnsi="Calibri"/>
        </w:rPr>
        <w:footnoteReference w:id="295"/>
      </w:r>
      <w:r w:rsidR="005515CE" w:rsidRPr="005C3EC8">
        <w:rPr>
          <w:rFonts w:ascii="Calibri" w:hAnsi="Calibri"/>
        </w:rPr>
        <w:t xml:space="preserve">, it appears all Coal Authority revenues reported (totalling GBP 0.44m) were </w:t>
      </w:r>
      <w:r w:rsidR="008832B3" w:rsidRPr="005C3EC8">
        <w:rPr>
          <w:rFonts w:ascii="Calibri" w:hAnsi="Calibri"/>
        </w:rPr>
        <w:t xml:space="preserve">only </w:t>
      </w:r>
      <w:r w:rsidR="005515CE" w:rsidRPr="005C3EC8">
        <w:rPr>
          <w:rFonts w:ascii="Calibri" w:hAnsi="Calibri"/>
        </w:rPr>
        <w:t xml:space="preserve">from “out-of-scope” companies (p.11). </w:t>
      </w:r>
      <w:r w:rsidR="008832B3" w:rsidRPr="005C3EC8">
        <w:rPr>
          <w:rFonts w:ascii="Calibri" w:hAnsi="Calibri"/>
        </w:rPr>
        <w:t>However, the reporting template in Annex 2 indicates that the Coal Authority was requested to report royalty separately from license fees for the 2016 EITI Report</w:t>
      </w:r>
      <w:r w:rsidR="00AB4A79" w:rsidRPr="005C3EC8">
        <w:rPr>
          <w:rFonts w:ascii="Calibri" w:hAnsi="Calibri"/>
        </w:rPr>
        <w:t>, while TCE was only required to report revenues per license, but aggregated as “payments to TCE”</w:t>
      </w:r>
      <w:r w:rsidR="008832B3" w:rsidRPr="005C3EC8">
        <w:rPr>
          <w:rFonts w:ascii="Calibri" w:hAnsi="Calibri"/>
        </w:rPr>
        <w:t xml:space="preserve"> (p.88). </w:t>
      </w:r>
    </w:p>
    <w:p w14:paraId="29285A8F" w14:textId="33881F54" w:rsidR="002C147E" w:rsidRPr="005C3EC8" w:rsidRDefault="005515CE" w:rsidP="000A37CB">
      <w:pPr>
        <w:spacing w:before="120"/>
        <w:rPr>
          <w:rFonts w:ascii="Calibri" w:hAnsi="Calibri"/>
        </w:rPr>
      </w:pPr>
      <w:r w:rsidRPr="005C3EC8">
        <w:rPr>
          <w:rFonts w:ascii="Calibri" w:hAnsi="Calibri"/>
        </w:rPr>
        <w:t>T</w:t>
      </w:r>
      <w:r w:rsidR="002C147E" w:rsidRPr="005C3EC8">
        <w:rPr>
          <w:rFonts w:ascii="Calibri" w:hAnsi="Calibri"/>
        </w:rPr>
        <w:t xml:space="preserve">he lack of disaggregation of revenues collected by TCE by stream is a concern, given </w:t>
      </w:r>
      <w:r w:rsidR="006E3813" w:rsidRPr="005C3EC8">
        <w:rPr>
          <w:rFonts w:ascii="Calibri" w:hAnsi="Calibri"/>
        </w:rPr>
        <w:t xml:space="preserve">that the </w:t>
      </w:r>
      <w:r w:rsidR="00C43A06" w:rsidRPr="005C3EC8">
        <w:rPr>
          <w:rFonts w:ascii="Calibri" w:hAnsi="Calibri"/>
        </w:rPr>
        <w:t xml:space="preserve">report states that </w:t>
      </w:r>
      <w:r w:rsidR="006E3813" w:rsidRPr="005C3EC8">
        <w:rPr>
          <w:rFonts w:ascii="Calibri" w:hAnsi="Calibri"/>
        </w:rPr>
        <w:t>TCE collect</w:t>
      </w:r>
      <w:r w:rsidR="00C43A06" w:rsidRPr="005C3EC8">
        <w:rPr>
          <w:rFonts w:ascii="Calibri" w:hAnsi="Calibri"/>
        </w:rPr>
        <w:t>s</w:t>
      </w:r>
      <w:r w:rsidR="006E3813" w:rsidRPr="005C3EC8">
        <w:rPr>
          <w:rFonts w:ascii="Calibri" w:hAnsi="Calibri"/>
        </w:rPr>
        <w:t xml:space="preserve"> at least four types</w:t>
      </w:r>
      <w:r w:rsidR="00C43A06" w:rsidRPr="005C3EC8">
        <w:rPr>
          <w:rFonts w:ascii="Calibri" w:hAnsi="Calibri"/>
        </w:rPr>
        <w:t xml:space="preserve"> of revenues</w:t>
      </w:r>
      <w:r w:rsidR="006E3813" w:rsidRPr="005C3EC8">
        <w:rPr>
          <w:rStyle w:val="FootnoteReference"/>
          <w:rFonts w:ascii="Calibri" w:hAnsi="Calibri"/>
        </w:rPr>
        <w:footnoteReference w:id="296"/>
      </w:r>
      <w:r w:rsidR="006E3813" w:rsidRPr="005C3EC8">
        <w:rPr>
          <w:rFonts w:ascii="Calibri" w:hAnsi="Calibri"/>
        </w:rPr>
        <w:t xml:space="preserve"> </w:t>
      </w:r>
      <w:r w:rsidR="00997F79" w:rsidRPr="005C3EC8">
        <w:rPr>
          <w:rFonts w:ascii="Calibri" w:hAnsi="Calibri"/>
        </w:rPr>
        <w:t xml:space="preserve">(pp.60-61). </w:t>
      </w:r>
      <w:r w:rsidR="00221AD9" w:rsidRPr="005C3EC8">
        <w:rPr>
          <w:rFonts w:ascii="Calibri" w:hAnsi="Calibri"/>
        </w:rPr>
        <w:t xml:space="preserve">In addition, while the report describes RFCT and SC as two distinct forms of imposition (pp.43-44), the two revenue flows are presented in aggregate both in the government’s full unilateral disclosure of revenues (pp.11-12) and in the results of reconciliation (pp.78-79). </w:t>
      </w:r>
    </w:p>
    <w:p w14:paraId="4FDB41EF" w14:textId="5E1600EB" w:rsidR="00997F79" w:rsidRPr="005C3EC8" w:rsidRDefault="00997F79" w:rsidP="002B5765">
      <w:pPr>
        <w:spacing w:before="120"/>
        <w:rPr>
          <w:rFonts w:ascii="Calibri" w:hAnsi="Calibri"/>
        </w:rPr>
      </w:pPr>
      <w:r w:rsidRPr="005C3EC8">
        <w:rPr>
          <w:rFonts w:ascii="Calibri" w:hAnsi="Calibri"/>
        </w:rPr>
        <w:t xml:space="preserve">In terms of project-level reporting, the report confirms that rental fees and PRT (in oil and gas) and all payments to TCE (in oil and gas as well as mining and quarrying) were reported on a per-project basis (pp.41-42,79-80). </w:t>
      </w:r>
      <w:r w:rsidR="00A849E7" w:rsidRPr="005C3EC8">
        <w:rPr>
          <w:rFonts w:ascii="Calibri" w:hAnsi="Calibri"/>
        </w:rPr>
        <w:t>While the report confirms the MSG’s decision that PRT be reported on a per-project basis (i.e.</w:t>
      </w:r>
      <w:r w:rsidR="00221AD9" w:rsidRPr="005C3EC8">
        <w:rPr>
          <w:rFonts w:ascii="Calibri" w:hAnsi="Calibri"/>
        </w:rPr>
        <w:t xml:space="preserve"> </w:t>
      </w:r>
      <w:r w:rsidR="00A849E7" w:rsidRPr="005C3EC8">
        <w:rPr>
          <w:rFonts w:ascii="Calibri" w:hAnsi="Calibri"/>
        </w:rPr>
        <w:t xml:space="preserve">by field), it explains that in practice many companies pay the liability for a number of fields in one payment, covering numerous projects. Thus, to accommodate the MSG’s decision, HMRC agreed to provide a breakdown of the cash payments received by company and by field to the IA (p.70). </w:t>
      </w:r>
      <w:r w:rsidRPr="005C3EC8">
        <w:rPr>
          <w:rFonts w:ascii="Calibri" w:hAnsi="Calibri"/>
        </w:rPr>
        <w:t>The results of project-level reporting are available on the government’s data portal for petroleum license fees</w:t>
      </w:r>
      <w:r w:rsidRPr="005C3EC8">
        <w:rPr>
          <w:rStyle w:val="FootnoteReference"/>
          <w:rFonts w:ascii="Calibri" w:hAnsi="Calibri"/>
        </w:rPr>
        <w:footnoteReference w:id="297"/>
      </w:r>
      <w:r w:rsidRPr="005C3EC8">
        <w:rPr>
          <w:rFonts w:ascii="Calibri" w:hAnsi="Calibri"/>
        </w:rPr>
        <w:t>, petroleum revenue tax</w:t>
      </w:r>
      <w:r w:rsidRPr="005C3EC8">
        <w:rPr>
          <w:rStyle w:val="FootnoteReference"/>
          <w:rFonts w:ascii="Calibri" w:hAnsi="Calibri"/>
        </w:rPr>
        <w:footnoteReference w:id="298"/>
      </w:r>
      <w:r w:rsidRPr="005C3EC8">
        <w:rPr>
          <w:rFonts w:ascii="Calibri" w:hAnsi="Calibri"/>
        </w:rPr>
        <w:t>, oil and gas pipeline fees to TCE</w:t>
      </w:r>
      <w:r w:rsidRPr="005C3EC8">
        <w:rPr>
          <w:rStyle w:val="FootnoteReference"/>
          <w:rFonts w:ascii="Calibri" w:hAnsi="Calibri"/>
        </w:rPr>
        <w:footnoteReference w:id="299"/>
      </w:r>
      <w:r w:rsidR="00DF50C4" w:rsidRPr="005C3EC8">
        <w:rPr>
          <w:rFonts w:ascii="Calibri" w:hAnsi="Calibri"/>
        </w:rPr>
        <w:t xml:space="preserve"> and mining and quarrying payments to TCE.</w:t>
      </w:r>
      <w:r w:rsidR="00DF50C4" w:rsidRPr="005C3EC8">
        <w:rPr>
          <w:rStyle w:val="FootnoteReference"/>
          <w:rFonts w:ascii="Calibri" w:hAnsi="Calibri"/>
        </w:rPr>
        <w:footnoteReference w:id="300"/>
      </w:r>
    </w:p>
    <w:p w14:paraId="75538F20" w14:textId="77777777" w:rsidR="00946D61" w:rsidRPr="005C3EC8" w:rsidRDefault="005021B3">
      <w:pPr>
        <w:pStyle w:val="Heading3"/>
      </w:pPr>
      <w:r w:rsidRPr="005C3EC8">
        <w:t xml:space="preserve">Stakeholder views </w:t>
      </w:r>
    </w:p>
    <w:p w14:paraId="5E9CDEF4" w14:textId="55ACCF6F" w:rsidR="00FA63E3" w:rsidRPr="005C3EC8" w:rsidRDefault="00545435" w:rsidP="008832B3">
      <w:pPr>
        <w:spacing w:before="120"/>
        <w:rPr>
          <w:rFonts w:ascii="Calibri" w:hAnsi="Calibri"/>
        </w:rPr>
      </w:pPr>
      <w:r w:rsidRPr="005C3EC8">
        <w:rPr>
          <w:rFonts w:ascii="Calibri" w:hAnsi="Calibri"/>
          <w:i/>
          <w:u w:val="single"/>
        </w:rPr>
        <w:t>Per revenue stream</w:t>
      </w:r>
      <w:r w:rsidRPr="005C3EC8">
        <w:rPr>
          <w:rFonts w:ascii="Calibri" w:hAnsi="Calibri"/>
        </w:rPr>
        <w:t>:</w:t>
      </w:r>
      <w:r w:rsidR="008832B3" w:rsidRPr="005C3EC8">
        <w:rPr>
          <w:rFonts w:ascii="Calibri" w:hAnsi="Calibri"/>
        </w:rPr>
        <w:t xml:space="preserve"> </w:t>
      </w:r>
      <w:r w:rsidR="00FA63E3" w:rsidRPr="005C3EC8">
        <w:rPr>
          <w:rFonts w:ascii="Calibri" w:hAnsi="Calibri"/>
        </w:rPr>
        <w:t>There was considerable discussion surrounding the lack of disaggregation of mining and quarrying payments to TCE and RFCT/SC in oil and gas. A government MSG member explained that the MSG had taken Requirement 4.1.b to mean that</w:t>
      </w:r>
      <w:r w:rsidR="007B343F" w:rsidRPr="005C3EC8">
        <w:rPr>
          <w:rFonts w:ascii="Calibri" w:hAnsi="Calibri"/>
        </w:rPr>
        <w:t xml:space="preserve"> each bullet point, e.g.</w:t>
      </w:r>
      <w:r w:rsidR="00FA63E3" w:rsidRPr="005C3EC8">
        <w:rPr>
          <w:rFonts w:ascii="Calibri" w:hAnsi="Calibri"/>
        </w:rPr>
        <w:t xml:space="preserve"> “Licence fees, rental fees, </w:t>
      </w:r>
      <w:r w:rsidR="00FA63E3" w:rsidRPr="005C3EC8">
        <w:rPr>
          <w:rFonts w:ascii="Calibri" w:hAnsi="Calibri"/>
        </w:rPr>
        <w:lastRenderedPageBreak/>
        <w:t>entry fees and other considerations for licences and/or concessions”</w:t>
      </w:r>
      <w:r w:rsidR="007B343F" w:rsidRPr="005C3EC8">
        <w:rPr>
          <w:rFonts w:ascii="Calibri" w:hAnsi="Calibri"/>
        </w:rPr>
        <w:t>,</w:t>
      </w:r>
      <w:r w:rsidR="00FA63E3" w:rsidRPr="005C3EC8">
        <w:rPr>
          <w:rFonts w:ascii="Calibri" w:hAnsi="Calibri"/>
        </w:rPr>
        <w:t xml:space="preserve"> represented a single revenue stream, rather than separate types</w:t>
      </w:r>
      <w:r w:rsidR="007B343F" w:rsidRPr="005C3EC8">
        <w:rPr>
          <w:rFonts w:ascii="Calibri" w:hAnsi="Calibri"/>
        </w:rPr>
        <w:t>, for the purposes of EITI reporting</w:t>
      </w:r>
      <w:r w:rsidR="00FA63E3" w:rsidRPr="005C3EC8">
        <w:rPr>
          <w:rFonts w:ascii="Calibri" w:hAnsi="Calibri"/>
        </w:rPr>
        <w:t>.</w:t>
      </w:r>
      <w:r w:rsidR="008A4FC1" w:rsidRPr="005C3EC8">
        <w:rPr>
          <w:rFonts w:ascii="Calibri" w:hAnsi="Calibri"/>
        </w:rPr>
        <w:t xml:space="preserve"> Several government representatives noted that each of the revenue streams individually would have been unlikely to be material, but material when aggregated for TCE. Several MSG members consulted noted the lack of any demand for the disaggregation of these revenues from any member of the MSG.</w:t>
      </w:r>
      <w:r w:rsidR="00EE12C0" w:rsidRPr="005C3EC8">
        <w:rPr>
          <w:rFonts w:ascii="Calibri" w:hAnsi="Calibri"/>
        </w:rPr>
        <w:t xml:space="preserve"> Several CSN representatives expressed general satisfaction at the level of disaggregation of payments and revenues in the UK’s EITI Reports, albeit raising concerns over the lack of disaggregation by revenue stream in payments to TCE and the Coal Authority, of which they had only recently become aware. One CSO highlighted the reference to this lack of disaggregation in PWYP UK’s comparison of EITI reporting with mandatory pa</w:t>
      </w:r>
      <w:r w:rsidR="003D687E" w:rsidRPr="005C3EC8">
        <w:rPr>
          <w:rFonts w:ascii="Calibri" w:hAnsi="Calibri"/>
        </w:rPr>
        <w:t>yments to government reporting.</w:t>
      </w:r>
      <w:r w:rsidR="003D687E" w:rsidRPr="005C3EC8">
        <w:rPr>
          <w:rStyle w:val="FootnoteReference"/>
          <w:rFonts w:ascii="Calibri" w:hAnsi="Calibri"/>
        </w:rPr>
        <w:footnoteReference w:id="301"/>
      </w:r>
    </w:p>
    <w:p w14:paraId="20198636" w14:textId="78853D01" w:rsidR="00814C31" w:rsidRPr="005C3EC8" w:rsidRDefault="00EC6EED" w:rsidP="008832B3">
      <w:pPr>
        <w:spacing w:before="120"/>
        <w:rPr>
          <w:rFonts w:ascii="Calibri" w:hAnsi="Calibri"/>
        </w:rPr>
      </w:pPr>
      <w:r w:rsidRPr="005C3EC8">
        <w:rPr>
          <w:rFonts w:ascii="Calibri" w:hAnsi="Calibri"/>
          <w:i/>
        </w:rPr>
        <w:t>Payments to TCE:</w:t>
      </w:r>
      <w:r w:rsidRPr="005C3EC8">
        <w:rPr>
          <w:rFonts w:ascii="Calibri" w:hAnsi="Calibri"/>
        </w:rPr>
        <w:t xml:space="preserve"> </w:t>
      </w:r>
      <w:r w:rsidR="00FA63E3" w:rsidRPr="005C3EC8">
        <w:rPr>
          <w:rFonts w:ascii="Calibri" w:hAnsi="Calibri"/>
        </w:rPr>
        <w:t>There were differences of opinion with regards to the lack of disaggregation of payments to TCE.</w:t>
      </w:r>
      <w:r w:rsidR="00814C31" w:rsidRPr="005C3EC8">
        <w:rPr>
          <w:rFonts w:ascii="Calibri" w:hAnsi="Calibri"/>
        </w:rPr>
        <w:t xml:space="preserve"> </w:t>
      </w:r>
      <w:r w:rsidR="00FA63E3" w:rsidRPr="005C3EC8">
        <w:rPr>
          <w:rFonts w:ascii="Calibri" w:hAnsi="Calibri"/>
        </w:rPr>
        <w:t>The IA considered that reconciled payments consisted of only one revenue stream</w:t>
      </w:r>
      <w:r w:rsidR="00B7466E" w:rsidRPr="005C3EC8">
        <w:rPr>
          <w:rFonts w:ascii="Calibri" w:hAnsi="Calibri"/>
        </w:rPr>
        <w:t xml:space="preserve">, </w:t>
      </w:r>
      <w:r w:rsidR="00775BEC" w:rsidRPr="005C3EC8">
        <w:rPr>
          <w:rFonts w:ascii="Calibri" w:hAnsi="Calibri"/>
        </w:rPr>
        <w:t>“</w:t>
      </w:r>
      <w:r w:rsidR="00B7466E" w:rsidRPr="005C3EC8">
        <w:rPr>
          <w:rFonts w:ascii="Calibri" w:hAnsi="Calibri"/>
        </w:rPr>
        <w:t>rental receipts”</w:t>
      </w:r>
      <w:r w:rsidR="00775BEC" w:rsidRPr="005C3EC8">
        <w:rPr>
          <w:rFonts w:ascii="Calibri" w:hAnsi="Calibri"/>
        </w:rPr>
        <w:t>,</w:t>
      </w:r>
      <w:r w:rsidR="00FA63E3" w:rsidRPr="005C3EC8">
        <w:rPr>
          <w:rFonts w:ascii="Calibri" w:hAnsi="Calibri"/>
        </w:rPr>
        <w:t xml:space="preserve"> and </w:t>
      </w:r>
      <w:r w:rsidR="00775BEC" w:rsidRPr="005C3EC8">
        <w:rPr>
          <w:rFonts w:ascii="Calibri" w:hAnsi="Calibri"/>
        </w:rPr>
        <w:t>noted its understanding that</w:t>
      </w:r>
      <w:r w:rsidR="00814C31" w:rsidRPr="005C3EC8">
        <w:rPr>
          <w:rFonts w:ascii="Calibri" w:hAnsi="Calibri"/>
        </w:rPr>
        <w:t xml:space="preserve"> </w:t>
      </w:r>
      <w:r w:rsidR="00FA63E3" w:rsidRPr="005C3EC8">
        <w:rPr>
          <w:rFonts w:ascii="Calibri" w:hAnsi="Calibri"/>
        </w:rPr>
        <w:t xml:space="preserve">TCE </w:t>
      </w:r>
      <w:r w:rsidR="00814C31" w:rsidRPr="005C3EC8">
        <w:rPr>
          <w:rFonts w:ascii="Calibri" w:hAnsi="Calibri"/>
        </w:rPr>
        <w:t xml:space="preserve">had not collected </w:t>
      </w:r>
      <w:r w:rsidR="00775BEC" w:rsidRPr="005C3EC8">
        <w:rPr>
          <w:rFonts w:ascii="Calibri" w:hAnsi="Calibri"/>
        </w:rPr>
        <w:t xml:space="preserve">royalty </w:t>
      </w:r>
      <w:r w:rsidR="00FA63E3" w:rsidRPr="005C3EC8">
        <w:rPr>
          <w:rFonts w:ascii="Calibri" w:hAnsi="Calibri"/>
        </w:rPr>
        <w:t xml:space="preserve">in 2016. </w:t>
      </w:r>
      <w:r w:rsidR="00850765" w:rsidRPr="005C3EC8">
        <w:rPr>
          <w:rFonts w:ascii="Calibri" w:hAnsi="Calibri"/>
        </w:rPr>
        <w:t xml:space="preserve">A public-sector representative with direct knowledge of TCE’s revenues stated categorically that TCE was only entitled to levy royalty from mining and quarrying companies. </w:t>
      </w:r>
      <w:r w:rsidR="004C2003" w:rsidRPr="005C3EC8">
        <w:rPr>
          <w:rFonts w:ascii="Calibri" w:hAnsi="Calibri"/>
        </w:rPr>
        <w:t>However, o</w:t>
      </w:r>
      <w:r w:rsidR="00C66525" w:rsidRPr="005C3EC8">
        <w:rPr>
          <w:rFonts w:ascii="Calibri" w:hAnsi="Calibri"/>
        </w:rPr>
        <w:t xml:space="preserve">ther government stakeholders considered that TCE was likely to collect several types of revenues from mining and quarrying companies operating in its jurisdiction. </w:t>
      </w:r>
      <w:r w:rsidR="00322C8D" w:rsidRPr="005C3EC8">
        <w:rPr>
          <w:rFonts w:ascii="Calibri" w:hAnsi="Calibri"/>
        </w:rPr>
        <w:t xml:space="preserve">One representative described the types of revenues collected by TCE in relation to land-based mineral leases, which included different types of rents (e.g. surface rental) and royalties. </w:t>
      </w:r>
      <w:r w:rsidR="00C66525" w:rsidRPr="005C3EC8">
        <w:rPr>
          <w:rFonts w:ascii="Calibri" w:hAnsi="Calibri"/>
        </w:rPr>
        <w:t xml:space="preserve">All stakeholders consulted who expressed a view confirmed that TCE was only requested to report revenues in aggregate for each company, not disaggregated per revenue stream. </w:t>
      </w:r>
      <w:r w:rsidR="00EE12C0" w:rsidRPr="005C3EC8">
        <w:rPr>
          <w:rFonts w:ascii="Calibri" w:hAnsi="Calibri"/>
        </w:rPr>
        <w:t xml:space="preserve">Several industry MSG members did not recall discussions on the MSG related to the disaggregation of revenues collected by TCE or CA. </w:t>
      </w:r>
    </w:p>
    <w:p w14:paraId="0218D429" w14:textId="59F5826B" w:rsidR="00FE3B34" w:rsidRPr="005C3EC8" w:rsidRDefault="00EC6EED" w:rsidP="00545435">
      <w:pPr>
        <w:spacing w:before="120"/>
        <w:rPr>
          <w:rFonts w:ascii="Calibri" w:hAnsi="Calibri"/>
        </w:rPr>
      </w:pPr>
      <w:r w:rsidRPr="005C3EC8">
        <w:rPr>
          <w:rFonts w:ascii="Calibri" w:hAnsi="Calibri"/>
          <w:i/>
        </w:rPr>
        <w:t>RFCT/SC:</w:t>
      </w:r>
      <w:r w:rsidRPr="005C3EC8">
        <w:rPr>
          <w:rFonts w:ascii="Calibri" w:hAnsi="Calibri"/>
        </w:rPr>
        <w:t xml:space="preserve"> </w:t>
      </w:r>
      <w:r w:rsidR="00760A98" w:rsidRPr="005C3EC8">
        <w:rPr>
          <w:rFonts w:ascii="Calibri" w:hAnsi="Calibri"/>
        </w:rPr>
        <w:t xml:space="preserve">While CSN representatives confirmed that RFCT and SC were two different revenue streams, they noted that the civil society constituency had never argued for their disaggregation in EITI reporting. </w:t>
      </w:r>
      <w:r w:rsidRPr="005C3EC8">
        <w:rPr>
          <w:rFonts w:ascii="Calibri" w:hAnsi="Calibri"/>
        </w:rPr>
        <w:t xml:space="preserve">A government official explained that oil and gas companies made payments three times a year for their tax liabilities, although these were usually lump sum payments including RFCT, SC and mainstream Corporation Tax. Given that companies were allowed to reallocate their tax payments between the different payment streams up to 24 months after the end of the fiscal year, there were often restatements of the split between RFCT, SC and mainstream Corporation Tax. The official, an MSG member, thus noted that a final accurate disaggregation of RFCT and SC would not have been possible within the timeframe of EITI reporting (i.e. within two years of the end of the year under review) as any split would rely on estimates pending the final statement of liabilities. </w:t>
      </w:r>
      <w:r w:rsidR="00590296" w:rsidRPr="005C3EC8">
        <w:rPr>
          <w:rFonts w:ascii="Calibri" w:hAnsi="Calibri"/>
        </w:rPr>
        <w:t>A</w:t>
      </w:r>
      <w:r w:rsidRPr="005C3EC8">
        <w:rPr>
          <w:rFonts w:ascii="Calibri" w:hAnsi="Calibri"/>
        </w:rPr>
        <w:t>nother</w:t>
      </w:r>
      <w:r w:rsidR="00590296" w:rsidRPr="005C3EC8">
        <w:rPr>
          <w:rFonts w:ascii="Calibri" w:hAnsi="Calibri"/>
        </w:rPr>
        <w:t xml:space="preserve"> government </w:t>
      </w:r>
      <w:r w:rsidR="00545435" w:rsidRPr="005C3EC8">
        <w:rPr>
          <w:rFonts w:ascii="Calibri" w:hAnsi="Calibri"/>
        </w:rPr>
        <w:t>representative emphasised that all data on government websites providing disaggregated data for RFCT and SC represented only estimates, not actual values, and considered that it was not possible to publish values for</w:t>
      </w:r>
      <w:r w:rsidR="00FE3B34" w:rsidRPr="005C3EC8">
        <w:rPr>
          <w:rFonts w:ascii="Calibri" w:hAnsi="Calibri"/>
        </w:rPr>
        <w:t xml:space="preserve"> RFCT as disaggregated from SC. </w:t>
      </w:r>
      <w:r w:rsidRPr="005C3EC8">
        <w:rPr>
          <w:rFonts w:ascii="Calibri" w:hAnsi="Calibri"/>
        </w:rPr>
        <w:t xml:space="preserve">The IA </w:t>
      </w:r>
      <w:r w:rsidR="00E536BF" w:rsidRPr="005C3EC8">
        <w:rPr>
          <w:rFonts w:ascii="Calibri" w:hAnsi="Calibri"/>
        </w:rPr>
        <w:t xml:space="preserve">confirmed that all figures breaking down RFCT from SC would be estimates of the split and subjective pending submission of the Corporate Tax return some 18 months after the due date of the first tax payment. </w:t>
      </w:r>
      <w:r w:rsidRPr="005C3EC8">
        <w:rPr>
          <w:rFonts w:ascii="Calibri" w:hAnsi="Calibri"/>
        </w:rPr>
        <w:t>Representatives of CSN consulted did not consider the lack of disaggregation of RFCT from SC in the UK’s EITI reporting a significant problem.</w:t>
      </w:r>
    </w:p>
    <w:p w14:paraId="49BB02F3" w14:textId="083D23BA" w:rsidR="00EC6EED" w:rsidRPr="005C3EC8" w:rsidRDefault="00EC6EED" w:rsidP="00545435">
      <w:pPr>
        <w:spacing w:before="120"/>
        <w:rPr>
          <w:rFonts w:ascii="Calibri" w:hAnsi="Calibri"/>
        </w:rPr>
      </w:pPr>
      <w:r w:rsidRPr="005C3EC8">
        <w:rPr>
          <w:rFonts w:ascii="Calibri" w:hAnsi="Calibri"/>
        </w:rPr>
        <w:t xml:space="preserve">A government representative noted that while HMRC did not use to disaggregate its collections of RFCT/SC from PRT prior to the first UKEITI Report, it had requested companies to account for the two separately in their payments from 2015 onwards. Several CSN representatives expressed satisfaction at </w:t>
      </w:r>
      <w:r w:rsidRPr="005C3EC8">
        <w:rPr>
          <w:rFonts w:ascii="Calibri" w:hAnsi="Calibri"/>
        </w:rPr>
        <w:lastRenderedPageBreak/>
        <w:t xml:space="preserve">the disaggregation of PRT from RFCT/SC in preparing the first EITI Report. </w:t>
      </w:r>
    </w:p>
    <w:p w14:paraId="7AE07805" w14:textId="7C9D90F7" w:rsidR="00814C31" w:rsidRPr="005C3EC8" w:rsidRDefault="00EC6EED" w:rsidP="00545435">
      <w:pPr>
        <w:spacing w:before="120"/>
        <w:rPr>
          <w:rFonts w:ascii="Calibri" w:hAnsi="Calibri"/>
        </w:rPr>
      </w:pPr>
      <w:r w:rsidRPr="005C3EC8">
        <w:rPr>
          <w:rFonts w:ascii="Calibri" w:hAnsi="Calibri"/>
          <w:i/>
        </w:rPr>
        <w:t>Payments to the CA:</w:t>
      </w:r>
      <w:r w:rsidRPr="005C3EC8">
        <w:rPr>
          <w:rFonts w:ascii="Calibri" w:hAnsi="Calibri"/>
        </w:rPr>
        <w:t xml:space="preserve"> </w:t>
      </w:r>
      <w:r w:rsidR="00814C31" w:rsidRPr="005C3EC8">
        <w:rPr>
          <w:rFonts w:ascii="Calibri" w:hAnsi="Calibri"/>
        </w:rPr>
        <w:t xml:space="preserve">While the IA confirmed that reconciled payments to the Coal Authority included both license fee and royalty, and were reported separately in the templates, it did not consider that the aggregation of the two revenue streams as “payments to CA” in the published report was problematic given that they accounted for only around 0.1% of reconciled revenues and came from non-material companies. Despite the reporting templates indicating that the Coal Authority was requested to report revenues disaggregated by stream, there was some confusion </w:t>
      </w:r>
      <w:r w:rsidR="00AB4A79" w:rsidRPr="005C3EC8">
        <w:rPr>
          <w:rFonts w:ascii="Calibri" w:hAnsi="Calibri"/>
        </w:rPr>
        <w:t xml:space="preserve">across </w:t>
      </w:r>
      <w:r w:rsidR="00814C31" w:rsidRPr="005C3EC8">
        <w:rPr>
          <w:rFonts w:ascii="Calibri" w:hAnsi="Calibri"/>
        </w:rPr>
        <w:t xml:space="preserve">different </w:t>
      </w:r>
      <w:r w:rsidR="00AB4A79" w:rsidRPr="005C3EC8">
        <w:rPr>
          <w:rFonts w:ascii="Calibri" w:hAnsi="Calibri"/>
        </w:rPr>
        <w:t xml:space="preserve">stakeholders </w:t>
      </w:r>
      <w:r w:rsidR="005F440B" w:rsidRPr="005C3EC8">
        <w:rPr>
          <w:rFonts w:ascii="Calibri" w:hAnsi="Calibri"/>
        </w:rPr>
        <w:t xml:space="preserve">over whether the Authority </w:t>
      </w:r>
      <w:r w:rsidR="00814C31" w:rsidRPr="005C3EC8">
        <w:rPr>
          <w:rFonts w:ascii="Calibri" w:hAnsi="Calibri"/>
        </w:rPr>
        <w:t xml:space="preserve">had been requested to report all revenues in aggregate, or per revenue stream. Several government representatives considered that each revenue stream individually would have been below the materiality threshold of GBP 86,000 for selecting companies. A government representative confirmed that while companies made payments to the Coal Authority in lump sum, both companies and the Coal Authority kept a breakdown of payments per revenue stream in their accounts. </w:t>
      </w:r>
    </w:p>
    <w:p w14:paraId="361A605D" w14:textId="77EF105B" w:rsidR="00545435" w:rsidRPr="005C3EC8" w:rsidRDefault="00545435" w:rsidP="005021B3">
      <w:pPr>
        <w:spacing w:before="120"/>
        <w:rPr>
          <w:rFonts w:ascii="Calibri" w:hAnsi="Calibri"/>
        </w:rPr>
      </w:pPr>
      <w:r w:rsidRPr="005C3EC8">
        <w:rPr>
          <w:rFonts w:ascii="Calibri" w:hAnsi="Calibri"/>
          <w:i/>
          <w:u w:val="single"/>
        </w:rPr>
        <w:t>Disaggregation by project</w:t>
      </w:r>
      <w:r w:rsidRPr="005C3EC8">
        <w:rPr>
          <w:rFonts w:ascii="Calibri" w:hAnsi="Calibri"/>
        </w:rPr>
        <w:t>:</w:t>
      </w:r>
      <w:r w:rsidR="00EC6EED" w:rsidRPr="005C3EC8">
        <w:rPr>
          <w:rFonts w:ascii="Calibri" w:hAnsi="Calibri"/>
        </w:rPr>
        <w:t xml:space="preserve"> Several government and CSN representatives consulted highlighted the reporting of oil and gas payments consistently on a project-level since the start of reporting as an early achievement of the UK’s EITI implementation. One </w:t>
      </w:r>
      <w:r w:rsidRPr="005C3EC8">
        <w:rPr>
          <w:rFonts w:ascii="Calibri" w:hAnsi="Calibri"/>
        </w:rPr>
        <w:t xml:space="preserve">government representative noted </w:t>
      </w:r>
      <w:r w:rsidR="00EC6EED" w:rsidRPr="005C3EC8">
        <w:rPr>
          <w:rFonts w:ascii="Calibri" w:hAnsi="Calibri"/>
        </w:rPr>
        <w:t>challenges in disaggregating</w:t>
      </w:r>
      <w:r w:rsidRPr="005C3EC8">
        <w:rPr>
          <w:rFonts w:ascii="Calibri" w:hAnsi="Calibri"/>
        </w:rPr>
        <w:t xml:space="preserve"> PRT by field, which </w:t>
      </w:r>
      <w:r w:rsidR="00EC6EED" w:rsidRPr="005C3EC8">
        <w:rPr>
          <w:rFonts w:ascii="Calibri" w:hAnsi="Calibri"/>
        </w:rPr>
        <w:t xml:space="preserve">had impact EITI </w:t>
      </w:r>
      <w:r w:rsidRPr="005C3EC8">
        <w:rPr>
          <w:rFonts w:ascii="Calibri" w:hAnsi="Calibri"/>
        </w:rPr>
        <w:t xml:space="preserve">project-level reporting. </w:t>
      </w:r>
    </w:p>
    <w:p w14:paraId="0D45A00E" w14:textId="10B49593" w:rsidR="005021B3" w:rsidRPr="005C3EC8" w:rsidRDefault="005021B3">
      <w:pPr>
        <w:pStyle w:val="Heading3"/>
      </w:pPr>
      <w:bookmarkStart w:id="282" w:name="_Toc459133164"/>
      <w:bookmarkStart w:id="283" w:name="_Toc461803114"/>
      <w:r w:rsidRPr="005C3EC8">
        <w:t>Initial assessment</w:t>
      </w:r>
      <w:bookmarkEnd w:id="282"/>
      <w:bookmarkEnd w:id="283"/>
    </w:p>
    <w:p w14:paraId="06BC512E" w14:textId="2773AD12" w:rsidR="00E035E2" w:rsidRPr="005C3EC8" w:rsidRDefault="005021B3" w:rsidP="00946D61">
      <w:pPr>
        <w:rPr>
          <w:rFonts w:ascii="Calibri" w:hAnsi="Calibri"/>
        </w:rPr>
      </w:pPr>
      <w:r w:rsidRPr="005C3EC8">
        <w:rPr>
          <w:rFonts w:ascii="Calibri" w:hAnsi="Calibri"/>
          <w:color w:val="000000" w:themeColor="text1"/>
          <w:lang w:eastAsia="x-none"/>
        </w:rPr>
        <w:t xml:space="preserve">The International Secretariat’s initial assessment is that </w:t>
      </w:r>
      <w:r w:rsidR="00DE14DA" w:rsidRPr="005C3EC8">
        <w:rPr>
          <w:rFonts w:ascii="Calibri" w:hAnsi="Calibri"/>
          <w:bCs/>
        </w:rPr>
        <w:t>the UK</w:t>
      </w:r>
      <w:r w:rsidR="00DE14DA" w:rsidRPr="005C3EC8">
        <w:rPr>
          <w:rFonts w:ascii="Calibri" w:hAnsi="Calibri"/>
          <w:color w:val="000000" w:themeColor="text1"/>
          <w:lang w:eastAsia="x-none"/>
        </w:rPr>
        <w:t xml:space="preserve"> </w:t>
      </w:r>
      <w:r w:rsidRPr="005C3EC8">
        <w:rPr>
          <w:rFonts w:ascii="Calibri" w:hAnsi="Calibri"/>
          <w:color w:val="000000" w:themeColor="text1"/>
          <w:lang w:eastAsia="x-none"/>
        </w:rPr>
        <w:t xml:space="preserve">has made </w:t>
      </w:r>
      <w:r w:rsidR="004C2003" w:rsidRPr="003B7537">
        <w:rPr>
          <w:rFonts w:ascii="Calibri" w:hAnsi="Calibri"/>
          <w:b/>
          <w:bCs/>
        </w:rPr>
        <w:t>satisfactory</w:t>
      </w:r>
      <w:r w:rsidR="00C8623E" w:rsidRPr="003B7537">
        <w:rPr>
          <w:rFonts w:ascii="Calibri" w:hAnsi="Calibri"/>
          <w:b/>
          <w:color w:val="000000" w:themeColor="text1"/>
          <w:lang w:eastAsia="x-none"/>
        </w:rPr>
        <w:t xml:space="preserve"> </w:t>
      </w:r>
      <w:r w:rsidRPr="003B7537">
        <w:rPr>
          <w:rFonts w:ascii="Calibri" w:hAnsi="Calibri"/>
          <w:b/>
          <w:color w:val="000000" w:themeColor="text1"/>
          <w:lang w:eastAsia="x-none"/>
        </w:rPr>
        <w:t>progress</w:t>
      </w:r>
      <w:r w:rsidRPr="005C3EC8">
        <w:rPr>
          <w:rFonts w:ascii="Calibri" w:hAnsi="Calibri"/>
          <w:color w:val="000000" w:themeColor="text1"/>
          <w:lang w:eastAsia="x-none"/>
        </w:rPr>
        <w:t xml:space="preserve"> in meeting this requirement. </w:t>
      </w:r>
      <w:r w:rsidR="00DE14DA" w:rsidRPr="005C3EC8">
        <w:rPr>
          <w:rFonts w:ascii="Calibri" w:hAnsi="Calibri"/>
        </w:rPr>
        <w:t>The 2016 EITI Report</w:t>
      </w:r>
      <w:r w:rsidR="00BA1C3A" w:rsidRPr="005C3EC8">
        <w:rPr>
          <w:rFonts w:ascii="Calibri" w:hAnsi="Calibri"/>
        </w:rPr>
        <w:t xml:space="preserve"> and UK EITI data available online presents reconciled </w:t>
      </w:r>
      <w:r w:rsidR="004B26F6" w:rsidRPr="005C3EC8">
        <w:rPr>
          <w:rFonts w:ascii="Calibri" w:hAnsi="Calibri"/>
        </w:rPr>
        <w:t xml:space="preserve">financial data </w:t>
      </w:r>
      <w:r w:rsidR="00E035E2" w:rsidRPr="005C3EC8">
        <w:rPr>
          <w:rFonts w:ascii="Calibri" w:hAnsi="Calibri"/>
        </w:rPr>
        <w:t xml:space="preserve">disaggregated by company, revenue stream and government entity, </w:t>
      </w:r>
      <w:r w:rsidR="00DC566E" w:rsidRPr="005C3EC8">
        <w:rPr>
          <w:rFonts w:ascii="Calibri" w:hAnsi="Calibri"/>
        </w:rPr>
        <w:t xml:space="preserve">for all revenues in scope of reconciliation </w:t>
      </w:r>
      <w:r w:rsidR="00E035E2" w:rsidRPr="005C3EC8">
        <w:rPr>
          <w:rFonts w:ascii="Calibri" w:hAnsi="Calibri"/>
        </w:rPr>
        <w:t xml:space="preserve">aside from </w:t>
      </w:r>
      <w:r w:rsidR="00DC566E" w:rsidRPr="005C3EC8">
        <w:rPr>
          <w:rFonts w:ascii="Calibri" w:hAnsi="Calibri"/>
        </w:rPr>
        <w:t>payments to The Crown Estate</w:t>
      </w:r>
      <w:r w:rsidR="00E035E2" w:rsidRPr="005C3EC8">
        <w:rPr>
          <w:rFonts w:ascii="Calibri" w:hAnsi="Calibri"/>
        </w:rPr>
        <w:t xml:space="preserve"> and </w:t>
      </w:r>
      <w:r w:rsidR="00DC566E" w:rsidRPr="005C3EC8">
        <w:rPr>
          <w:rFonts w:ascii="Calibri" w:hAnsi="Calibri"/>
        </w:rPr>
        <w:t>Ring-Fenced Corporation Tax / Supplementary Charge (RFCT/SC)</w:t>
      </w:r>
      <w:r w:rsidR="00E035E2" w:rsidRPr="005C3EC8">
        <w:rPr>
          <w:rFonts w:ascii="Calibri" w:hAnsi="Calibri"/>
        </w:rPr>
        <w:t xml:space="preserve">. </w:t>
      </w:r>
      <w:r w:rsidR="002B6BEE" w:rsidRPr="005C3EC8">
        <w:rPr>
          <w:rFonts w:ascii="Calibri" w:hAnsi="Calibri"/>
        </w:rPr>
        <w:t xml:space="preserve">The report describes four types of revenues collected by TCE, but only presents the results of reconciliation aggregated. </w:t>
      </w:r>
      <w:r w:rsidR="004C2003" w:rsidRPr="005C3EC8">
        <w:rPr>
          <w:rFonts w:ascii="Calibri" w:hAnsi="Calibri"/>
        </w:rPr>
        <w:t xml:space="preserve">However, stakeholder consultations indicated that TCE collected only one revenue stream from mining and quarrying in the scope of EITI reporting, implying that TCE revenues were effectively disaggregated by stream in the 2016 EITI Report. </w:t>
      </w:r>
      <w:r w:rsidR="002B6BEE" w:rsidRPr="005C3EC8">
        <w:rPr>
          <w:rFonts w:ascii="Calibri" w:hAnsi="Calibri"/>
        </w:rPr>
        <w:t xml:space="preserve">Although the results of reconciliation of RFCT/SC, among the largest revenue streams in scope of reconciliation, are presented in aggregate in the 2016 EITI Report, there was consensus amongst stakeholders consulted that it would not have been possible to provide final figures disaggregating the two until up to 24 months after the end of the UK fiscal year, and thus beyond the timeframe set out in Requirement 4.8. </w:t>
      </w:r>
      <w:r w:rsidR="00BB64FA" w:rsidRPr="005C3EC8">
        <w:rPr>
          <w:rFonts w:ascii="Calibri" w:hAnsi="Calibri"/>
        </w:rPr>
        <w:t xml:space="preserve">There is evidence and consensus during consultations that the MSG approved the aggregation of RFCT/SC for EITI reporting purposes. </w:t>
      </w:r>
      <w:r w:rsidR="00ED6ECE" w:rsidRPr="005C3EC8">
        <w:rPr>
          <w:rFonts w:ascii="Calibri" w:hAnsi="Calibri"/>
        </w:rPr>
        <w:t>Payments to the Coal Authority, while not disaggregated</w:t>
      </w:r>
      <w:r w:rsidR="005618F5" w:rsidRPr="005C3EC8">
        <w:rPr>
          <w:rFonts w:ascii="Calibri" w:hAnsi="Calibri"/>
        </w:rPr>
        <w:t xml:space="preserve"> in the 2016 EITI Report</w:t>
      </w:r>
      <w:r w:rsidR="00ED6ECE" w:rsidRPr="005C3EC8">
        <w:rPr>
          <w:rFonts w:ascii="Calibri" w:hAnsi="Calibri"/>
        </w:rPr>
        <w:t xml:space="preserve">, were not in scope of reconciliation. </w:t>
      </w:r>
      <w:r w:rsidR="00E035E2" w:rsidRPr="005C3EC8">
        <w:rPr>
          <w:rFonts w:ascii="Calibri" w:hAnsi="Calibri"/>
        </w:rPr>
        <w:t>There is also evidence of UK EITI go</w:t>
      </w:r>
      <w:r w:rsidR="00F64E90" w:rsidRPr="005C3EC8">
        <w:rPr>
          <w:rFonts w:ascii="Calibri" w:hAnsi="Calibri"/>
        </w:rPr>
        <w:t>ing</w:t>
      </w:r>
      <w:r w:rsidR="00E035E2" w:rsidRPr="005C3EC8">
        <w:rPr>
          <w:rFonts w:ascii="Calibri" w:hAnsi="Calibri"/>
        </w:rPr>
        <w:t xml:space="preserve"> beyond the minimum requirement by </w:t>
      </w:r>
      <w:r w:rsidR="00F64E90" w:rsidRPr="005C3EC8">
        <w:rPr>
          <w:rFonts w:ascii="Calibri" w:hAnsi="Calibri"/>
        </w:rPr>
        <w:t xml:space="preserve">implementing </w:t>
      </w:r>
      <w:r w:rsidR="00E035E2" w:rsidRPr="005C3EC8">
        <w:rPr>
          <w:rFonts w:ascii="Calibri" w:hAnsi="Calibri"/>
        </w:rPr>
        <w:t>project-level reporting for taxes and fees levied on a per-project basis, including those levied by TCE</w:t>
      </w:r>
      <w:r w:rsidR="00F64E90" w:rsidRPr="005C3EC8">
        <w:rPr>
          <w:rFonts w:ascii="Calibri" w:hAnsi="Calibri"/>
        </w:rPr>
        <w:t>, since the start of its EITI reporting</w:t>
      </w:r>
      <w:r w:rsidR="00E035E2" w:rsidRPr="005C3EC8">
        <w:rPr>
          <w:rFonts w:ascii="Calibri" w:hAnsi="Calibri"/>
        </w:rPr>
        <w:t xml:space="preserve">. </w:t>
      </w:r>
      <w:r w:rsidR="00B20B9F" w:rsidRPr="005C3EC8">
        <w:rPr>
          <w:rFonts w:ascii="Calibri" w:hAnsi="Calibri"/>
        </w:rPr>
        <w:t xml:space="preserve">Thus, on balance, the International Secretariat’s view is that the broader objective of disaggregation in revenue disclosures has been fulfilled. </w:t>
      </w:r>
    </w:p>
    <w:p w14:paraId="567EA382" w14:textId="4C88462E" w:rsidR="00E035E2" w:rsidRPr="005C3EC8" w:rsidRDefault="004C2003" w:rsidP="00946D61">
      <w:pPr>
        <w:rPr>
          <w:rFonts w:ascii="Calibri" w:hAnsi="Calibri"/>
          <w:color w:val="000000" w:themeColor="text1"/>
          <w:lang w:eastAsia="x-none"/>
        </w:rPr>
      </w:pPr>
      <w:r w:rsidRPr="005C3EC8">
        <w:rPr>
          <w:rFonts w:ascii="Calibri" w:hAnsi="Calibri"/>
          <w:color w:val="000000" w:themeColor="text1"/>
          <w:lang w:eastAsia="x-none"/>
        </w:rPr>
        <w:t>To strengthen implementation</w:t>
      </w:r>
      <w:r w:rsidR="001A71DE" w:rsidRPr="005C3EC8">
        <w:rPr>
          <w:rFonts w:ascii="Calibri" w:hAnsi="Calibri"/>
          <w:color w:val="000000" w:themeColor="text1"/>
          <w:lang w:eastAsia="x-none"/>
        </w:rPr>
        <w:t xml:space="preserve">, the UK </w:t>
      </w:r>
      <w:r w:rsidRPr="005C3EC8">
        <w:rPr>
          <w:rFonts w:ascii="Calibri" w:hAnsi="Calibri"/>
          <w:color w:val="000000" w:themeColor="text1"/>
          <w:lang w:eastAsia="x-none"/>
        </w:rPr>
        <w:t>is encouraged to</w:t>
      </w:r>
      <w:r w:rsidR="001A71DE" w:rsidRPr="005C3EC8">
        <w:rPr>
          <w:rFonts w:ascii="Calibri" w:hAnsi="Calibri"/>
          <w:color w:val="000000" w:themeColor="text1"/>
          <w:lang w:eastAsia="x-none"/>
        </w:rPr>
        <w:t xml:space="preserve"> ensure that reconciled financial data published through the EITI is consistently </w:t>
      </w:r>
      <w:r w:rsidR="001A71DE" w:rsidRPr="005C3EC8">
        <w:rPr>
          <w:color w:val="000000" w:themeColor="text1"/>
          <w:lang w:eastAsia="x-none"/>
        </w:rPr>
        <w:t>disaggregated by company, government entity</w:t>
      </w:r>
      <w:r w:rsidR="003A64AB" w:rsidRPr="005C3EC8">
        <w:rPr>
          <w:color w:val="000000" w:themeColor="text1"/>
          <w:lang w:eastAsia="x-none"/>
        </w:rPr>
        <w:t xml:space="preserve"> and revenue stream</w:t>
      </w:r>
      <w:r w:rsidR="001A71DE" w:rsidRPr="005C3EC8">
        <w:rPr>
          <w:color w:val="000000" w:themeColor="text1"/>
          <w:lang w:eastAsia="x-none"/>
        </w:rPr>
        <w:t>.</w:t>
      </w:r>
    </w:p>
    <w:p w14:paraId="42E76A2F" w14:textId="51C011A9" w:rsidR="00053472" w:rsidRPr="005C3EC8" w:rsidRDefault="00053472" w:rsidP="0097728B">
      <w:pPr>
        <w:pStyle w:val="Heading2"/>
      </w:pPr>
      <w:bookmarkStart w:id="284" w:name="_Toc459133165"/>
      <w:bookmarkStart w:id="285" w:name="_Toc461803115"/>
      <w:bookmarkStart w:id="286" w:name="_Toc461787348"/>
      <w:bookmarkStart w:id="287" w:name="_Toc461795860"/>
      <w:bookmarkStart w:id="288" w:name="_Toc462149196"/>
      <w:r w:rsidRPr="005C3EC8">
        <w:lastRenderedPageBreak/>
        <w:t>Data timeliness (#4.8)</w:t>
      </w:r>
      <w:bookmarkEnd w:id="284"/>
      <w:bookmarkEnd w:id="285"/>
      <w:bookmarkEnd w:id="286"/>
      <w:bookmarkEnd w:id="287"/>
      <w:bookmarkEnd w:id="288"/>
    </w:p>
    <w:p w14:paraId="2DE9FE2D" w14:textId="51E61C93" w:rsidR="003E58F5" w:rsidRPr="005C3EC8" w:rsidRDefault="00C21BD4" w:rsidP="0097728B">
      <w:pPr>
        <w:pStyle w:val="Heading3"/>
      </w:pPr>
      <w:r w:rsidRPr="005C3EC8">
        <w:t xml:space="preserve">Documentation of progress </w:t>
      </w:r>
    </w:p>
    <w:p w14:paraId="4C6D0D75" w14:textId="7F570055" w:rsidR="000A661C" w:rsidRPr="005C3EC8" w:rsidRDefault="00106EFB" w:rsidP="00106EFB">
      <w:pPr>
        <w:spacing w:before="120"/>
        <w:rPr>
          <w:rFonts w:ascii="Calibri" w:hAnsi="Calibri"/>
        </w:rPr>
      </w:pPr>
      <w:r w:rsidRPr="005C3EC8">
        <w:rPr>
          <w:rFonts w:ascii="Calibri" w:hAnsi="Calibri"/>
          <w:b/>
          <w:i/>
        </w:rPr>
        <w:t>Systematic disclosures</w:t>
      </w:r>
      <w:r w:rsidRPr="005C3EC8">
        <w:rPr>
          <w:rFonts w:ascii="Calibri" w:hAnsi="Calibri"/>
          <w:i/>
        </w:rPr>
        <w:t xml:space="preserve">: </w:t>
      </w:r>
      <w:r w:rsidR="000A661C" w:rsidRPr="005C3EC8">
        <w:rPr>
          <w:rFonts w:ascii="Calibri" w:hAnsi="Calibri"/>
        </w:rPr>
        <w:t>In terms of government disclosures, t</w:t>
      </w:r>
      <w:r w:rsidR="00EA4FA4" w:rsidRPr="005C3EC8">
        <w:rPr>
          <w:rFonts w:ascii="Calibri" w:hAnsi="Calibri"/>
        </w:rPr>
        <w:t>he UK Government website publishes annual figures for oil and gas revenues</w:t>
      </w:r>
      <w:r w:rsidR="00EA4FA4" w:rsidRPr="005C3EC8">
        <w:rPr>
          <w:rStyle w:val="FootnoteReference"/>
          <w:rFonts w:ascii="Calibri" w:hAnsi="Calibri"/>
        </w:rPr>
        <w:footnoteReference w:id="302"/>
      </w:r>
      <w:r w:rsidR="00EA4FA4" w:rsidRPr="005C3EC8">
        <w:rPr>
          <w:rFonts w:ascii="Calibri" w:hAnsi="Calibri"/>
        </w:rPr>
        <w:t>, common tax (e.g. Corporation Tax) revenues</w:t>
      </w:r>
      <w:r w:rsidR="00EA4FA4" w:rsidRPr="005C3EC8">
        <w:rPr>
          <w:rStyle w:val="FootnoteReference"/>
          <w:rFonts w:ascii="Calibri" w:hAnsi="Calibri"/>
        </w:rPr>
        <w:footnoteReference w:id="303"/>
      </w:r>
      <w:r w:rsidR="00EA4FA4" w:rsidRPr="005C3EC8">
        <w:rPr>
          <w:rFonts w:ascii="Calibri" w:hAnsi="Calibri"/>
        </w:rPr>
        <w:t xml:space="preserve"> and OGA-collected revenues</w:t>
      </w:r>
      <w:r w:rsidR="00EA4FA4" w:rsidRPr="005C3EC8">
        <w:rPr>
          <w:rStyle w:val="FootnoteReference"/>
          <w:rFonts w:ascii="Calibri" w:hAnsi="Calibri"/>
        </w:rPr>
        <w:footnoteReference w:id="304"/>
      </w:r>
      <w:r w:rsidR="00EA4FA4" w:rsidRPr="005C3EC8">
        <w:rPr>
          <w:rFonts w:ascii="Calibri" w:hAnsi="Calibri"/>
        </w:rPr>
        <w:t xml:space="preserve"> within six months of the end of the fiscal year. The Coal Authority</w:t>
      </w:r>
      <w:r w:rsidR="00EA4FA4" w:rsidRPr="005C3EC8">
        <w:rPr>
          <w:rStyle w:val="FootnoteReference"/>
          <w:rFonts w:ascii="Calibri" w:hAnsi="Calibri"/>
        </w:rPr>
        <w:footnoteReference w:id="305"/>
      </w:r>
      <w:r w:rsidR="00EA4FA4" w:rsidRPr="005C3EC8">
        <w:rPr>
          <w:rFonts w:ascii="Calibri" w:hAnsi="Calibri"/>
        </w:rPr>
        <w:t xml:space="preserve"> and TCE</w:t>
      </w:r>
      <w:r w:rsidR="00EA4FA4" w:rsidRPr="005C3EC8">
        <w:rPr>
          <w:rStyle w:val="FootnoteReference"/>
          <w:rFonts w:ascii="Calibri" w:hAnsi="Calibri"/>
        </w:rPr>
        <w:footnoteReference w:id="306"/>
      </w:r>
      <w:r w:rsidR="00EA4FA4" w:rsidRPr="005C3EC8">
        <w:rPr>
          <w:rFonts w:ascii="Calibri" w:hAnsi="Calibri"/>
        </w:rPr>
        <w:t xml:space="preserve"> annual reports and accounts are published within a year of the end of the fiscal year under review. </w:t>
      </w:r>
      <w:r w:rsidR="000A661C" w:rsidRPr="005C3EC8">
        <w:rPr>
          <w:rFonts w:ascii="Calibri" w:hAnsi="Calibri"/>
        </w:rPr>
        <w:t xml:space="preserve">In terms of company disclosures, the statutory payments to governments reports required from 34 of the 58 material companies in the 2016 EITI Report are expected to be published within six months of the end of the fiscal year covered. </w:t>
      </w:r>
    </w:p>
    <w:p w14:paraId="3923B1ED" w14:textId="4E5A1028" w:rsidR="00C21BD4" w:rsidRPr="005C3EC8" w:rsidRDefault="00106EFB" w:rsidP="00106EFB">
      <w:pPr>
        <w:spacing w:before="120"/>
        <w:rPr>
          <w:rFonts w:ascii="Calibri" w:hAnsi="Calibri"/>
        </w:rPr>
      </w:pPr>
      <w:r w:rsidRPr="005C3EC8">
        <w:rPr>
          <w:rFonts w:ascii="Calibri" w:hAnsi="Calibri"/>
          <w:b/>
          <w:i/>
        </w:rPr>
        <w:t>EITI Reports</w:t>
      </w:r>
      <w:r w:rsidRPr="005C3EC8">
        <w:rPr>
          <w:rFonts w:ascii="Calibri" w:hAnsi="Calibri"/>
          <w:i/>
        </w:rPr>
        <w:t>:</w:t>
      </w:r>
      <w:r w:rsidRPr="005C3EC8">
        <w:rPr>
          <w:rFonts w:ascii="Calibri" w:hAnsi="Calibri"/>
        </w:rPr>
        <w:t xml:space="preserve"> </w:t>
      </w:r>
      <w:r w:rsidR="00D35C04" w:rsidRPr="005C3EC8">
        <w:rPr>
          <w:rFonts w:ascii="Calibri" w:hAnsi="Calibri"/>
          <w:bCs/>
        </w:rPr>
        <w:t>The 2016 EITI Report was published on 30 April 2018</w:t>
      </w:r>
      <w:r w:rsidR="00D35C04" w:rsidRPr="005C3EC8">
        <w:rPr>
          <w:rStyle w:val="FootnoteReference"/>
          <w:rFonts w:ascii="Calibri" w:hAnsi="Calibri"/>
          <w:bCs/>
        </w:rPr>
        <w:footnoteReference w:id="307"/>
      </w:r>
      <w:r w:rsidR="00D35C04" w:rsidRPr="005C3EC8">
        <w:rPr>
          <w:rFonts w:ascii="Calibri" w:hAnsi="Calibri"/>
          <w:bCs/>
        </w:rPr>
        <w:t xml:space="preserve">, within the </w:t>
      </w:r>
      <w:r w:rsidR="00D35C04" w:rsidRPr="005C3EC8">
        <w:rPr>
          <w:rFonts w:ascii="Calibri" w:hAnsi="Calibri"/>
        </w:rPr>
        <w:t>second to the last complete accounting period. The EITI Reports covering 2014 and 2015 were published on 15 April 2016</w:t>
      </w:r>
      <w:r w:rsidR="00D35C04" w:rsidRPr="005C3EC8">
        <w:rPr>
          <w:rStyle w:val="FootnoteReference"/>
          <w:rFonts w:ascii="Calibri" w:hAnsi="Calibri"/>
        </w:rPr>
        <w:footnoteReference w:id="308"/>
      </w:r>
      <w:r w:rsidR="00D35C04" w:rsidRPr="005C3EC8">
        <w:rPr>
          <w:rFonts w:ascii="Calibri" w:hAnsi="Calibri"/>
        </w:rPr>
        <w:t xml:space="preserve"> and 31 March 2017</w:t>
      </w:r>
      <w:r w:rsidR="00D35C04" w:rsidRPr="005C3EC8">
        <w:rPr>
          <w:rStyle w:val="FootnoteReference"/>
          <w:rFonts w:ascii="Calibri" w:hAnsi="Calibri"/>
        </w:rPr>
        <w:footnoteReference w:id="309"/>
      </w:r>
      <w:r w:rsidR="00D35C04" w:rsidRPr="005C3EC8">
        <w:rPr>
          <w:rFonts w:ascii="Calibri" w:hAnsi="Calibri"/>
        </w:rPr>
        <w:t xml:space="preserve"> respectively. </w:t>
      </w:r>
    </w:p>
    <w:p w14:paraId="58E50AB5" w14:textId="328A50C7" w:rsidR="00D35C04" w:rsidRPr="005C3EC8" w:rsidRDefault="00D35C04" w:rsidP="00C21BD4">
      <w:pPr>
        <w:spacing w:before="120"/>
        <w:rPr>
          <w:rFonts w:ascii="Calibri" w:hAnsi="Calibri"/>
        </w:rPr>
      </w:pPr>
      <w:r w:rsidRPr="005C3EC8">
        <w:rPr>
          <w:rFonts w:ascii="Calibri" w:hAnsi="Calibri"/>
        </w:rPr>
        <w:t xml:space="preserve">The report describes challenges in converting government data from fiscal 2016 (covering April-March) to calendar 2016 data (p.15-16) and consistently refers to cash-based reporting for calendar-2016 (pp.17,20,21,22,48,74), implicitly confirming the MSG’s approval of the reporting period as being 1 January – 31 December 2016. </w:t>
      </w:r>
    </w:p>
    <w:p w14:paraId="296DB38E" w14:textId="5BD6B152" w:rsidR="00C21BD4" w:rsidRPr="005C3EC8" w:rsidRDefault="00C21BD4">
      <w:pPr>
        <w:pStyle w:val="Heading3"/>
      </w:pPr>
      <w:r w:rsidRPr="005C3EC8">
        <w:t>Stakeholder views</w:t>
      </w:r>
    </w:p>
    <w:p w14:paraId="30FAEFAC" w14:textId="2DFED277" w:rsidR="00E37ED7" w:rsidRPr="005C3EC8" w:rsidRDefault="00E37ED7" w:rsidP="00E37ED7">
      <w:pPr>
        <w:spacing w:before="120"/>
        <w:rPr>
          <w:rFonts w:ascii="Calibri" w:hAnsi="Calibri"/>
        </w:rPr>
      </w:pPr>
      <w:r w:rsidRPr="005C3EC8">
        <w:rPr>
          <w:rFonts w:ascii="Calibri" w:hAnsi="Calibri"/>
          <w:i/>
          <w:u w:val="single"/>
        </w:rPr>
        <w:t>Timeliness</w:t>
      </w:r>
      <w:r w:rsidRPr="005C3EC8">
        <w:rPr>
          <w:rFonts w:ascii="Calibri" w:hAnsi="Calibri"/>
          <w:i/>
        </w:rPr>
        <w:t>:</w:t>
      </w:r>
      <w:r w:rsidRPr="005C3EC8">
        <w:rPr>
          <w:rFonts w:ascii="Calibri" w:hAnsi="Calibri"/>
          <w:bCs/>
        </w:rPr>
        <w:t xml:space="preserve"> </w:t>
      </w:r>
      <w:r w:rsidRPr="005C3EC8">
        <w:rPr>
          <w:rFonts w:ascii="Calibri" w:hAnsi="Calibri"/>
        </w:rPr>
        <w:t>Several stakeholders from all constituencies emphasized that the relative lack of public interest in EITI data was partly due to the timeliness of reporting, given that EITI data was generally two years out of date by the time of publication. A senior government official highlighted plans to publish 2018 data in 2019 and annual EITI Reports within months of the end of the year thereafter, integrating updates to the non-financial (contextual) information more frequently online. Several CSN and industry representatives welcomed plans for timelier EITI reporting.</w:t>
      </w:r>
    </w:p>
    <w:p w14:paraId="4FC04182" w14:textId="5E2C402F" w:rsidR="00E37ED7" w:rsidRPr="005C3EC8" w:rsidRDefault="00E37ED7" w:rsidP="00C21BD4">
      <w:pPr>
        <w:spacing w:before="120"/>
        <w:rPr>
          <w:rFonts w:ascii="Calibri" w:hAnsi="Calibri"/>
        </w:rPr>
      </w:pPr>
      <w:r w:rsidRPr="005C3EC8">
        <w:rPr>
          <w:rFonts w:ascii="Calibri" w:hAnsi="Calibri"/>
          <w:i/>
          <w:u w:val="single"/>
        </w:rPr>
        <w:t>Reporting year</w:t>
      </w:r>
      <w:r w:rsidRPr="005C3EC8">
        <w:rPr>
          <w:rFonts w:ascii="Calibri" w:hAnsi="Calibri"/>
        </w:rPr>
        <w:t>: While most the stakeholders consulted could not clearly explain the reasons for the UK’s EITI reporting being based on a calendar year rather than the fiscal year (April-March) of the UK Government, one government representative explained that this had been to align reporting with the 2014 payments to governments regulations.</w:t>
      </w:r>
      <w:r w:rsidRPr="005C3EC8">
        <w:rPr>
          <w:rFonts w:ascii="Calibri" w:hAnsi="Calibri"/>
          <w:vertAlign w:val="superscript"/>
        </w:rPr>
        <w:footnoteReference w:id="310"/>
      </w:r>
      <w:r w:rsidRPr="005C3EC8">
        <w:rPr>
          <w:rFonts w:ascii="Calibri" w:hAnsi="Calibri"/>
        </w:rPr>
        <w:t xml:space="preserve"> In addition, he noted that most oil and gas companies operated on a calendar year, as did the non-financial information required under the EITI. </w:t>
      </w:r>
      <w:r w:rsidR="00C74077" w:rsidRPr="005C3EC8">
        <w:rPr>
          <w:rFonts w:ascii="Calibri" w:hAnsi="Calibri"/>
          <w:bCs/>
        </w:rPr>
        <w:t>An auditor noted the challenge of calculating OGA revenues for a calendar year, given that it only returned unspent funds to levy-paying companies at the end of the fiscal year (March).</w:t>
      </w:r>
    </w:p>
    <w:p w14:paraId="16D484BE" w14:textId="5656F64E" w:rsidR="00C21BD4" w:rsidRPr="005C3EC8" w:rsidRDefault="00C21BD4">
      <w:pPr>
        <w:pStyle w:val="Heading3"/>
      </w:pPr>
      <w:bookmarkStart w:id="289" w:name="_Toc459133166"/>
      <w:bookmarkStart w:id="290" w:name="_Toc461803116"/>
      <w:r w:rsidRPr="005C3EC8">
        <w:lastRenderedPageBreak/>
        <w:t>Initial assessment</w:t>
      </w:r>
      <w:bookmarkEnd w:id="289"/>
      <w:bookmarkEnd w:id="290"/>
    </w:p>
    <w:p w14:paraId="405CD4D0" w14:textId="07FFF236" w:rsidR="001030D3" w:rsidRPr="005C3EC8" w:rsidRDefault="00C21BD4" w:rsidP="00946D61">
      <w:pPr>
        <w:rPr>
          <w:rFonts w:ascii="Calibri" w:hAnsi="Calibri"/>
        </w:rPr>
      </w:pPr>
      <w:r w:rsidRPr="005C3EC8">
        <w:rPr>
          <w:rFonts w:ascii="Calibri" w:hAnsi="Calibri"/>
        </w:rPr>
        <w:t xml:space="preserve">The International Secretariat’s initial assessment is that </w:t>
      </w:r>
      <w:r w:rsidR="00DE14DA" w:rsidRPr="005C3EC8">
        <w:rPr>
          <w:rFonts w:ascii="Calibri" w:hAnsi="Calibri"/>
          <w:bCs/>
        </w:rPr>
        <w:t>the UK</w:t>
      </w:r>
      <w:r w:rsidR="00DE14DA" w:rsidRPr="005C3EC8">
        <w:rPr>
          <w:rFonts w:ascii="Calibri" w:hAnsi="Calibri"/>
        </w:rPr>
        <w:t xml:space="preserve"> </w:t>
      </w:r>
      <w:r w:rsidRPr="005C3EC8">
        <w:rPr>
          <w:rFonts w:ascii="Calibri" w:hAnsi="Calibri"/>
        </w:rPr>
        <w:t xml:space="preserve">has made </w:t>
      </w:r>
      <w:r w:rsidR="00DE14DA" w:rsidRPr="003B7537">
        <w:rPr>
          <w:rFonts w:ascii="Calibri" w:hAnsi="Calibri"/>
          <w:b/>
          <w:bCs/>
        </w:rPr>
        <w:t>satisfactory</w:t>
      </w:r>
      <w:r w:rsidR="00C8623E" w:rsidRPr="003B7537">
        <w:rPr>
          <w:rFonts w:ascii="Calibri" w:hAnsi="Calibri"/>
          <w:b/>
        </w:rPr>
        <w:t xml:space="preserve"> </w:t>
      </w:r>
      <w:r w:rsidRPr="003B7537">
        <w:rPr>
          <w:rFonts w:ascii="Calibri" w:hAnsi="Calibri"/>
          <w:b/>
        </w:rPr>
        <w:t>progress</w:t>
      </w:r>
      <w:r w:rsidRPr="005C3EC8">
        <w:rPr>
          <w:rFonts w:ascii="Calibri" w:hAnsi="Calibri"/>
        </w:rPr>
        <w:t xml:space="preserve"> towards meeting this requirement. </w:t>
      </w:r>
      <w:r w:rsidR="00DE14DA" w:rsidRPr="005C3EC8">
        <w:rPr>
          <w:rFonts w:ascii="Calibri" w:hAnsi="Calibri"/>
        </w:rPr>
        <w:t xml:space="preserve">The </w:t>
      </w:r>
      <w:r w:rsidR="00ED7C1A" w:rsidRPr="005C3EC8">
        <w:rPr>
          <w:rFonts w:ascii="Calibri" w:hAnsi="Calibri"/>
        </w:rPr>
        <w:t>UK has consistently published</w:t>
      </w:r>
      <w:r w:rsidR="00DE14DA" w:rsidRPr="005C3EC8">
        <w:rPr>
          <w:rFonts w:ascii="Calibri" w:hAnsi="Calibri"/>
        </w:rPr>
        <w:t xml:space="preserve"> EITI Re</w:t>
      </w:r>
      <w:r w:rsidR="00ED7C1A" w:rsidRPr="005C3EC8">
        <w:rPr>
          <w:rFonts w:ascii="Calibri" w:hAnsi="Calibri"/>
        </w:rPr>
        <w:t xml:space="preserve">ports on an annual basis, with data no older than the second to last complete accounting period. </w:t>
      </w:r>
    </w:p>
    <w:p w14:paraId="328289AF" w14:textId="2BE72B7D" w:rsidR="00ED7C1A" w:rsidRPr="005C3EC8" w:rsidRDefault="00ED7C1A" w:rsidP="00946D61">
      <w:pPr>
        <w:rPr>
          <w:rFonts w:ascii="Calibri" w:hAnsi="Calibri"/>
        </w:rPr>
      </w:pPr>
      <w:r w:rsidRPr="005C3EC8">
        <w:rPr>
          <w:rFonts w:ascii="Calibri" w:hAnsi="Calibri"/>
        </w:rPr>
        <w:t>To strengthen implementation, the UK is encouraged to pursue its efforts to publish timelier EITI data to ensure a higher relevance and usefulness to public debate.</w:t>
      </w:r>
    </w:p>
    <w:p w14:paraId="4EB476CA" w14:textId="29477EF3" w:rsidR="00946D61" w:rsidRPr="005C3EC8" w:rsidRDefault="001030D3" w:rsidP="0097728B">
      <w:pPr>
        <w:pStyle w:val="Heading2"/>
      </w:pPr>
      <w:bookmarkStart w:id="291" w:name="_Toc459133167"/>
      <w:bookmarkStart w:id="292" w:name="_Toc461803117"/>
      <w:bookmarkStart w:id="293" w:name="_Toc461787349"/>
      <w:bookmarkStart w:id="294" w:name="_Toc461795861"/>
      <w:bookmarkStart w:id="295" w:name="_Toc462149197"/>
      <w:r w:rsidRPr="005C3EC8">
        <w:t>Data quality (#4.9)</w:t>
      </w:r>
      <w:bookmarkEnd w:id="291"/>
      <w:bookmarkEnd w:id="292"/>
      <w:bookmarkEnd w:id="293"/>
      <w:bookmarkEnd w:id="294"/>
      <w:bookmarkEnd w:id="295"/>
    </w:p>
    <w:p w14:paraId="1D716D8A" w14:textId="45AE6146" w:rsidR="003E58F5" w:rsidRPr="005C3EC8" w:rsidRDefault="001030D3" w:rsidP="0097728B">
      <w:pPr>
        <w:pStyle w:val="Heading3"/>
      </w:pPr>
      <w:r w:rsidRPr="005C3EC8">
        <w:t xml:space="preserve">Documentation of progress </w:t>
      </w:r>
    </w:p>
    <w:p w14:paraId="7BD44916" w14:textId="3B6EFE73" w:rsidR="00106EFB" w:rsidRPr="005C3EC8" w:rsidRDefault="00106EFB" w:rsidP="00106EFB">
      <w:pPr>
        <w:spacing w:before="120"/>
        <w:rPr>
          <w:rFonts w:ascii="Calibri" w:hAnsi="Calibri"/>
        </w:rPr>
      </w:pPr>
      <w:r w:rsidRPr="005C3EC8">
        <w:rPr>
          <w:rFonts w:ascii="Calibri" w:hAnsi="Calibri"/>
          <w:b/>
          <w:i/>
        </w:rPr>
        <w:t>Systematic disclosures</w:t>
      </w:r>
      <w:r w:rsidRPr="005C3EC8">
        <w:rPr>
          <w:rFonts w:ascii="Calibri" w:hAnsi="Calibri"/>
          <w:i/>
        </w:rPr>
        <w:t xml:space="preserve">: </w:t>
      </w:r>
      <w:r w:rsidR="003A5A96" w:rsidRPr="005C3EC8">
        <w:rPr>
          <w:rFonts w:ascii="Calibri" w:hAnsi="Calibri"/>
        </w:rPr>
        <w:t xml:space="preserve">Government accounts are audited by the National Audit Office </w:t>
      </w:r>
      <w:r w:rsidR="001D4946" w:rsidRPr="005C3EC8">
        <w:rPr>
          <w:rFonts w:ascii="Calibri" w:hAnsi="Calibri"/>
        </w:rPr>
        <w:t>and reviewed by Parliament’s Public Accounts Committee.</w:t>
      </w:r>
      <w:r w:rsidR="001D4946" w:rsidRPr="005C3EC8">
        <w:rPr>
          <w:rStyle w:val="FootnoteReference"/>
          <w:rFonts w:ascii="Calibri" w:hAnsi="Calibri"/>
        </w:rPr>
        <w:footnoteReference w:id="311"/>
      </w:r>
      <w:r w:rsidR="001D4946" w:rsidRPr="005C3EC8">
        <w:rPr>
          <w:rFonts w:ascii="Calibri" w:hAnsi="Calibri"/>
        </w:rPr>
        <w:t xml:space="preserve"> The NAO’s “Whole of Government Accounts” are published annually on the NAO website</w:t>
      </w:r>
      <w:r w:rsidR="001D4946" w:rsidRPr="005C3EC8">
        <w:rPr>
          <w:rStyle w:val="FootnoteReference"/>
          <w:rFonts w:ascii="Calibri" w:hAnsi="Calibri"/>
        </w:rPr>
        <w:footnoteReference w:id="312"/>
      </w:r>
      <w:r w:rsidR="001D4946" w:rsidRPr="005C3EC8">
        <w:rPr>
          <w:rFonts w:ascii="Calibri" w:hAnsi="Calibri"/>
        </w:rPr>
        <w:t xml:space="preserve">, within six months of the end of the fiscal year covered. For extractives companies, </w:t>
      </w:r>
      <w:r w:rsidR="00747991" w:rsidRPr="005C3EC8">
        <w:rPr>
          <w:rFonts w:ascii="Calibri" w:hAnsi="Calibri"/>
        </w:rPr>
        <w:t>the 2006 Companies Act and the 2012 Companies and Limited Liability Partnerships (Accounts and Audit Exemptions and Change of Accounting Framework) Regulations provide the statutory requirements for external audits of company accounts.</w:t>
      </w:r>
      <w:r w:rsidR="00747991" w:rsidRPr="005C3EC8">
        <w:rPr>
          <w:rStyle w:val="FootnoteReference"/>
          <w:rFonts w:ascii="Calibri" w:hAnsi="Calibri"/>
        </w:rPr>
        <w:footnoteReference w:id="313"/>
      </w:r>
      <w:r w:rsidR="00747991" w:rsidRPr="005C3EC8">
        <w:rPr>
          <w:rFonts w:ascii="Calibri" w:hAnsi="Calibri"/>
        </w:rPr>
        <w:t xml:space="preserve"> Annual accounts are required to be audited for all companies </w:t>
      </w:r>
      <w:r w:rsidR="00EB4B2A" w:rsidRPr="005C3EC8">
        <w:rPr>
          <w:rFonts w:ascii="Calibri" w:hAnsi="Calibri"/>
        </w:rPr>
        <w:t>other than those with annual turnover of under GBP 10.2m, assets worth less than GBP 3.26m or less than 50 employees on average.</w:t>
      </w:r>
      <w:r w:rsidR="009A7A3F" w:rsidRPr="005C3EC8">
        <w:rPr>
          <w:rFonts w:ascii="Calibri" w:hAnsi="Calibri"/>
        </w:rPr>
        <w:t xml:space="preserve"> Annual returns of all material companies are available through the Companies House register.</w:t>
      </w:r>
      <w:r w:rsidR="009A7A3F" w:rsidRPr="005C3EC8">
        <w:rPr>
          <w:rStyle w:val="FootnoteReference"/>
          <w:rFonts w:ascii="Calibri" w:hAnsi="Calibri"/>
        </w:rPr>
        <w:footnoteReference w:id="314"/>
      </w:r>
    </w:p>
    <w:p w14:paraId="58AA3835" w14:textId="0070845D" w:rsidR="009F0EA6" w:rsidRPr="005C3EC8" w:rsidRDefault="00106EFB" w:rsidP="00106EFB">
      <w:pPr>
        <w:spacing w:before="120"/>
        <w:rPr>
          <w:rFonts w:ascii="Calibri" w:hAnsi="Calibri"/>
        </w:rPr>
      </w:pPr>
      <w:r w:rsidRPr="005C3EC8">
        <w:rPr>
          <w:rFonts w:ascii="Calibri" w:hAnsi="Calibri"/>
          <w:b/>
          <w:i/>
        </w:rPr>
        <w:t>EITI Reports</w:t>
      </w:r>
      <w:r w:rsidRPr="005C3EC8">
        <w:rPr>
          <w:rFonts w:ascii="Calibri" w:hAnsi="Calibri"/>
          <w:i/>
        </w:rPr>
        <w:t>:</w:t>
      </w:r>
      <w:r w:rsidRPr="005C3EC8">
        <w:rPr>
          <w:rFonts w:ascii="Calibri" w:hAnsi="Calibri"/>
        </w:rPr>
        <w:t xml:space="preserve"> </w:t>
      </w:r>
      <w:r w:rsidR="00FC66A7" w:rsidRPr="005C3EC8">
        <w:rPr>
          <w:rFonts w:ascii="Calibri" w:hAnsi="Calibri"/>
          <w:i/>
          <w:u w:val="single"/>
        </w:rPr>
        <w:t>Terms of Reference for the Independent Administrator:</w:t>
      </w:r>
      <w:r w:rsidR="00FC66A7" w:rsidRPr="005C3EC8">
        <w:rPr>
          <w:rFonts w:ascii="Calibri" w:hAnsi="Calibri"/>
          <w:i/>
        </w:rPr>
        <w:t xml:space="preserve"> </w:t>
      </w:r>
      <w:r w:rsidR="00CC5D72" w:rsidRPr="005C3EC8">
        <w:rPr>
          <w:rFonts w:ascii="Calibri" w:hAnsi="Calibri"/>
        </w:rPr>
        <w:t xml:space="preserve">The MSG originally formed a sub-group on the Independent Administrator (IA) </w:t>
      </w:r>
      <w:r w:rsidR="00FC6BC4" w:rsidRPr="005C3EC8">
        <w:rPr>
          <w:rFonts w:ascii="Calibri" w:hAnsi="Calibri"/>
        </w:rPr>
        <w:t xml:space="preserve">in July 2014, </w:t>
      </w:r>
      <w:r w:rsidR="00001157" w:rsidRPr="005C3EC8">
        <w:rPr>
          <w:rFonts w:ascii="Calibri" w:hAnsi="Calibri"/>
        </w:rPr>
        <w:t xml:space="preserve">as </w:t>
      </w:r>
      <w:r w:rsidR="00CC5D72" w:rsidRPr="005C3EC8">
        <w:rPr>
          <w:rFonts w:ascii="Calibri" w:hAnsi="Calibri"/>
        </w:rPr>
        <w:t>the UK</w:t>
      </w:r>
      <w:r w:rsidR="00001157" w:rsidRPr="005C3EC8">
        <w:rPr>
          <w:rFonts w:ascii="Calibri" w:hAnsi="Calibri"/>
        </w:rPr>
        <w:t xml:space="preserve"> </w:t>
      </w:r>
      <w:r w:rsidR="00FC6BC4" w:rsidRPr="005C3EC8">
        <w:rPr>
          <w:rFonts w:ascii="Calibri" w:hAnsi="Calibri"/>
        </w:rPr>
        <w:t xml:space="preserve">was preparing its </w:t>
      </w:r>
      <w:r w:rsidR="00CC5D72" w:rsidRPr="005C3EC8">
        <w:rPr>
          <w:rFonts w:ascii="Calibri" w:hAnsi="Calibri"/>
        </w:rPr>
        <w:t xml:space="preserve">EITI Candidature </w:t>
      </w:r>
      <w:r w:rsidR="00001157" w:rsidRPr="005C3EC8">
        <w:rPr>
          <w:rFonts w:ascii="Calibri" w:hAnsi="Calibri"/>
        </w:rPr>
        <w:t>application</w:t>
      </w:r>
      <w:r w:rsidR="00CC5D72" w:rsidRPr="005C3EC8">
        <w:rPr>
          <w:rFonts w:ascii="Calibri" w:hAnsi="Calibri"/>
        </w:rPr>
        <w:t>.</w:t>
      </w:r>
      <w:r w:rsidR="00CC5D72" w:rsidRPr="005C3EC8">
        <w:rPr>
          <w:rStyle w:val="FootnoteReference"/>
          <w:rFonts w:ascii="Calibri" w:hAnsi="Calibri"/>
        </w:rPr>
        <w:footnoteReference w:id="315"/>
      </w:r>
      <w:r w:rsidR="00FD31AD" w:rsidRPr="005C3EC8">
        <w:rPr>
          <w:rFonts w:ascii="Calibri" w:hAnsi="Calibri"/>
        </w:rPr>
        <w:t xml:space="preserve"> </w:t>
      </w:r>
      <w:r w:rsidR="006A69F3" w:rsidRPr="005C3EC8">
        <w:rPr>
          <w:rFonts w:ascii="Calibri" w:hAnsi="Calibri"/>
        </w:rPr>
        <w:t xml:space="preserve">The sub-group presented a draft of the </w:t>
      </w:r>
      <w:proofErr w:type="spellStart"/>
      <w:r w:rsidR="006A69F3" w:rsidRPr="005C3EC8">
        <w:rPr>
          <w:rFonts w:ascii="Calibri" w:hAnsi="Calibri"/>
        </w:rPr>
        <w:t>ToR</w:t>
      </w:r>
      <w:proofErr w:type="spellEnd"/>
      <w:r w:rsidR="006A69F3" w:rsidRPr="005C3EC8">
        <w:rPr>
          <w:rFonts w:ascii="Calibri" w:hAnsi="Calibri"/>
        </w:rPr>
        <w:t xml:space="preserve"> to the MSG at its 27 January 2015 meeting</w:t>
      </w:r>
      <w:r w:rsidR="00FD31AD" w:rsidRPr="005C3EC8">
        <w:rPr>
          <w:rFonts w:ascii="Calibri" w:hAnsi="Calibri"/>
        </w:rPr>
        <w:t xml:space="preserve">, where MSG members suggested final edits and agreed to approve the amended </w:t>
      </w:r>
      <w:proofErr w:type="spellStart"/>
      <w:r w:rsidR="00FD31AD" w:rsidRPr="005C3EC8">
        <w:rPr>
          <w:rFonts w:ascii="Calibri" w:hAnsi="Calibri"/>
        </w:rPr>
        <w:t>ToR</w:t>
      </w:r>
      <w:proofErr w:type="spellEnd"/>
      <w:r w:rsidR="00FD31AD" w:rsidRPr="005C3EC8">
        <w:rPr>
          <w:rFonts w:ascii="Calibri" w:hAnsi="Calibri"/>
        </w:rPr>
        <w:t xml:space="preserve"> by circular</w:t>
      </w:r>
      <w:r w:rsidR="006A69F3" w:rsidRPr="005C3EC8">
        <w:rPr>
          <w:rFonts w:ascii="Calibri" w:hAnsi="Calibri"/>
        </w:rPr>
        <w:t>.</w:t>
      </w:r>
      <w:r w:rsidR="006A69F3" w:rsidRPr="005C3EC8">
        <w:rPr>
          <w:rStyle w:val="FootnoteReference"/>
          <w:rFonts w:ascii="Calibri" w:hAnsi="Calibri"/>
        </w:rPr>
        <w:footnoteReference w:id="316"/>
      </w:r>
      <w:r w:rsidR="00982DF0" w:rsidRPr="005C3EC8">
        <w:rPr>
          <w:rFonts w:ascii="Calibri" w:hAnsi="Calibri"/>
        </w:rPr>
        <w:t xml:space="preserve"> </w:t>
      </w:r>
      <w:r w:rsidR="008D2FD7" w:rsidRPr="005C3EC8">
        <w:rPr>
          <w:rFonts w:ascii="Calibri" w:hAnsi="Calibri"/>
          <w:bCs/>
        </w:rPr>
        <w:t xml:space="preserve">The 2016 EITI Report confirms that the IA’s work was undertaken in line with the </w:t>
      </w:r>
      <w:proofErr w:type="spellStart"/>
      <w:r w:rsidR="008D2FD7" w:rsidRPr="005C3EC8">
        <w:rPr>
          <w:rFonts w:ascii="Calibri" w:hAnsi="Calibri"/>
          <w:bCs/>
        </w:rPr>
        <w:t>ToR</w:t>
      </w:r>
      <w:proofErr w:type="spellEnd"/>
      <w:r w:rsidR="008D2FD7" w:rsidRPr="005C3EC8">
        <w:rPr>
          <w:rFonts w:ascii="Calibri" w:hAnsi="Calibri"/>
          <w:bCs/>
        </w:rPr>
        <w:t xml:space="preserve"> agreed by the MSG </w:t>
      </w:r>
      <w:r w:rsidR="00E41184" w:rsidRPr="005C3EC8">
        <w:rPr>
          <w:rFonts w:ascii="Calibri" w:hAnsi="Calibri"/>
          <w:bCs/>
        </w:rPr>
        <w:t xml:space="preserve">in </w:t>
      </w:r>
      <w:r w:rsidR="008D2FD7" w:rsidRPr="005C3EC8">
        <w:rPr>
          <w:rFonts w:ascii="Calibri" w:hAnsi="Calibri"/>
          <w:bCs/>
        </w:rPr>
        <w:t xml:space="preserve">January 2015 (p.77). </w:t>
      </w:r>
      <w:r w:rsidR="00B661C2" w:rsidRPr="005C3EC8">
        <w:rPr>
          <w:rFonts w:ascii="Calibri" w:hAnsi="Calibri"/>
        </w:rPr>
        <w:t xml:space="preserve">The </w:t>
      </w:r>
      <w:proofErr w:type="spellStart"/>
      <w:r w:rsidR="00B661C2" w:rsidRPr="005C3EC8">
        <w:rPr>
          <w:rFonts w:ascii="Calibri" w:hAnsi="Calibri"/>
        </w:rPr>
        <w:t>ToR</w:t>
      </w:r>
      <w:proofErr w:type="spellEnd"/>
      <w:r w:rsidR="00B661C2" w:rsidRPr="005C3EC8">
        <w:rPr>
          <w:rFonts w:ascii="Calibri" w:hAnsi="Calibri"/>
        </w:rPr>
        <w:t xml:space="preserve"> for the 2016</w:t>
      </w:r>
      <w:r w:rsidR="00976688" w:rsidRPr="005C3EC8">
        <w:rPr>
          <w:rFonts w:ascii="Calibri" w:hAnsi="Calibri"/>
        </w:rPr>
        <w:t xml:space="preserve"> EITI Report is generally consistent with the standard </w:t>
      </w:r>
      <w:proofErr w:type="spellStart"/>
      <w:r w:rsidR="00976688" w:rsidRPr="005C3EC8">
        <w:rPr>
          <w:rFonts w:ascii="Calibri" w:hAnsi="Calibri"/>
        </w:rPr>
        <w:t>ToR</w:t>
      </w:r>
      <w:proofErr w:type="spellEnd"/>
      <w:r w:rsidR="00976688" w:rsidRPr="005C3EC8">
        <w:rPr>
          <w:rFonts w:ascii="Calibri" w:hAnsi="Calibri"/>
        </w:rPr>
        <w:t xml:space="preserve"> agreed by the EITI Board (as of 2016)</w:t>
      </w:r>
      <w:r w:rsidR="00B661C2" w:rsidRPr="005C3EC8">
        <w:rPr>
          <w:rFonts w:ascii="Calibri" w:hAnsi="Calibri"/>
        </w:rPr>
        <w:t xml:space="preserve">, although the </w:t>
      </w:r>
      <w:proofErr w:type="spellStart"/>
      <w:r w:rsidR="00B661C2" w:rsidRPr="005C3EC8">
        <w:rPr>
          <w:rFonts w:ascii="Calibri" w:hAnsi="Calibri"/>
        </w:rPr>
        <w:t>ToR</w:t>
      </w:r>
      <w:proofErr w:type="spellEnd"/>
      <w:r w:rsidR="00B661C2" w:rsidRPr="005C3EC8">
        <w:rPr>
          <w:rFonts w:ascii="Calibri" w:hAnsi="Calibri"/>
        </w:rPr>
        <w:t xml:space="preserve"> was amended to ensure the intellectual property of the EITI Report rested with the MS</w:t>
      </w:r>
      <w:r w:rsidR="0041175E" w:rsidRPr="005C3EC8">
        <w:rPr>
          <w:rFonts w:ascii="Calibri" w:hAnsi="Calibri"/>
        </w:rPr>
        <w:t>G, not the Department for BEIS</w:t>
      </w:r>
      <w:r w:rsidR="00976688" w:rsidRPr="005C3EC8">
        <w:rPr>
          <w:rFonts w:ascii="Calibri" w:hAnsi="Calibri"/>
        </w:rPr>
        <w:t xml:space="preserve">. </w:t>
      </w:r>
      <w:r w:rsidR="006052DF" w:rsidRPr="005C3EC8">
        <w:rPr>
          <w:rFonts w:ascii="Calibri" w:hAnsi="Calibri"/>
        </w:rPr>
        <w:t xml:space="preserve">The MSG also agreed to amend the </w:t>
      </w:r>
      <w:proofErr w:type="spellStart"/>
      <w:r w:rsidR="006052DF" w:rsidRPr="005C3EC8">
        <w:rPr>
          <w:rFonts w:ascii="Calibri" w:hAnsi="Calibri"/>
        </w:rPr>
        <w:t>ToR</w:t>
      </w:r>
      <w:proofErr w:type="spellEnd"/>
      <w:r w:rsidR="006052DF" w:rsidRPr="005C3EC8">
        <w:rPr>
          <w:rFonts w:ascii="Calibri" w:hAnsi="Calibri"/>
        </w:rPr>
        <w:t xml:space="preserve"> to codify its responsibility for drafting the contextual (non-financial) sections of the 2016 EITI Report, with the IA responsible for edits and layout. </w:t>
      </w:r>
    </w:p>
    <w:p w14:paraId="77181C52" w14:textId="45DBCF4F" w:rsidR="00FD31AD" w:rsidRPr="005C3EC8" w:rsidRDefault="001030D3" w:rsidP="00FD31AD">
      <w:pPr>
        <w:spacing w:before="120"/>
        <w:rPr>
          <w:rFonts w:ascii="Calibri" w:hAnsi="Calibri"/>
        </w:rPr>
      </w:pPr>
      <w:r w:rsidRPr="005C3EC8">
        <w:rPr>
          <w:rFonts w:ascii="Calibri" w:hAnsi="Calibri"/>
          <w:i/>
          <w:u w:val="single"/>
        </w:rPr>
        <w:t>Appointment of the Independent Administrator (IA):</w:t>
      </w:r>
      <w:r w:rsidRPr="005C3EC8">
        <w:rPr>
          <w:rFonts w:ascii="Calibri" w:hAnsi="Calibri"/>
          <w:i/>
        </w:rPr>
        <w:t xml:space="preserve"> </w:t>
      </w:r>
      <w:r w:rsidR="00FD31AD" w:rsidRPr="005C3EC8">
        <w:rPr>
          <w:rFonts w:ascii="Calibri" w:hAnsi="Calibri"/>
        </w:rPr>
        <w:t>Meeting five times in all, the sub-group on the IA</w:t>
      </w:r>
      <w:r w:rsidR="00C51364" w:rsidRPr="005C3EC8">
        <w:rPr>
          <w:rFonts w:ascii="Calibri" w:hAnsi="Calibri"/>
        </w:rPr>
        <w:t xml:space="preserve"> agreed in September 2014</w:t>
      </w:r>
      <w:r w:rsidR="00FD31AD" w:rsidRPr="005C3EC8">
        <w:rPr>
          <w:rFonts w:ascii="Calibri" w:hAnsi="Calibri"/>
        </w:rPr>
        <w:t xml:space="preserve"> to use an established government framework allowing a fast-track process as a procurement exercise run centrally and advertised in the Official Journal of the European Union (OJEU) for the procurement of the IA.</w:t>
      </w:r>
      <w:r w:rsidR="00FD31AD" w:rsidRPr="005C3EC8">
        <w:rPr>
          <w:rStyle w:val="FootnoteReference"/>
          <w:rFonts w:ascii="Calibri" w:hAnsi="Calibri"/>
        </w:rPr>
        <w:footnoteReference w:id="317"/>
      </w:r>
      <w:r w:rsidR="00FD31AD" w:rsidRPr="005C3EC8">
        <w:rPr>
          <w:rFonts w:ascii="Calibri" w:hAnsi="Calibri"/>
        </w:rPr>
        <w:t xml:space="preserve"> The </w:t>
      </w:r>
      <w:r w:rsidR="00111C1D" w:rsidRPr="005C3EC8">
        <w:rPr>
          <w:rFonts w:ascii="Calibri" w:hAnsi="Calibri"/>
        </w:rPr>
        <w:t xml:space="preserve">Department for Business, Innovation &amp; Skills (BIS) </w:t>
      </w:r>
      <w:r w:rsidR="00FD31AD" w:rsidRPr="005C3EC8">
        <w:rPr>
          <w:rFonts w:ascii="Calibri" w:hAnsi="Calibri"/>
        </w:rPr>
        <w:t xml:space="preserve">and UK SBS </w:t>
      </w:r>
      <w:r w:rsidR="00FD31AD" w:rsidRPr="005C3EC8">
        <w:rPr>
          <w:rFonts w:ascii="Calibri" w:hAnsi="Calibri"/>
        </w:rPr>
        <w:lastRenderedPageBreak/>
        <w:t>agreed to use the ‘Consultancy One framework, LOT 5.2 (Other assurance and advice)’ for contracting the IA</w:t>
      </w:r>
      <w:r w:rsidR="00FD31AD" w:rsidRPr="005C3EC8">
        <w:rPr>
          <w:rStyle w:val="FootnoteReference"/>
          <w:rFonts w:ascii="Calibri" w:hAnsi="Calibri"/>
        </w:rPr>
        <w:footnoteReference w:id="318"/>
      </w:r>
      <w:r w:rsidR="007B1376" w:rsidRPr="005C3EC8">
        <w:rPr>
          <w:rFonts w:ascii="Calibri" w:hAnsi="Calibri"/>
        </w:rPr>
        <w:t>, which set a ceiling on the contract value at GBP 240,000.</w:t>
      </w:r>
      <w:r w:rsidR="007B1376" w:rsidRPr="005C3EC8">
        <w:rPr>
          <w:rStyle w:val="FootnoteReference"/>
          <w:rFonts w:ascii="Calibri" w:hAnsi="Calibri"/>
        </w:rPr>
        <w:footnoteReference w:id="319"/>
      </w:r>
      <w:r w:rsidR="007B1376" w:rsidRPr="005C3EC8">
        <w:rPr>
          <w:rFonts w:ascii="Calibri" w:hAnsi="Calibri"/>
        </w:rPr>
        <w:t xml:space="preserve"> </w:t>
      </w:r>
      <w:r w:rsidR="00FD31AD" w:rsidRPr="005C3EC8">
        <w:rPr>
          <w:rFonts w:ascii="Calibri" w:hAnsi="Calibri"/>
        </w:rPr>
        <w:t>This resulted in the pre-qualification of nine companies under LOT 5.2.</w:t>
      </w:r>
      <w:r w:rsidR="00FD31AD" w:rsidRPr="005C3EC8">
        <w:rPr>
          <w:rStyle w:val="FootnoteReference"/>
          <w:rFonts w:ascii="Calibri" w:hAnsi="Calibri"/>
        </w:rPr>
        <w:footnoteReference w:id="320"/>
      </w:r>
      <w:r w:rsidR="00C51364" w:rsidRPr="005C3EC8">
        <w:rPr>
          <w:rFonts w:ascii="Calibri" w:hAnsi="Calibri"/>
        </w:rPr>
        <w:t xml:space="preserve"> The MSG agreed to contract the IA for a three-year period, with annual </w:t>
      </w:r>
      <w:proofErr w:type="spellStart"/>
      <w:r w:rsidR="00C51364" w:rsidRPr="005C3EC8">
        <w:rPr>
          <w:rFonts w:ascii="Calibri" w:hAnsi="Calibri"/>
        </w:rPr>
        <w:t>ToR</w:t>
      </w:r>
      <w:proofErr w:type="spellEnd"/>
      <w:r w:rsidR="00C51364" w:rsidRPr="005C3EC8">
        <w:rPr>
          <w:rFonts w:ascii="Calibri" w:hAnsi="Calibri"/>
        </w:rPr>
        <w:t>. The procurement took place in the first quarter of 2015</w:t>
      </w:r>
      <w:r w:rsidR="00111C1D" w:rsidRPr="005C3EC8">
        <w:rPr>
          <w:rStyle w:val="FootnoteReference"/>
          <w:rFonts w:ascii="Calibri" w:hAnsi="Calibri"/>
        </w:rPr>
        <w:footnoteReference w:id="321"/>
      </w:r>
      <w:r w:rsidR="00982DF0" w:rsidRPr="005C3EC8">
        <w:rPr>
          <w:rFonts w:ascii="Calibri" w:hAnsi="Calibri"/>
        </w:rPr>
        <w:t xml:space="preserve">, </w:t>
      </w:r>
      <w:r w:rsidR="00982DF0" w:rsidRPr="005C3EC8">
        <w:rPr>
          <w:rFonts w:ascii="Calibri" w:hAnsi="Calibri"/>
          <w:bCs/>
        </w:rPr>
        <w:t>with a deadline for bids set on 11 February 2015</w:t>
      </w:r>
      <w:r w:rsidR="00982DF0" w:rsidRPr="005C3EC8">
        <w:rPr>
          <w:rStyle w:val="FootnoteReference"/>
          <w:rFonts w:ascii="Calibri" w:hAnsi="Calibri"/>
        </w:rPr>
        <w:footnoteReference w:id="322"/>
      </w:r>
      <w:r w:rsidR="00982DF0" w:rsidRPr="005C3EC8">
        <w:rPr>
          <w:rFonts w:ascii="Calibri" w:hAnsi="Calibri"/>
          <w:bCs/>
        </w:rPr>
        <w:t>,</w:t>
      </w:r>
      <w:r w:rsidR="00C51364" w:rsidRPr="005C3EC8">
        <w:rPr>
          <w:rFonts w:ascii="Calibri" w:hAnsi="Calibri"/>
        </w:rPr>
        <w:t xml:space="preserve"> and the </w:t>
      </w:r>
      <w:r w:rsidR="00111C1D" w:rsidRPr="005C3EC8">
        <w:rPr>
          <w:rFonts w:ascii="Calibri" w:hAnsi="Calibri"/>
        </w:rPr>
        <w:t xml:space="preserve">three-year </w:t>
      </w:r>
      <w:r w:rsidR="00C51364" w:rsidRPr="005C3EC8">
        <w:rPr>
          <w:rFonts w:ascii="Calibri" w:hAnsi="Calibri"/>
        </w:rPr>
        <w:t xml:space="preserve">contract was concluded </w:t>
      </w:r>
      <w:r w:rsidR="00111C1D" w:rsidRPr="005C3EC8">
        <w:rPr>
          <w:rFonts w:ascii="Calibri" w:hAnsi="Calibri"/>
        </w:rPr>
        <w:t>on 1 May</w:t>
      </w:r>
      <w:r w:rsidR="00C51364" w:rsidRPr="005C3EC8">
        <w:rPr>
          <w:rFonts w:ascii="Calibri" w:hAnsi="Calibri"/>
        </w:rPr>
        <w:t xml:space="preserve"> 2015.</w:t>
      </w:r>
      <w:r w:rsidR="00111C1D" w:rsidRPr="005C3EC8">
        <w:rPr>
          <w:rStyle w:val="FootnoteReference"/>
          <w:rFonts w:ascii="Calibri" w:hAnsi="Calibri"/>
        </w:rPr>
        <w:footnoteReference w:id="323"/>
      </w:r>
      <w:r w:rsidR="00111C1D" w:rsidRPr="005C3EC8">
        <w:rPr>
          <w:rFonts w:ascii="Calibri" w:hAnsi="Calibri"/>
        </w:rPr>
        <w:t xml:space="preserve"> </w:t>
      </w:r>
      <w:r w:rsidR="00982DF0" w:rsidRPr="005C3EC8">
        <w:rPr>
          <w:rFonts w:ascii="Calibri" w:hAnsi="Calibri"/>
          <w:bCs/>
        </w:rPr>
        <w:t>The contracting agent for the IA is the Department of BIS, on behalf of the MSG.</w:t>
      </w:r>
      <w:r w:rsidR="00982DF0" w:rsidRPr="005C3EC8">
        <w:rPr>
          <w:rStyle w:val="FootnoteReference"/>
          <w:rFonts w:ascii="Calibri" w:hAnsi="Calibri"/>
        </w:rPr>
        <w:footnoteReference w:id="324"/>
      </w:r>
      <w:r w:rsidR="00982DF0" w:rsidRPr="005C3EC8">
        <w:rPr>
          <w:rFonts w:ascii="Calibri" w:hAnsi="Calibri"/>
          <w:bCs/>
        </w:rPr>
        <w:t xml:space="preserve"> </w:t>
      </w:r>
      <w:r w:rsidR="00111C1D" w:rsidRPr="005C3EC8">
        <w:rPr>
          <w:rFonts w:ascii="Calibri" w:hAnsi="Calibri"/>
        </w:rPr>
        <w:t>The IA sub-group was subsequently disbanded.</w:t>
      </w:r>
    </w:p>
    <w:p w14:paraId="01C6B1E3" w14:textId="5EE50346" w:rsidR="00C51364" w:rsidRPr="005C3EC8" w:rsidRDefault="00C51364" w:rsidP="00C51364">
      <w:pPr>
        <w:spacing w:before="120"/>
        <w:rPr>
          <w:rFonts w:ascii="Calibri" w:hAnsi="Calibri"/>
        </w:rPr>
      </w:pPr>
      <w:r w:rsidRPr="005C3EC8">
        <w:rPr>
          <w:rFonts w:ascii="Calibri" w:hAnsi="Calibri"/>
          <w:i/>
          <w:u w:val="single"/>
        </w:rPr>
        <w:t xml:space="preserve">Contextual (non-financial) </w:t>
      </w:r>
      <w:r w:rsidR="00C31739" w:rsidRPr="005C3EC8">
        <w:rPr>
          <w:rFonts w:ascii="Calibri" w:hAnsi="Calibri"/>
          <w:i/>
          <w:u w:val="single"/>
        </w:rPr>
        <w:t>information</w:t>
      </w:r>
      <w:r w:rsidR="00C31739" w:rsidRPr="005C3EC8">
        <w:rPr>
          <w:rFonts w:ascii="Calibri" w:hAnsi="Calibri"/>
        </w:rPr>
        <w:t xml:space="preserve">: </w:t>
      </w:r>
      <w:r w:rsidR="00D20086" w:rsidRPr="005C3EC8">
        <w:rPr>
          <w:rFonts w:ascii="Calibri" w:hAnsi="Calibri"/>
        </w:rPr>
        <w:t>The MSG decided to form a sub-group</w:t>
      </w:r>
      <w:r w:rsidR="007B1376" w:rsidRPr="005C3EC8">
        <w:rPr>
          <w:rFonts w:ascii="Calibri" w:hAnsi="Calibri"/>
        </w:rPr>
        <w:t>, chaired by civil society,</w:t>
      </w:r>
      <w:r w:rsidR="00D20086" w:rsidRPr="005C3EC8">
        <w:rPr>
          <w:rFonts w:ascii="Calibri" w:hAnsi="Calibri"/>
        </w:rPr>
        <w:t xml:space="preserve"> to draft the non-financial sections </w:t>
      </w:r>
      <w:r w:rsidR="00B43E03" w:rsidRPr="005C3EC8">
        <w:rPr>
          <w:rFonts w:ascii="Calibri" w:hAnsi="Calibri"/>
        </w:rPr>
        <w:t>of the first (2014) EITI Report</w:t>
      </w:r>
      <w:r w:rsidR="00D20086" w:rsidRPr="005C3EC8">
        <w:rPr>
          <w:rFonts w:ascii="Calibri" w:hAnsi="Calibri"/>
        </w:rPr>
        <w:t>.</w:t>
      </w:r>
      <w:r w:rsidR="00D20086" w:rsidRPr="005C3EC8">
        <w:rPr>
          <w:rStyle w:val="FootnoteReference"/>
          <w:rFonts w:ascii="Calibri" w:hAnsi="Calibri"/>
        </w:rPr>
        <w:footnoteReference w:id="325"/>
      </w:r>
      <w:r w:rsidRPr="005C3EC8">
        <w:rPr>
          <w:rFonts w:ascii="Calibri" w:hAnsi="Calibri"/>
        </w:rPr>
        <w:t xml:space="preserve"> </w:t>
      </w:r>
      <w:r w:rsidR="00B43E03" w:rsidRPr="005C3EC8">
        <w:rPr>
          <w:rFonts w:ascii="Calibri" w:hAnsi="Calibri"/>
        </w:rPr>
        <w:t xml:space="preserve">In early 2015, the MSG agreed </w:t>
      </w:r>
      <w:r w:rsidR="0000526D" w:rsidRPr="005C3EC8">
        <w:rPr>
          <w:rFonts w:ascii="Calibri" w:hAnsi="Calibri"/>
        </w:rPr>
        <w:t>that the contextual information be a standing agenda item at MSG meetings.</w:t>
      </w:r>
      <w:r w:rsidR="0000526D" w:rsidRPr="005C3EC8">
        <w:rPr>
          <w:rStyle w:val="FootnoteReference"/>
          <w:rFonts w:ascii="Calibri" w:hAnsi="Calibri"/>
        </w:rPr>
        <w:footnoteReference w:id="326"/>
      </w:r>
      <w:r w:rsidR="00C05298" w:rsidRPr="005C3EC8">
        <w:rPr>
          <w:rFonts w:ascii="Calibri" w:hAnsi="Calibri"/>
        </w:rPr>
        <w:t xml:space="preserve"> </w:t>
      </w:r>
      <w:r w:rsidR="00EC0F8D" w:rsidRPr="005C3EC8">
        <w:rPr>
          <w:rFonts w:ascii="Calibri" w:hAnsi="Calibri"/>
        </w:rPr>
        <w:t>The sub-group met eight times in 2015 to draft sections of the 2014 EITI Report</w:t>
      </w:r>
      <w:r w:rsidR="00EC0F8D" w:rsidRPr="005C3EC8">
        <w:rPr>
          <w:rStyle w:val="FootnoteReference"/>
          <w:rFonts w:ascii="Calibri" w:hAnsi="Calibri"/>
        </w:rPr>
        <w:footnoteReference w:id="327"/>
      </w:r>
      <w:r w:rsidR="00EC0F8D" w:rsidRPr="005C3EC8">
        <w:rPr>
          <w:rFonts w:ascii="Calibri" w:hAnsi="Calibri"/>
        </w:rPr>
        <w:t>, two times in 2016 for updates in the 2015 EITI Report</w:t>
      </w:r>
      <w:r w:rsidR="00EC0F8D" w:rsidRPr="005C3EC8">
        <w:rPr>
          <w:rStyle w:val="FootnoteReference"/>
          <w:rFonts w:ascii="Calibri" w:hAnsi="Calibri"/>
        </w:rPr>
        <w:footnoteReference w:id="328"/>
      </w:r>
      <w:r w:rsidR="00EC0F8D" w:rsidRPr="005C3EC8">
        <w:rPr>
          <w:rFonts w:ascii="Calibri" w:hAnsi="Calibri"/>
        </w:rPr>
        <w:t xml:space="preserve">, and </w:t>
      </w:r>
      <w:r w:rsidR="001C31CD" w:rsidRPr="005C3EC8">
        <w:rPr>
          <w:rFonts w:ascii="Calibri" w:hAnsi="Calibri"/>
        </w:rPr>
        <w:t>four</w:t>
      </w:r>
      <w:r w:rsidR="00EC0F8D" w:rsidRPr="005C3EC8">
        <w:rPr>
          <w:rFonts w:ascii="Calibri" w:hAnsi="Calibri"/>
        </w:rPr>
        <w:t xml:space="preserve"> times </w:t>
      </w:r>
      <w:r w:rsidR="001C31CD" w:rsidRPr="005C3EC8">
        <w:rPr>
          <w:rFonts w:ascii="Calibri" w:hAnsi="Calibri"/>
        </w:rPr>
        <w:t xml:space="preserve">(formally) </w:t>
      </w:r>
      <w:r w:rsidR="00EC0F8D" w:rsidRPr="005C3EC8">
        <w:rPr>
          <w:rFonts w:ascii="Calibri" w:hAnsi="Calibri"/>
        </w:rPr>
        <w:t>in 2017 for the 2016 EITI Report.</w:t>
      </w:r>
      <w:r w:rsidR="001C31CD" w:rsidRPr="005C3EC8">
        <w:rPr>
          <w:rStyle w:val="FootnoteReference"/>
          <w:rFonts w:ascii="Calibri" w:hAnsi="Calibri"/>
        </w:rPr>
        <w:footnoteReference w:id="329"/>
      </w:r>
    </w:p>
    <w:p w14:paraId="1EBD2CFA" w14:textId="69C5B278" w:rsidR="005738E0" w:rsidRPr="005C3EC8" w:rsidRDefault="001030D3" w:rsidP="00DD4DF5">
      <w:pPr>
        <w:rPr>
          <w:rFonts w:ascii="Calibri" w:hAnsi="Calibri"/>
          <w:bCs/>
        </w:rPr>
      </w:pPr>
      <w:r w:rsidRPr="005C3EC8">
        <w:rPr>
          <w:rFonts w:ascii="Calibri" w:hAnsi="Calibri"/>
          <w:i/>
          <w:u w:val="single"/>
        </w:rPr>
        <w:t>Agreement on the reporting templates:</w:t>
      </w:r>
      <w:r w:rsidRPr="005C3EC8">
        <w:rPr>
          <w:rFonts w:ascii="Calibri" w:hAnsi="Calibri"/>
          <w:i/>
        </w:rPr>
        <w:t xml:space="preserve"> </w:t>
      </w:r>
      <w:r w:rsidR="00645452" w:rsidRPr="005C3EC8">
        <w:rPr>
          <w:rFonts w:ascii="Calibri" w:hAnsi="Calibri"/>
        </w:rPr>
        <w:t xml:space="preserve">The MSG originally approved reporting templates for the UK’s first (2014) EITI Report together with the inception report in </w:t>
      </w:r>
      <w:r w:rsidR="00DE5EA6" w:rsidRPr="005C3EC8">
        <w:rPr>
          <w:rFonts w:ascii="Calibri" w:hAnsi="Calibri"/>
          <w:bCs/>
        </w:rPr>
        <w:t>mid-June 2015.</w:t>
      </w:r>
      <w:r w:rsidR="00DE5EA6" w:rsidRPr="005C3EC8">
        <w:rPr>
          <w:rStyle w:val="FootnoteReference"/>
          <w:rFonts w:ascii="Calibri" w:hAnsi="Calibri"/>
          <w:bCs/>
        </w:rPr>
        <w:footnoteReference w:id="330"/>
      </w:r>
      <w:r w:rsidR="00B95CE9" w:rsidRPr="005C3EC8">
        <w:rPr>
          <w:rFonts w:ascii="Calibri" w:hAnsi="Calibri"/>
          <w:bCs/>
        </w:rPr>
        <w:t xml:space="preserve"> The MSG subsequently approved revised reporting templates for the 2015 EITI Report in </w:t>
      </w:r>
      <w:r w:rsidR="001C31CD" w:rsidRPr="005C3EC8">
        <w:rPr>
          <w:rFonts w:ascii="Calibri" w:hAnsi="Calibri"/>
          <w:bCs/>
        </w:rPr>
        <w:t>July 2016</w:t>
      </w:r>
      <w:r w:rsidR="00B95CE9" w:rsidRPr="005C3EC8">
        <w:rPr>
          <w:rFonts w:ascii="Calibri" w:hAnsi="Calibri"/>
          <w:bCs/>
        </w:rPr>
        <w:t xml:space="preserve"> and for the 2016 EITI Report in </w:t>
      </w:r>
      <w:r w:rsidR="001C31CD" w:rsidRPr="005C3EC8">
        <w:rPr>
          <w:rFonts w:ascii="Calibri" w:hAnsi="Calibri"/>
          <w:bCs/>
        </w:rPr>
        <w:t>July 2017</w:t>
      </w:r>
      <w:r w:rsidR="00B95CE9" w:rsidRPr="005C3EC8">
        <w:rPr>
          <w:rFonts w:ascii="Calibri" w:hAnsi="Calibri"/>
          <w:bCs/>
        </w:rPr>
        <w:t>.</w:t>
      </w:r>
      <w:r w:rsidR="001C31CD" w:rsidRPr="005C3EC8">
        <w:rPr>
          <w:rStyle w:val="FootnoteReference"/>
          <w:rFonts w:ascii="Calibri" w:hAnsi="Calibri"/>
          <w:bCs/>
        </w:rPr>
        <w:footnoteReference w:id="331"/>
      </w:r>
      <w:r w:rsidR="00B95CE9" w:rsidRPr="005C3EC8">
        <w:rPr>
          <w:rFonts w:ascii="Calibri" w:hAnsi="Calibri"/>
          <w:bCs/>
        </w:rPr>
        <w:t xml:space="preserve"> </w:t>
      </w:r>
      <w:r w:rsidR="005738E0" w:rsidRPr="005C3EC8">
        <w:rPr>
          <w:rFonts w:ascii="Calibri" w:hAnsi="Calibri"/>
        </w:rPr>
        <w:t xml:space="preserve">The </w:t>
      </w:r>
      <w:r w:rsidR="00DD4DF5" w:rsidRPr="005C3EC8">
        <w:rPr>
          <w:rFonts w:ascii="Calibri" w:hAnsi="Calibri"/>
        </w:rPr>
        <w:t>2016 EITI R</w:t>
      </w:r>
      <w:r w:rsidR="005738E0" w:rsidRPr="005C3EC8">
        <w:rPr>
          <w:rFonts w:ascii="Calibri" w:hAnsi="Calibri"/>
        </w:rPr>
        <w:t>eport provides a link</w:t>
      </w:r>
      <w:r w:rsidR="005738E0" w:rsidRPr="005C3EC8">
        <w:rPr>
          <w:rFonts w:ascii="Calibri" w:hAnsi="Calibri"/>
          <w:vertAlign w:val="superscript"/>
        </w:rPr>
        <w:footnoteReference w:id="332"/>
      </w:r>
      <w:r w:rsidR="005738E0" w:rsidRPr="005C3EC8">
        <w:rPr>
          <w:rFonts w:ascii="Calibri" w:hAnsi="Calibri"/>
        </w:rPr>
        <w:t xml:space="preserve"> to the reporting templates (also included in Annex 2, pp.85-91)) and instructions, which included step-by-step guide, beneficial ownership guide and confidentiality waiver (p.73). </w:t>
      </w:r>
    </w:p>
    <w:p w14:paraId="20A28387" w14:textId="1F338700" w:rsidR="00C272AA" w:rsidRPr="005C3EC8" w:rsidRDefault="001030D3" w:rsidP="00BB01BE">
      <w:pPr>
        <w:spacing w:before="120"/>
        <w:rPr>
          <w:rFonts w:ascii="Calibri" w:hAnsi="Calibri"/>
        </w:rPr>
      </w:pPr>
      <w:r w:rsidRPr="005C3EC8">
        <w:rPr>
          <w:rFonts w:ascii="Calibri" w:hAnsi="Calibri"/>
          <w:u w:val="single"/>
        </w:rPr>
        <w:t>Review of audit practices</w:t>
      </w:r>
      <w:r w:rsidRPr="005C3EC8">
        <w:rPr>
          <w:rFonts w:ascii="Calibri" w:hAnsi="Calibri"/>
        </w:rPr>
        <w:t xml:space="preserve">: </w:t>
      </w:r>
      <w:r w:rsidR="00BB01BE" w:rsidRPr="005C3EC8">
        <w:rPr>
          <w:rFonts w:ascii="Calibri" w:hAnsi="Calibri"/>
        </w:rPr>
        <w:t xml:space="preserve">The report provides a cursory summary of government audit and assurance procedures, noting that </w:t>
      </w:r>
      <w:r w:rsidR="002B5765" w:rsidRPr="005C3EC8">
        <w:rPr>
          <w:rFonts w:ascii="Calibri" w:hAnsi="Calibri"/>
        </w:rPr>
        <w:t xml:space="preserve">the NAO is statutorily required to audit government accounts, which are also scrutinised by the Public Accounts Committee (p.68). </w:t>
      </w:r>
      <w:r w:rsidR="00C272AA" w:rsidRPr="005C3EC8">
        <w:rPr>
          <w:rFonts w:ascii="Calibri" w:hAnsi="Calibri"/>
        </w:rPr>
        <w:t>While the report does not explicitly confirm that the NAO had audited government accounts for 2016 at the time of preparation of the 2016 EITI Report, it provides a general link</w:t>
      </w:r>
      <w:r w:rsidR="00C272AA" w:rsidRPr="005C3EC8">
        <w:rPr>
          <w:rStyle w:val="FootnoteReference"/>
          <w:rFonts w:ascii="Calibri" w:hAnsi="Calibri"/>
        </w:rPr>
        <w:footnoteReference w:id="333"/>
      </w:r>
      <w:r w:rsidR="00C272AA" w:rsidRPr="005C3EC8">
        <w:rPr>
          <w:rFonts w:ascii="Calibri" w:hAnsi="Calibri"/>
        </w:rPr>
        <w:t xml:space="preserve"> to the main NAO website</w:t>
      </w:r>
      <w:r w:rsidR="000F613B" w:rsidRPr="005C3EC8">
        <w:rPr>
          <w:rFonts w:ascii="Calibri" w:hAnsi="Calibri"/>
        </w:rPr>
        <w:t xml:space="preserve"> (p.68)</w:t>
      </w:r>
      <w:r w:rsidR="00C272AA" w:rsidRPr="005C3EC8">
        <w:rPr>
          <w:rFonts w:ascii="Calibri" w:hAnsi="Calibri"/>
        </w:rPr>
        <w:t>, from which it is possible to access NAO annual report and accounts</w:t>
      </w:r>
      <w:r w:rsidR="00C272AA" w:rsidRPr="005C3EC8">
        <w:rPr>
          <w:rStyle w:val="FootnoteReference"/>
          <w:rFonts w:ascii="Calibri" w:hAnsi="Calibri"/>
        </w:rPr>
        <w:footnoteReference w:id="334"/>
      </w:r>
      <w:r w:rsidR="00B142C1" w:rsidRPr="005C3EC8">
        <w:rPr>
          <w:rFonts w:ascii="Calibri" w:hAnsi="Calibri"/>
        </w:rPr>
        <w:t xml:space="preserve"> and </w:t>
      </w:r>
      <w:r w:rsidR="000F613B" w:rsidRPr="005C3EC8">
        <w:rPr>
          <w:rFonts w:ascii="Calibri" w:hAnsi="Calibri"/>
        </w:rPr>
        <w:t>reports on annual accounts of revenue-collecting entities.</w:t>
      </w:r>
      <w:r w:rsidR="000F613B" w:rsidRPr="005C3EC8">
        <w:rPr>
          <w:rStyle w:val="FootnoteReference"/>
          <w:rFonts w:ascii="Calibri" w:hAnsi="Calibri"/>
        </w:rPr>
        <w:footnoteReference w:id="335"/>
      </w:r>
    </w:p>
    <w:p w14:paraId="5ECA0BCB" w14:textId="527640FE" w:rsidR="002B5765" w:rsidRPr="005C3EC8" w:rsidRDefault="000F613B" w:rsidP="000F613B">
      <w:pPr>
        <w:spacing w:before="120"/>
        <w:rPr>
          <w:rFonts w:ascii="Calibri" w:hAnsi="Calibri"/>
        </w:rPr>
      </w:pPr>
      <w:r w:rsidRPr="005C3EC8">
        <w:rPr>
          <w:rFonts w:ascii="Calibri" w:hAnsi="Calibri"/>
        </w:rPr>
        <w:t xml:space="preserve">However, the report </w:t>
      </w:r>
      <w:r w:rsidR="00BB01BE" w:rsidRPr="005C3EC8">
        <w:rPr>
          <w:rFonts w:ascii="Calibri" w:hAnsi="Calibri"/>
        </w:rPr>
        <w:t xml:space="preserve">does not provide an </w:t>
      </w:r>
      <w:r w:rsidR="00C272AA" w:rsidRPr="005C3EC8">
        <w:rPr>
          <w:rFonts w:ascii="Calibri" w:hAnsi="Calibri"/>
        </w:rPr>
        <w:t xml:space="preserve">overview </w:t>
      </w:r>
      <w:r w:rsidRPr="005C3EC8">
        <w:rPr>
          <w:rFonts w:ascii="Calibri" w:hAnsi="Calibri"/>
        </w:rPr>
        <w:t xml:space="preserve">of statutory audit and assurance procedures for extractives companies, aside from reference to the fact that </w:t>
      </w:r>
      <w:r w:rsidR="002B5765" w:rsidRPr="005C3EC8">
        <w:rPr>
          <w:rFonts w:ascii="Calibri" w:hAnsi="Calibri"/>
        </w:rPr>
        <w:t xml:space="preserve">“a number of companies” in the </w:t>
      </w:r>
      <w:r w:rsidRPr="005C3EC8">
        <w:rPr>
          <w:rFonts w:ascii="Calibri" w:hAnsi="Calibri"/>
        </w:rPr>
        <w:t xml:space="preserve">scope of EITI </w:t>
      </w:r>
      <w:r w:rsidR="002B5765" w:rsidRPr="005C3EC8">
        <w:rPr>
          <w:rFonts w:ascii="Calibri" w:hAnsi="Calibri"/>
        </w:rPr>
        <w:t>report</w:t>
      </w:r>
      <w:r w:rsidRPr="005C3EC8">
        <w:rPr>
          <w:rFonts w:ascii="Calibri" w:hAnsi="Calibri"/>
        </w:rPr>
        <w:t>ing</w:t>
      </w:r>
      <w:r w:rsidR="002B5765" w:rsidRPr="005C3EC8">
        <w:rPr>
          <w:rFonts w:ascii="Calibri" w:hAnsi="Calibri"/>
        </w:rPr>
        <w:t xml:space="preserve"> </w:t>
      </w:r>
      <w:r w:rsidRPr="005C3EC8">
        <w:rPr>
          <w:rFonts w:ascii="Calibri" w:hAnsi="Calibri"/>
        </w:rPr>
        <w:t xml:space="preserve">had </w:t>
      </w:r>
      <w:r w:rsidR="002B5765" w:rsidRPr="005C3EC8">
        <w:rPr>
          <w:rFonts w:ascii="Calibri" w:hAnsi="Calibri"/>
        </w:rPr>
        <w:t xml:space="preserve">reported their 2016 payments to governments, including </w:t>
      </w:r>
      <w:r w:rsidRPr="005C3EC8">
        <w:rPr>
          <w:rFonts w:ascii="Calibri" w:hAnsi="Calibri"/>
        </w:rPr>
        <w:t xml:space="preserve">to </w:t>
      </w:r>
      <w:r w:rsidR="002B5765" w:rsidRPr="005C3EC8">
        <w:rPr>
          <w:rFonts w:ascii="Calibri" w:hAnsi="Calibri"/>
        </w:rPr>
        <w:t>the UK</w:t>
      </w:r>
      <w:r w:rsidRPr="005C3EC8">
        <w:rPr>
          <w:rFonts w:ascii="Calibri" w:hAnsi="Calibri"/>
        </w:rPr>
        <w:t>’s</w:t>
      </w:r>
      <w:r w:rsidR="002B5765" w:rsidRPr="005C3EC8">
        <w:rPr>
          <w:rFonts w:ascii="Calibri" w:hAnsi="Calibri"/>
        </w:rPr>
        <w:t xml:space="preserve">, under the EU </w:t>
      </w:r>
      <w:r w:rsidR="002B5765" w:rsidRPr="005C3EC8">
        <w:rPr>
          <w:rFonts w:ascii="Calibri" w:hAnsi="Calibri"/>
        </w:rPr>
        <w:lastRenderedPageBreak/>
        <w:t>Accounting and Tra</w:t>
      </w:r>
      <w:r w:rsidRPr="005C3EC8">
        <w:rPr>
          <w:rFonts w:ascii="Calibri" w:hAnsi="Calibri"/>
        </w:rPr>
        <w:t xml:space="preserve">nsparency Directives, alongside </w:t>
      </w:r>
      <w:r w:rsidR="002B5765" w:rsidRPr="005C3EC8">
        <w:rPr>
          <w:rFonts w:ascii="Calibri" w:hAnsi="Calibri"/>
        </w:rPr>
        <w:t>a link</w:t>
      </w:r>
      <w:r w:rsidR="002B5765" w:rsidRPr="005C3EC8">
        <w:rPr>
          <w:rFonts w:ascii="Calibri" w:hAnsi="Calibri"/>
          <w:vertAlign w:val="superscript"/>
        </w:rPr>
        <w:footnoteReference w:id="336"/>
      </w:r>
      <w:r w:rsidRPr="005C3EC8">
        <w:rPr>
          <w:rFonts w:ascii="Calibri" w:hAnsi="Calibri"/>
        </w:rPr>
        <w:t xml:space="preserve"> to the database</w:t>
      </w:r>
      <w:r w:rsidR="002B5765" w:rsidRPr="005C3EC8">
        <w:rPr>
          <w:rFonts w:ascii="Calibri" w:hAnsi="Calibri"/>
        </w:rPr>
        <w:t xml:space="preserve"> (p.80). </w:t>
      </w:r>
      <w:r w:rsidR="001C31CD" w:rsidRPr="005C3EC8">
        <w:rPr>
          <w:rFonts w:ascii="Calibri" w:hAnsi="Calibri"/>
        </w:rPr>
        <w:t>While t</w:t>
      </w:r>
      <w:r w:rsidR="001512E9" w:rsidRPr="005C3EC8">
        <w:rPr>
          <w:rFonts w:ascii="Calibri" w:hAnsi="Calibri"/>
        </w:rPr>
        <w:t xml:space="preserve">he report does not confirm that all extractives companies in the scope of reporting had audited financial statements for </w:t>
      </w:r>
      <w:r w:rsidR="00C12DBB" w:rsidRPr="005C3EC8">
        <w:rPr>
          <w:rFonts w:ascii="Calibri" w:hAnsi="Calibri"/>
        </w:rPr>
        <w:t>the year under review</w:t>
      </w:r>
      <w:r w:rsidR="001C31CD" w:rsidRPr="005C3EC8">
        <w:rPr>
          <w:rFonts w:ascii="Calibri" w:hAnsi="Calibri"/>
        </w:rPr>
        <w:t>, the annual returns and updates on company filings on the Companies House register provide the means for independent verification.</w:t>
      </w:r>
      <w:r w:rsidR="001C31CD" w:rsidRPr="005C3EC8">
        <w:rPr>
          <w:rStyle w:val="FootnoteReference"/>
          <w:rFonts w:ascii="Calibri" w:hAnsi="Calibri"/>
        </w:rPr>
        <w:footnoteReference w:id="337"/>
      </w:r>
    </w:p>
    <w:p w14:paraId="55B9A889" w14:textId="3D6DE38C" w:rsidR="009C5B74" w:rsidRPr="005C3EC8" w:rsidRDefault="001030D3" w:rsidP="009C5B74">
      <w:pPr>
        <w:spacing w:before="120"/>
        <w:rPr>
          <w:rFonts w:ascii="Calibri" w:hAnsi="Calibri"/>
        </w:rPr>
      </w:pPr>
      <w:r w:rsidRPr="005C3EC8">
        <w:rPr>
          <w:rFonts w:ascii="Calibri" w:hAnsi="Calibri"/>
          <w:i/>
          <w:u w:val="single"/>
        </w:rPr>
        <w:t>Assurance methodology</w:t>
      </w:r>
      <w:r w:rsidRPr="005C3EC8">
        <w:rPr>
          <w:rFonts w:ascii="Calibri" w:hAnsi="Calibri"/>
        </w:rPr>
        <w:t xml:space="preserve">: </w:t>
      </w:r>
      <w:r w:rsidR="00514927" w:rsidRPr="005C3EC8">
        <w:rPr>
          <w:rFonts w:ascii="Calibri" w:hAnsi="Calibri"/>
        </w:rPr>
        <w:t xml:space="preserve">The 2016 EITI Report </w:t>
      </w:r>
      <w:r w:rsidR="009C5B74" w:rsidRPr="005C3EC8">
        <w:rPr>
          <w:rFonts w:ascii="Calibri" w:hAnsi="Calibri"/>
        </w:rPr>
        <w:t>details the MSG’s approach to ensuring the reliability of reconciled financial data, on the basis of papers about audit and accountancy requirements for companies (Companies Act and Overseas Companies Regulations) as well as on the statutory requirements for government agencies (p.73). The MSG reviewed relevant papers at its September 2015 meeting</w:t>
      </w:r>
      <w:r w:rsidR="009C5B74" w:rsidRPr="005C3EC8">
        <w:rPr>
          <w:rStyle w:val="FootnoteReference"/>
          <w:rFonts w:ascii="Calibri" w:hAnsi="Calibri"/>
        </w:rPr>
        <w:footnoteReference w:id="338"/>
      </w:r>
      <w:r w:rsidR="009C5B74" w:rsidRPr="005C3EC8">
        <w:rPr>
          <w:rFonts w:ascii="Calibri" w:hAnsi="Calibri"/>
        </w:rPr>
        <w:t xml:space="preserve">, where </w:t>
      </w:r>
      <w:r w:rsidR="006E0D8F" w:rsidRPr="005C3EC8">
        <w:rPr>
          <w:rFonts w:ascii="Calibri" w:hAnsi="Calibri"/>
        </w:rPr>
        <w:t xml:space="preserve">it agreed that </w:t>
      </w:r>
      <w:r w:rsidR="009C5B74" w:rsidRPr="005C3EC8">
        <w:rPr>
          <w:rFonts w:ascii="Calibri" w:hAnsi="Calibri"/>
        </w:rPr>
        <w:t>no additional audit and assurance should be requested for either government or company EITI reporting. However, company reporting templates were required to include sign-off from senior management (p.73). The reporting templates in Annex 2 of the report include the content of the management sign-off</w:t>
      </w:r>
      <w:r w:rsidR="003C3C2A" w:rsidRPr="005C3EC8">
        <w:rPr>
          <w:rFonts w:ascii="Calibri" w:hAnsi="Calibri"/>
        </w:rPr>
        <w:t>, which reveals that management attested that that the information in the templates reflected an accurate record of the relevant transactions during 2016, without reference to audited financial statements</w:t>
      </w:r>
      <w:r w:rsidR="009C5B74" w:rsidRPr="005C3EC8">
        <w:rPr>
          <w:rFonts w:ascii="Calibri" w:hAnsi="Calibri"/>
        </w:rPr>
        <w:t xml:space="preserve"> (pp.85-91).</w:t>
      </w:r>
      <w:r w:rsidR="00197D0E" w:rsidRPr="005C3EC8">
        <w:rPr>
          <w:rFonts w:ascii="Calibri" w:hAnsi="Calibri"/>
        </w:rPr>
        <w:t xml:space="preserve"> </w:t>
      </w:r>
      <w:r w:rsidR="009C5B74" w:rsidRPr="005C3EC8">
        <w:rPr>
          <w:rFonts w:ascii="Calibri" w:hAnsi="Calibri"/>
        </w:rPr>
        <w:t xml:space="preserve">For </w:t>
      </w:r>
      <w:r w:rsidR="00197D0E" w:rsidRPr="005C3EC8">
        <w:rPr>
          <w:rFonts w:ascii="Calibri" w:hAnsi="Calibri"/>
        </w:rPr>
        <w:t>government</w:t>
      </w:r>
      <w:r w:rsidR="009C5B74" w:rsidRPr="005C3EC8">
        <w:rPr>
          <w:rFonts w:ascii="Calibri" w:hAnsi="Calibri"/>
        </w:rPr>
        <w:t xml:space="preserve">, </w:t>
      </w:r>
      <w:r w:rsidR="00197D0E" w:rsidRPr="005C3EC8">
        <w:rPr>
          <w:rFonts w:ascii="Calibri" w:hAnsi="Calibri"/>
        </w:rPr>
        <w:t xml:space="preserve">the report explains </w:t>
      </w:r>
      <w:r w:rsidR="009C5B74" w:rsidRPr="005C3EC8">
        <w:rPr>
          <w:rFonts w:ascii="Calibri" w:hAnsi="Calibri"/>
        </w:rPr>
        <w:t>that the MSG accepted that government accounting rules applied and that data reported would be agreed with the IA “in most instances” (p.73).</w:t>
      </w:r>
    </w:p>
    <w:p w14:paraId="57BC6F45" w14:textId="6A3B6E15" w:rsidR="002B476E" w:rsidRPr="005C3EC8" w:rsidRDefault="008D2FD7" w:rsidP="001030D3">
      <w:pPr>
        <w:spacing w:before="120"/>
        <w:rPr>
          <w:rFonts w:ascii="Calibri" w:hAnsi="Calibri"/>
          <w:bCs/>
        </w:rPr>
      </w:pPr>
      <w:r w:rsidRPr="005C3EC8">
        <w:rPr>
          <w:rFonts w:ascii="Calibri" w:hAnsi="Calibri"/>
        </w:rPr>
        <w:t xml:space="preserve">The report also provides </w:t>
      </w:r>
      <w:r w:rsidR="002B5765" w:rsidRPr="005C3EC8">
        <w:rPr>
          <w:rFonts w:ascii="Calibri" w:hAnsi="Calibri"/>
          <w:bCs/>
        </w:rPr>
        <w:t>an informative account of the IA’s work (pp.74-75</w:t>
      </w:r>
      <w:r w:rsidRPr="005C3EC8">
        <w:rPr>
          <w:rFonts w:ascii="Calibri" w:hAnsi="Calibri"/>
          <w:bCs/>
        </w:rPr>
        <w:t>,77</w:t>
      </w:r>
      <w:r w:rsidR="00635B49" w:rsidRPr="005C3EC8">
        <w:rPr>
          <w:rFonts w:ascii="Calibri" w:hAnsi="Calibri"/>
          <w:bCs/>
        </w:rPr>
        <w:t xml:space="preserve">), including a description of the MSG’s </w:t>
      </w:r>
      <w:r w:rsidR="00635B49" w:rsidRPr="005C3EC8">
        <w:rPr>
          <w:rFonts w:ascii="Calibri" w:hAnsi="Calibri"/>
        </w:rPr>
        <w:t>approach to overcoming constraints from the confidentiality provisions of the Commissioners for Revenue and Customs Act 2005 (pp.71-72).</w:t>
      </w:r>
      <w:r w:rsidR="00635B49" w:rsidRPr="005C3EC8">
        <w:rPr>
          <w:rFonts w:ascii="Calibri" w:hAnsi="Calibri"/>
          <w:bCs/>
        </w:rPr>
        <w:t xml:space="preserve"> </w:t>
      </w:r>
      <w:r w:rsidR="002B5765" w:rsidRPr="005C3EC8">
        <w:rPr>
          <w:rFonts w:ascii="Calibri" w:hAnsi="Calibri"/>
          <w:bCs/>
        </w:rPr>
        <w:t>The report confirms that the deadline for final data collection was set at 9 April 2018 (p.9) and that EITI reporting was on a cash-accounting basis</w:t>
      </w:r>
      <w:r w:rsidR="00635B49" w:rsidRPr="005C3EC8">
        <w:rPr>
          <w:rFonts w:ascii="Calibri" w:hAnsi="Calibri"/>
          <w:bCs/>
        </w:rPr>
        <w:t xml:space="preserve"> for calendar year 2016 (p.74), as reflected in t</w:t>
      </w:r>
      <w:r w:rsidR="002B476E" w:rsidRPr="005C3EC8">
        <w:rPr>
          <w:rFonts w:ascii="Calibri" w:hAnsi="Calibri"/>
          <w:bCs/>
        </w:rPr>
        <w:t xml:space="preserve">he UK’s </w:t>
      </w:r>
      <w:r w:rsidR="00635B49" w:rsidRPr="005C3EC8">
        <w:rPr>
          <w:rFonts w:ascii="Calibri" w:hAnsi="Calibri"/>
          <w:bCs/>
        </w:rPr>
        <w:t xml:space="preserve">August 2014 </w:t>
      </w:r>
      <w:r w:rsidR="002B476E" w:rsidRPr="005C3EC8">
        <w:rPr>
          <w:rFonts w:ascii="Calibri" w:hAnsi="Calibri"/>
          <w:bCs/>
        </w:rPr>
        <w:t>EITI Candidature application.</w:t>
      </w:r>
      <w:r w:rsidR="002B476E" w:rsidRPr="005C3EC8">
        <w:rPr>
          <w:rStyle w:val="FootnoteReference"/>
          <w:rFonts w:ascii="Calibri" w:hAnsi="Calibri"/>
          <w:bCs/>
        </w:rPr>
        <w:footnoteReference w:id="339"/>
      </w:r>
    </w:p>
    <w:p w14:paraId="66985000" w14:textId="0A8373DE" w:rsidR="009275B4" w:rsidRPr="005C3EC8" w:rsidRDefault="001030D3" w:rsidP="001030D3">
      <w:pPr>
        <w:spacing w:before="120"/>
        <w:rPr>
          <w:rFonts w:ascii="Calibri" w:hAnsi="Calibri"/>
          <w:bCs/>
        </w:rPr>
      </w:pPr>
      <w:r w:rsidRPr="005C3EC8">
        <w:rPr>
          <w:rFonts w:ascii="Calibri" w:hAnsi="Calibri"/>
          <w:i/>
          <w:u w:val="single"/>
        </w:rPr>
        <w:t>Confidentiality</w:t>
      </w:r>
      <w:r w:rsidRPr="005C3EC8">
        <w:rPr>
          <w:rFonts w:ascii="Calibri" w:hAnsi="Calibri"/>
        </w:rPr>
        <w:t xml:space="preserve">: </w:t>
      </w:r>
      <w:r w:rsidR="00635B49" w:rsidRPr="005C3EC8">
        <w:rPr>
          <w:rFonts w:ascii="Calibri" w:hAnsi="Calibri"/>
          <w:bCs/>
        </w:rPr>
        <w:t>The report confirms that mechanisms were put in place to ensure the confidentiality of financial information pre-reconciliation (p.73). It states that the IA’s work was undertaken in accordance with IAS applicable to related services (ISRS 4400 Engagements to perform agreed upon procedures regarding Financial Information) (pp.76-77).</w:t>
      </w:r>
      <w:r w:rsidR="00F1255C" w:rsidRPr="005C3EC8">
        <w:rPr>
          <w:rFonts w:ascii="Calibri" w:hAnsi="Calibri"/>
          <w:bCs/>
        </w:rPr>
        <w:t xml:space="preserve"> </w:t>
      </w:r>
      <w:r w:rsidR="009275B4" w:rsidRPr="005C3EC8">
        <w:rPr>
          <w:rFonts w:ascii="Calibri" w:hAnsi="Calibri"/>
          <w:bCs/>
        </w:rPr>
        <w:t>Confidentiality provisions for EITI reporting were discussed at the MSG’s initial meeting with the IA, Moore Stephens, in May 2015.</w:t>
      </w:r>
      <w:r w:rsidR="009275B4" w:rsidRPr="005C3EC8">
        <w:rPr>
          <w:rStyle w:val="FootnoteReference"/>
          <w:rFonts w:ascii="Calibri" w:hAnsi="Calibri"/>
          <w:bCs/>
        </w:rPr>
        <w:footnoteReference w:id="340"/>
      </w:r>
    </w:p>
    <w:p w14:paraId="743F22BB" w14:textId="1D9D3184" w:rsidR="005D7DA2" w:rsidRPr="005C3EC8" w:rsidRDefault="001030D3" w:rsidP="00922ED3">
      <w:pPr>
        <w:spacing w:before="120"/>
        <w:rPr>
          <w:rFonts w:ascii="Calibri" w:hAnsi="Calibri"/>
        </w:rPr>
      </w:pPr>
      <w:r w:rsidRPr="005C3EC8">
        <w:rPr>
          <w:rFonts w:ascii="Calibri" w:hAnsi="Calibri"/>
          <w:i/>
          <w:u w:val="single"/>
        </w:rPr>
        <w:t>Reconciliation coverage</w:t>
      </w:r>
      <w:r w:rsidRPr="005C3EC8">
        <w:rPr>
          <w:rFonts w:ascii="Calibri" w:hAnsi="Calibri"/>
          <w:i/>
        </w:rPr>
        <w:t xml:space="preserve">: </w:t>
      </w:r>
      <w:r w:rsidR="002B5765" w:rsidRPr="005C3EC8">
        <w:rPr>
          <w:rFonts w:ascii="Calibri" w:hAnsi="Calibri"/>
        </w:rPr>
        <w:t xml:space="preserve">The report confirms that the final reconciliation coverage was 98.79% in oil and gas (p.72). </w:t>
      </w:r>
      <w:r w:rsidR="00462B1D" w:rsidRPr="005C3EC8">
        <w:rPr>
          <w:rFonts w:ascii="Calibri" w:hAnsi="Calibri"/>
        </w:rPr>
        <w:t>While the report does not provide a</w:t>
      </w:r>
      <w:r w:rsidR="005D7DA2" w:rsidRPr="005C3EC8">
        <w:rPr>
          <w:rFonts w:ascii="Calibri" w:hAnsi="Calibri"/>
        </w:rPr>
        <w:t>n explicit</w:t>
      </w:r>
      <w:r w:rsidR="00462B1D" w:rsidRPr="005C3EC8">
        <w:rPr>
          <w:rFonts w:ascii="Calibri" w:hAnsi="Calibri"/>
        </w:rPr>
        <w:t xml:space="preserve"> reconciliation coverage for mining and quarrying revenues, it explains that </w:t>
      </w:r>
      <w:r w:rsidR="00973E3E" w:rsidRPr="005C3EC8">
        <w:rPr>
          <w:rFonts w:ascii="Calibri" w:hAnsi="Calibri"/>
        </w:rPr>
        <w:t xml:space="preserve">there is no specific tax regime for the minerals sector, implying that there is </w:t>
      </w:r>
      <w:r w:rsidR="00DB61FA" w:rsidRPr="005C3EC8">
        <w:rPr>
          <w:rFonts w:ascii="Calibri" w:hAnsi="Calibri"/>
        </w:rPr>
        <w:t xml:space="preserve">no </w:t>
      </w:r>
      <w:r w:rsidR="00973E3E" w:rsidRPr="005C3EC8">
        <w:rPr>
          <w:rFonts w:ascii="Calibri" w:hAnsi="Calibri"/>
        </w:rPr>
        <w:t xml:space="preserve">separate identification of taxes paid on extractives activities (p.72). </w:t>
      </w:r>
      <w:r w:rsidR="00845021" w:rsidRPr="005C3EC8">
        <w:rPr>
          <w:rFonts w:ascii="Calibri" w:hAnsi="Calibri"/>
        </w:rPr>
        <w:t>Nonetheless, i</w:t>
      </w:r>
      <w:r w:rsidR="005D7DA2" w:rsidRPr="005C3EC8">
        <w:rPr>
          <w:rFonts w:ascii="Calibri" w:hAnsi="Calibri"/>
        </w:rPr>
        <w:t xml:space="preserve">t is possible to calculate a reconciliation coverage as a share of payments to TCE, based on TCE’s unilateral disclosure of payments under material revenue streams from non-material companies (p.11). The report clarifies that TCE’s disclosure of revenues from “out-of-scope” companies includes payments both from non-reporting material companies and non-material companies (p.12). </w:t>
      </w:r>
    </w:p>
    <w:p w14:paraId="5C6717CE" w14:textId="35245A98" w:rsidR="002B5765" w:rsidRPr="005C3EC8" w:rsidRDefault="001030D3" w:rsidP="00922ED3">
      <w:pPr>
        <w:spacing w:before="120"/>
        <w:rPr>
          <w:rFonts w:ascii="Calibri" w:hAnsi="Calibri"/>
          <w:bCs/>
        </w:rPr>
      </w:pPr>
      <w:r w:rsidRPr="005C3EC8">
        <w:rPr>
          <w:rFonts w:ascii="Calibri" w:hAnsi="Calibri"/>
          <w:i/>
          <w:u w:val="single"/>
        </w:rPr>
        <w:t>Assurance omissions:</w:t>
      </w:r>
      <w:r w:rsidRPr="005C3EC8">
        <w:rPr>
          <w:rFonts w:ascii="Calibri" w:hAnsi="Calibri"/>
        </w:rPr>
        <w:t xml:space="preserve"> </w:t>
      </w:r>
      <w:r w:rsidR="002B5765" w:rsidRPr="005C3EC8">
        <w:rPr>
          <w:rFonts w:ascii="Calibri" w:hAnsi="Calibri"/>
        </w:rPr>
        <w:t xml:space="preserve">The report confirms that all reporting companies included duly signed reporting </w:t>
      </w:r>
      <w:r w:rsidR="002B5765" w:rsidRPr="005C3EC8">
        <w:rPr>
          <w:rFonts w:ascii="Calibri" w:hAnsi="Calibri"/>
        </w:rPr>
        <w:lastRenderedPageBreak/>
        <w:t xml:space="preserve">templates and that the IA agreed on the data reported by government (p.73). </w:t>
      </w:r>
    </w:p>
    <w:p w14:paraId="1700A5B0" w14:textId="0B7791E9" w:rsidR="002B5765" w:rsidRPr="005C3EC8" w:rsidRDefault="001030D3" w:rsidP="001030D3">
      <w:pPr>
        <w:spacing w:before="120"/>
        <w:rPr>
          <w:rFonts w:ascii="Calibri" w:hAnsi="Calibri"/>
          <w:bCs/>
        </w:rPr>
      </w:pPr>
      <w:r w:rsidRPr="005C3EC8">
        <w:rPr>
          <w:rFonts w:ascii="Calibri" w:hAnsi="Calibri"/>
          <w:i/>
          <w:u w:val="single"/>
        </w:rPr>
        <w:t>Data reliability assessment</w:t>
      </w:r>
      <w:r w:rsidR="00D00D55" w:rsidRPr="005C3EC8">
        <w:rPr>
          <w:rFonts w:ascii="Calibri" w:hAnsi="Calibri"/>
        </w:rPr>
        <w:t xml:space="preserve">: </w:t>
      </w:r>
      <w:r w:rsidR="002B5765" w:rsidRPr="005C3EC8">
        <w:rPr>
          <w:rFonts w:ascii="Calibri" w:hAnsi="Calibri"/>
          <w:bCs/>
        </w:rPr>
        <w:t>The report includes the IA’s conclusion that the final assessment of the overall comprehensiveness and reliability of reconciled financial data from companies and government agencies was satisfactory (p.74).</w:t>
      </w:r>
      <w:r w:rsidR="00884DA9" w:rsidRPr="005C3EC8">
        <w:rPr>
          <w:rFonts w:ascii="Calibri" w:hAnsi="Calibri"/>
          <w:bCs/>
        </w:rPr>
        <w:t xml:space="preserve"> </w:t>
      </w:r>
      <w:r w:rsidR="002B5765" w:rsidRPr="005C3EC8">
        <w:rPr>
          <w:rFonts w:ascii="Calibri" w:hAnsi="Calibri"/>
          <w:bCs/>
        </w:rPr>
        <w:t xml:space="preserve">The report also highlights limitations in the IA’s work with a </w:t>
      </w:r>
      <w:r w:rsidR="00D00D55" w:rsidRPr="005C3EC8">
        <w:rPr>
          <w:rFonts w:ascii="Calibri" w:hAnsi="Calibri"/>
          <w:bCs/>
        </w:rPr>
        <w:t>standard</w:t>
      </w:r>
      <w:r w:rsidR="002B5765" w:rsidRPr="005C3EC8">
        <w:rPr>
          <w:rFonts w:ascii="Calibri" w:hAnsi="Calibri"/>
          <w:bCs/>
        </w:rPr>
        <w:t xml:space="preserve"> caveat</w:t>
      </w:r>
      <w:r w:rsidR="00D00D55" w:rsidRPr="005C3EC8">
        <w:rPr>
          <w:rFonts w:ascii="Calibri" w:hAnsi="Calibri"/>
          <w:bCs/>
        </w:rPr>
        <w:t xml:space="preserve"> that </w:t>
      </w:r>
      <w:r w:rsidR="002B5765" w:rsidRPr="005C3EC8">
        <w:rPr>
          <w:rFonts w:ascii="Calibri" w:hAnsi="Calibri"/>
          <w:bCs/>
        </w:rPr>
        <w:t>reconciliation procedures were not designed to constitute an audit or review</w:t>
      </w:r>
      <w:r w:rsidR="00D00D55" w:rsidRPr="005C3EC8">
        <w:rPr>
          <w:rFonts w:ascii="Calibri" w:hAnsi="Calibri"/>
          <w:bCs/>
        </w:rPr>
        <w:t>, meaning that</w:t>
      </w:r>
      <w:r w:rsidR="002B5765" w:rsidRPr="005C3EC8">
        <w:rPr>
          <w:rFonts w:ascii="Calibri" w:hAnsi="Calibri"/>
          <w:bCs/>
        </w:rPr>
        <w:t xml:space="preserve"> </w:t>
      </w:r>
      <w:r w:rsidR="00D00D55" w:rsidRPr="005C3EC8">
        <w:rPr>
          <w:rFonts w:ascii="Calibri" w:hAnsi="Calibri"/>
          <w:bCs/>
        </w:rPr>
        <w:t>the IA did</w:t>
      </w:r>
      <w:r w:rsidR="002B5765" w:rsidRPr="005C3EC8">
        <w:rPr>
          <w:rFonts w:ascii="Calibri" w:hAnsi="Calibri"/>
          <w:bCs/>
        </w:rPr>
        <w:t xml:space="preserve"> not express any assurance on the transactions beyond the exp</w:t>
      </w:r>
      <w:r w:rsidR="00D00D55" w:rsidRPr="005C3EC8">
        <w:rPr>
          <w:rFonts w:ascii="Calibri" w:hAnsi="Calibri"/>
          <w:bCs/>
        </w:rPr>
        <w:t xml:space="preserve">licit statements set out in the report </w:t>
      </w:r>
      <w:r w:rsidR="002B5765" w:rsidRPr="005C3EC8">
        <w:rPr>
          <w:rFonts w:ascii="Calibri" w:hAnsi="Calibri"/>
          <w:bCs/>
        </w:rPr>
        <w:t xml:space="preserve">(p.77). </w:t>
      </w:r>
    </w:p>
    <w:p w14:paraId="5423A5C7" w14:textId="660F1E60" w:rsidR="009C7AA2" w:rsidRPr="005C3EC8" w:rsidRDefault="001030D3" w:rsidP="001030D3">
      <w:pPr>
        <w:spacing w:before="120"/>
        <w:rPr>
          <w:rFonts w:ascii="Calibri" w:hAnsi="Calibri"/>
          <w:bCs/>
        </w:rPr>
      </w:pPr>
      <w:r w:rsidRPr="005C3EC8">
        <w:rPr>
          <w:rFonts w:ascii="Calibri" w:hAnsi="Calibri"/>
          <w:i/>
          <w:u w:val="single"/>
        </w:rPr>
        <w:t>Sourcing of information</w:t>
      </w:r>
      <w:r w:rsidRPr="005C3EC8">
        <w:rPr>
          <w:rFonts w:ascii="Calibri" w:hAnsi="Calibri"/>
        </w:rPr>
        <w:t xml:space="preserve">: </w:t>
      </w:r>
      <w:r w:rsidR="00884DA9" w:rsidRPr="005C3EC8">
        <w:rPr>
          <w:rFonts w:ascii="Calibri" w:hAnsi="Calibri"/>
        </w:rPr>
        <w:t xml:space="preserve">All information in the 2016 EITI Report appears to be clearly and consistently sourced. </w:t>
      </w:r>
    </w:p>
    <w:p w14:paraId="543C84A0" w14:textId="23C8E7BA" w:rsidR="009C7AA2" w:rsidRPr="005C3EC8" w:rsidRDefault="009C7AA2" w:rsidP="009C7AA2">
      <w:pPr>
        <w:spacing w:before="120"/>
        <w:rPr>
          <w:rFonts w:ascii="Calibri" w:hAnsi="Calibri"/>
          <w:bCs/>
        </w:rPr>
      </w:pPr>
      <w:r w:rsidRPr="005C3EC8">
        <w:rPr>
          <w:rFonts w:ascii="Calibri" w:hAnsi="Calibri"/>
          <w:i/>
          <w:u w:val="single"/>
        </w:rPr>
        <w:t>Summary tables</w:t>
      </w:r>
      <w:r w:rsidRPr="005C3EC8">
        <w:rPr>
          <w:rFonts w:ascii="Calibri" w:hAnsi="Calibri"/>
        </w:rPr>
        <w:t xml:space="preserve">: </w:t>
      </w:r>
      <w:r w:rsidR="00E770F7" w:rsidRPr="005C3EC8">
        <w:rPr>
          <w:rFonts w:ascii="Calibri" w:hAnsi="Calibri"/>
        </w:rPr>
        <w:t>Summary tables of the UK’s EITI data have been produced for each of the three EITI Reports published to date, published both on the UKEITI page of the Gov.uk website</w:t>
      </w:r>
      <w:r w:rsidR="00E770F7" w:rsidRPr="005C3EC8">
        <w:rPr>
          <w:rStyle w:val="FootnoteReference"/>
          <w:rFonts w:ascii="Calibri" w:hAnsi="Calibri"/>
        </w:rPr>
        <w:footnoteReference w:id="341"/>
      </w:r>
      <w:r w:rsidR="00E770F7" w:rsidRPr="005C3EC8">
        <w:rPr>
          <w:rFonts w:ascii="Calibri" w:hAnsi="Calibri"/>
        </w:rPr>
        <w:t xml:space="preserve"> and on the UK country page of the EITI website.</w:t>
      </w:r>
      <w:r w:rsidR="00E770F7" w:rsidRPr="005C3EC8">
        <w:rPr>
          <w:rStyle w:val="FootnoteReference"/>
          <w:rFonts w:ascii="Calibri" w:hAnsi="Calibri"/>
        </w:rPr>
        <w:footnoteReference w:id="342"/>
      </w:r>
    </w:p>
    <w:p w14:paraId="580732FF" w14:textId="49A02CFD" w:rsidR="00FA46EF" w:rsidRPr="005C3EC8" w:rsidRDefault="009C7AA2" w:rsidP="00922ED3">
      <w:pPr>
        <w:spacing w:before="120"/>
        <w:rPr>
          <w:rFonts w:ascii="Calibri" w:hAnsi="Calibri"/>
        </w:rPr>
      </w:pPr>
      <w:r w:rsidRPr="005C3EC8">
        <w:rPr>
          <w:rFonts w:ascii="Calibri" w:hAnsi="Calibri"/>
          <w:i/>
          <w:u w:val="single"/>
        </w:rPr>
        <w:t>R</w:t>
      </w:r>
      <w:r w:rsidR="001030D3" w:rsidRPr="005C3EC8">
        <w:rPr>
          <w:rFonts w:ascii="Calibri" w:hAnsi="Calibri"/>
          <w:i/>
          <w:u w:val="single"/>
        </w:rPr>
        <w:t>ecommendations</w:t>
      </w:r>
      <w:r w:rsidR="001030D3" w:rsidRPr="005C3EC8">
        <w:rPr>
          <w:rFonts w:ascii="Calibri" w:hAnsi="Calibri"/>
          <w:u w:val="single"/>
        </w:rPr>
        <w:t>:</w:t>
      </w:r>
      <w:r w:rsidR="001030D3" w:rsidRPr="005C3EC8">
        <w:rPr>
          <w:rFonts w:ascii="Calibri" w:hAnsi="Calibri"/>
          <w:b/>
        </w:rPr>
        <w:t xml:space="preserve"> </w:t>
      </w:r>
      <w:r w:rsidR="00845021" w:rsidRPr="005C3EC8">
        <w:rPr>
          <w:rFonts w:ascii="Calibri" w:hAnsi="Calibri"/>
        </w:rPr>
        <w:t>While t</w:t>
      </w:r>
      <w:r w:rsidR="00E770F7" w:rsidRPr="005C3EC8">
        <w:rPr>
          <w:rFonts w:ascii="Calibri" w:hAnsi="Calibri"/>
        </w:rPr>
        <w:t xml:space="preserve">he </w:t>
      </w:r>
      <w:r w:rsidR="00845021" w:rsidRPr="005C3EC8">
        <w:rPr>
          <w:rFonts w:ascii="Calibri" w:hAnsi="Calibri"/>
        </w:rPr>
        <w:t xml:space="preserve">2016 EITI Report </w:t>
      </w:r>
      <w:r w:rsidR="00E770F7" w:rsidRPr="005C3EC8">
        <w:rPr>
          <w:rFonts w:ascii="Calibri" w:hAnsi="Calibri"/>
        </w:rPr>
        <w:t>does not provide an overview of the MSG’s follow-up on past EITI recommendations</w:t>
      </w:r>
      <w:r w:rsidR="00845021" w:rsidRPr="005C3EC8">
        <w:rPr>
          <w:rFonts w:ascii="Calibri" w:hAnsi="Calibri"/>
        </w:rPr>
        <w:t xml:space="preserve">, </w:t>
      </w:r>
      <w:r w:rsidR="00392F78" w:rsidRPr="005C3EC8">
        <w:rPr>
          <w:rFonts w:ascii="Calibri" w:hAnsi="Calibri"/>
        </w:rPr>
        <w:t xml:space="preserve">UK EITI has other mechanisms to track and publicly account for its follow-up on past recommendations (see Requirement 7.3). </w:t>
      </w:r>
      <w:r w:rsidR="00845021" w:rsidRPr="005C3EC8">
        <w:rPr>
          <w:rFonts w:ascii="Calibri" w:hAnsi="Calibri"/>
        </w:rPr>
        <w:t xml:space="preserve">A </w:t>
      </w:r>
      <w:r w:rsidR="00FA46EF" w:rsidRPr="005C3EC8">
        <w:rPr>
          <w:rFonts w:ascii="Calibri" w:hAnsi="Calibri"/>
        </w:rPr>
        <w:t>list of three recommendations is provided</w:t>
      </w:r>
      <w:r w:rsidR="00E770F7" w:rsidRPr="005C3EC8">
        <w:rPr>
          <w:rFonts w:ascii="Calibri" w:hAnsi="Calibri"/>
        </w:rPr>
        <w:t xml:space="preserve"> in the report</w:t>
      </w:r>
      <w:r w:rsidR="00FA46EF" w:rsidRPr="005C3EC8">
        <w:rPr>
          <w:rFonts w:ascii="Calibri" w:hAnsi="Calibri"/>
        </w:rPr>
        <w:t xml:space="preserve">, focused on discrepancies in reconciliation, encouragement to explore scope for automated online disclosures by government agencies and companies, and the late submission of templates for the 2016 EITI Report (pp.81-82). </w:t>
      </w:r>
    </w:p>
    <w:p w14:paraId="4E6F348E" w14:textId="1ECBF04D" w:rsidR="003E58F5" w:rsidRPr="005C3EC8" w:rsidRDefault="001030D3">
      <w:pPr>
        <w:pStyle w:val="Heading3"/>
      </w:pPr>
      <w:r w:rsidRPr="005C3EC8">
        <w:t xml:space="preserve">Stakeholder views </w:t>
      </w:r>
    </w:p>
    <w:p w14:paraId="69A30F1D" w14:textId="44A03806" w:rsidR="009A7A3F" w:rsidRPr="005C3EC8" w:rsidRDefault="009A7A3F" w:rsidP="009A7A3F">
      <w:pPr>
        <w:spacing w:before="120"/>
        <w:rPr>
          <w:rFonts w:ascii="Calibri" w:hAnsi="Calibri"/>
          <w:bCs/>
        </w:rPr>
      </w:pPr>
      <w:r w:rsidRPr="005C3EC8">
        <w:rPr>
          <w:rFonts w:ascii="Calibri" w:hAnsi="Calibri"/>
          <w:bCs/>
          <w:i/>
          <w:u w:val="single"/>
        </w:rPr>
        <w:t>IA procurement:</w:t>
      </w:r>
      <w:r w:rsidR="00392F78" w:rsidRPr="005C3EC8">
        <w:rPr>
          <w:rFonts w:ascii="Calibri" w:hAnsi="Calibri"/>
          <w:bCs/>
        </w:rPr>
        <w:t xml:space="preserve"> There was general satisfaction among stakeholders consulted over the procurement and performance of the IA. </w:t>
      </w:r>
      <w:r w:rsidRPr="005C3EC8">
        <w:rPr>
          <w:rFonts w:ascii="Calibri" w:hAnsi="Calibri"/>
          <w:bCs/>
        </w:rPr>
        <w:t xml:space="preserve">Several industry MSG members </w:t>
      </w:r>
      <w:r w:rsidR="00392F78" w:rsidRPr="005C3EC8">
        <w:rPr>
          <w:rFonts w:ascii="Calibri" w:hAnsi="Calibri"/>
          <w:bCs/>
        </w:rPr>
        <w:t>praised</w:t>
      </w:r>
      <w:r w:rsidRPr="005C3EC8">
        <w:rPr>
          <w:rFonts w:ascii="Calibri" w:hAnsi="Calibri"/>
          <w:bCs/>
        </w:rPr>
        <w:t xml:space="preserve"> the IA</w:t>
      </w:r>
      <w:r w:rsidR="00392F78" w:rsidRPr="005C3EC8">
        <w:rPr>
          <w:rFonts w:ascii="Calibri" w:hAnsi="Calibri"/>
          <w:bCs/>
        </w:rPr>
        <w:t>’s</w:t>
      </w:r>
      <w:r w:rsidRPr="005C3EC8">
        <w:rPr>
          <w:rFonts w:ascii="Calibri" w:hAnsi="Calibri"/>
          <w:bCs/>
        </w:rPr>
        <w:t xml:space="preserve"> proactive and rigorous </w:t>
      </w:r>
      <w:r w:rsidR="00392F78" w:rsidRPr="005C3EC8">
        <w:rPr>
          <w:rFonts w:ascii="Calibri" w:hAnsi="Calibri"/>
          <w:bCs/>
        </w:rPr>
        <w:t>follow</w:t>
      </w:r>
      <w:r w:rsidRPr="005C3EC8">
        <w:rPr>
          <w:rFonts w:ascii="Calibri" w:hAnsi="Calibri"/>
          <w:bCs/>
        </w:rPr>
        <w:t xml:space="preserve"> up with all material companies. While they noted that the IA had provided more guidance through workshops for oil and gas companies than for solid minerals companies, they considered that the guidance included with reporting templates had been sufficient.</w:t>
      </w:r>
      <w:r w:rsidR="00392F78" w:rsidRPr="005C3EC8">
        <w:rPr>
          <w:rFonts w:ascii="Calibri" w:hAnsi="Calibri"/>
          <w:bCs/>
        </w:rPr>
        <w:t xml:space="preserve"> A government official commended the IA, noting that it had consistently followed up with reporting entities to resolve initial discrepancies and worked within the constraints of the UK’s taxpayer confidentiality provisions. There was some confusion over the reasons for the presentation of reconciliation results in only the final net form, without the detail of initial disclosures and adjustments during reconciliation. </w:t>
      </w:r>
      <w:r w:rsidRPr="005C3EC8">
        <w:rPr>
          <w:rFonts w:ascii="Calibri" w:hAnsi="Calibri"/>
          <w:bCs/>
        </w:rPr>
        <w:t xml:space="preserve">Several CSN representatives criticised the lack of detail on adjustments in the published EITI Reports, with only final net discrepancies presented. While they confirmed that the IA did undertake a comprehensive reconciliation of payments and revenues, they considered that the published data should have detailed pre-reconciliation discrepancies and adjustments in the same way as the IA’s work in other EITI-implementing countries. However, the IA indicated that it had proposed to present pre-reconciliation data, adjustments and final reconciled data but that the MSG had directed it to only present the final reconciled data in the 2016 EITI Report. </w:t>
      </w:r>
    </w:p>
    <w:p w14:paraId="63821458" w14:textId="63770793" w:rsidR="009A7A3F" w:rsidRPr="005C3EC8" w:rsidRDefault="009A7A3F" w:rsidP="009A7A3F">
      <w:pPr>
        <w:spacing w:before="120"/>
        <w:rPr>
          <w:rFonts w:ascii="Calibri" w:hAnsi="Calibri"/>
          <w:bCs/>
        </w:rPr>
      </w:pPr>
      <w:r w:rsidRPr="005C3EC8">
        <w:rPr>
          <w:rFonts w:ascii="Calibri" w:hAnsi="Calibri"/>
          <w:bCs/>
          <w:i/>
          <w:u w:val="single"/>
        </w:rPr>
        <w:t>Reporting templates:</w:t>
      </w:r>
      <w:r w:rsidR="00D90309" w:rsidRPr="005C3EC8">
        <w:rPr>
          <w:rFonts w:ascii="Calibri" w:hAnsi="Calibri"/>
          <w:bCs/>
        </w:rPr>
        <w:t xml:space="preserve"> MSG members consulted confirmed that the MSG approved reporting templates as part of their annual scoping discussions, although reporting entities off the MSG noted that they were not </w:t>
      </w:r>
      <w:r w:rsidR="00D90309" w:rsidRPr="005C3EC8">
        <w:rPr>
          <w:rFonts w:ascii="Calibri" w:hAnsi="Calibri"/>
          <w:bCs/>
        </w:rPr>
        <w:lastRenderedPageBreak/>
        <w:t xml:space="preserve">consulted in the design of reporting templates, although they expressed no concerns over the design of the templates. One </w:t>
      </w:r>
      <w:r w:rsidRPr="005C3EC8">
        <w:rPr>
          <w:rFonts w:ascii="Calibri" w:hAnsi="Calibri"/>
          <w:bCs/>
        </w:rPr>
        <w:t>government representative noted that the Coal Authority had made suggestions for possible revisions to its reporting template</w:t>
      </w:r>
      <w:r w:rsidR="00D90309" w:rsidRPr="005C3EC8">
        <w:rPr>
          <w:rFonts w:ascii="Calibri" w:hAnsi="Calibri"/>
          <w:bCs/>
        </w:rPr>
        <w:t>,</w:t>
      </w:r>
      <w:r w:rsidRPr="005C3EC8">
        <w:rPr>
          <w:rFonts w:ascii="Calibri" w:hAnsi="Calibri"/>
          <w:bCs/>
        </w:rPr>
        <w:t xml:space="preserve"> in light of the decline in the broader UK coal industry</w:t>
      </w:r>
      <w:r w:rsidR="00D90309" w:rsidRPr="005C3EC8">
        <w:rPr>
          <w:rFonts w:ascii="Calibri" w:hAnsi="Calibri"/>
          <w:bCs/>
        </w:rPr>
        <w:t>, during data collection for the 2016 EITI Report</w:t>
      </w:r>
      <w:r w:rsidRPr="005C3EC8">
        <w:rPr>
          <w:rFonts w:ascii="Calibri" w:hAnsi="Calibri"/>
          <w:bCs/>
        </w:rPr>
        <w:t xml:space="preserve">. </w:t>
      </w:r>
    </w:p>
    <w:p w14:paraId="7B13C31A" w14:textId="450FC7D5" w:rsidR="009A7A3F" w:rsidRPr="005C3EC8" w:rsidRDefault="009A7A3F" w:rsidP="009A7A3F">
      <w:pPr>
        <w:spacing w:before="120"/>
        <w:rPr>
          <w:rFonts w:ascii="Calibri" w:hAnsi="Calibri"/>
          <w:bCs/>
        </w:rPr>
      </w:pPr>
      <w:r w:rsidRPr="005C3EC8">
        <w:rPr>
          <w:rFonts w:ascii="Calibri" w:hAnsi="Calibri"/>
          <w:bCs/>
          <w:i/>
          <w:u w:val="single"/>
        </w:rPr>
        <w:t>Audit practices:</w:t>
      </w:r>
      <w:r w:rsidR="00292C21" w:rsidRPr="005C3EC8">
        <w:rPr>
          <w:rFonts w:ascii="Calibri" w:hAnsi="Calibri"/>
          <w:bCs/>
        </w:rPr>
        <w:t xml:space="preserve"> </w:t>
      </w:r>
      <w:r w:rsidRPr="005C3EC8">
        <w:rPr>
          <w:rFonts w:ascii="Calibri" w:hAnsi="Calibri"/>
          <w:bCs/>
        </w:rPr>
        <w:t xml:space="preserve">An auditor explained that the government was implementing IFRS15 related to standards for financial reporting in 2018, in line with the international schedule for the transition to these standards. The auditor confirmed that reforms of UK audit standards for public accounts were decided by HM Treasury through the Government Financial Reporting Manual. Several CSN representatives noted that the MSG had yet to start assessing the robustness of private-sector audit and assurance practices, despite allegations of inadequate oversight of certain companies’ alleged profit-shifting. The IA confirmed that it had undertaken a review of company and government audit and assurance practices in preparing the 2015 EITI Report but that it had not reviewed practices in the subsequent year. </w:t>
      </w:r>
    </w:p>
    <w:p w14:paraId="376DF322" w14:textId="23E9DD95" w:rsidR="009A7A3F" w:rsidRPr="005C3EC8" w:rsidRDefault="009A7A3F" w:rsidP="009A7A3F">
      <w:pPr>
        <w:spacing w:before="120"/>
        <w:rPr>
          <w:rFonts w:ascii="Calibri" w:hAnsi="Calibri"/>
          <w:bCs/>
        </w:rPr>
      </w:pPr>
      <w:r w:rsidRPr="005C3EC8">
        <w:rPr>
          <w:rFonts w:ascii="Calibri" w:hAnsi="Calibri"/>
          <w:bCs/>
          <w:i/>
          <w:u w:val="single"/>
        </w:rPr>
        <w:t>Cash vs accrual</w:t>
      </w:r>
      <w:r w:rsidRPr="005C3EC8">
        <w:rPr>
          <w:rFonts w:ascii="Calibri" w:hAnsi="Calibri"/>
          <w:bCs/>
        </w:rPr>
        <w:t>:</w:t>
      </w:r>
      <w:r w:rsidR="00292C21" w:rsidRPr="005C3EC8">
        <w:rPr>
          <w:rFonts w:ascii="Calibri" w:hAnsi="Calibri"/>
          <w:bCs/>
        </w:rPr>
        <w:t xml:space="preserve"> </w:t>
      </w:r>
      <w:r w:rsidRPr="005C3EC8">
        <w:rPr>
          <w:rFonts w:ascii="Calibri" w:hAnsi="Calibri"/>
          <w:bCs/>
        </w:rPr>
        <w:t xml:space="preserve">None of the stakeholders consulted could </w:t>
      </w:r>
      <w:r w:rsidR="00292C21" w:rsidRPr="005C3EC8">
        <w:rPr>
          <w:rFonts w:ascii="Calibri" w:hAnsi="Calibri"/>
          <w:bCs/>
        </w:rPr>
        <w:t xml:space="preserve">provide a definite explanation of the reasons for </w:t>
      </w:r>
      <w:r w:rsidRPr="005C3EC8">
        <w:rPr>
          <w:rFonts w:ascii="Calibri" w:hAnsi="Calibri"/>
          <w:bCs/>
        </w:rPr>
        <w:t>conduct</w:t>
      </w:r>
      <w:r w:rsidR="00292C21" w:rsidRPr="005C3EC8">
        <w:rPr>
          <w:rFonts w:ascii="Calibri" w:hAnsi="Calibri"/>
          <w:bCs/>
        </w:rPr>
        <w:t>ing</w:t>
      </w:r>
      <w:r w:rsidRPr="005C3EC8">
        <w:rPr>
          <w:rFonts w:ascii="Calibri" w:hAnsi="Calibri"/>
          <w:bCs/>
        </w:rPr>
        <w:t xml:space="preserve"> EITI reporting on a cash-accounting basis, when both companies and government held accrual-based accounts. </w:t>
      </w:r>
      <w:r w:rsidR="008F2734" w:rsidRPr="005C3EC8">
        <w:rPr>
          <w:rFonts w:ascii="Calibri" w:hAnsi="Calibri"/>
          <w:bCs/>
        </w:rPr>
        <w:t xml:space="preserve">The IA noted that the MSG had decided to base EITI reporting on cash-accounting for a calendar year prior to procurement of the IA for the first EITI Report. </w:t>
      </w:r>
      <w:r w:rsidR="00292C21" w:rsidRPr="005C3EC8">
        <w:rPr>
          <w:rFonts w:ascii="Calibri" w:hAnsi="Calibri"/>
          <w:bCs/>
        </w:rPr>
        <w:t xml:space="preserve">An auditor explained that while </w:t>
      </w:r>
      <w:r w:rsidR="00C74077" w:rsidRPr="005C3EC8">
        <w:rPr>
          <w:rFonts w:ascii="Calibri" w:hAnsi="Calibri"/>
          <w:bCs/>
        </w:rPr>
        <w:t xml:space="preserve">financial </w:t>
      </w:r>
      <w:r w:rsidR="00292C21" w:rsidRPr="005C3EC8">
        <w:rPr>
          <w:rFonts w:ascii="Calibri" w:hAnsi="Calibri"/>
          <w:bCs/>
        </w:rPr>
        <w:t xml:space="preserve">reporting </w:t>
      </w:r>
      <w:r w:rsidR="00C74077" w:rsidRPr="005C3EC8">
        <w:rPr>
          <w:rFonts w:ascii="Calibri" w:hAnsi="Calibri"/>
          <w:bCs/>
        </w:rPr>
        <w:t xml:space="preserve">by </w:t>
      </w:r>
      <w:r w:rsidR="00292C21" w:rsidRPr="005C3EC8">
        <w:rPr>
          <w:rFonts w:ascii="Calibri" w:hAnsi="Calibri"/>
          <w:bCs/>
        </w:rPr>
        <w:t xml:space="preserve">agencies such as OGA was conducted on a cash-accounting basis, given that it related to income received in the year under review, all government accounts were prepared on an accrual-accounting basis. </w:t>
      </w:r>
      <w:r w:rsidRPr="005C3EC8">
        <w:rPr>
          <w:rFonts w:ascii="Calibri" w:hAnsi="Calibri"/>
          <w:bCs/>
        </w:rPr>
        <w:t xml:space="preserve">One government representative explained that the MSG may have simply assumed that </w:t>
      </w:r>
      <w:r w:rsidR="00292C21" w:rsidRPr="005C3EC8">
        <w:rPr>
          <w:rFonts w:ascii="Calibri" w:hAnsi="Calibri"/>
          <w:bCs/>
        </w:rPr>
        <w:t xml:space="preserve">cash-based reporting </w:t>
      </w:r>
      <w:r w:rsidRPr="005C3EC8">
        <w:rPr>
          <w:rFonts w:ascii="Calibri" w:hAnsi="Calibri"/>
          <w:bCs/>
        </w:rPr>
        <w:t>was the simplest way to reconcile individual transactions</w:t>
      </w:r>
      <w:r w:rsidR="00292C21" w:rsidRPr="005C3EC8">
        <w:rPr>
          <w:rFonts w:ascii="Calibri" w:hAnsi="Calibri"/>
          <w:bCs/>
        </w:rPr>
        <w:t>,</w:t>
      </w:r>
      <w:r w:rsidRPr="005C3EC8">
        <w:rPr>
          <w:rFonts w:ascii="Calibri" w:hAnsi="Calibri"/>
          <w:bCs/>
        </w:rPr>
        <w:t xml:space="preserve"> </w:t>
      </w:r>
      <w:r w:rsidR="00292C21" w:rsidRPr="005C3EC8">
        <w:rPr>
          <w:rFonts w:ascii="Calibri" w:hAnsi="Calibri"/>
          <w:bCs/>
        </w:rPr>
        <w:t xml:space="preserve">as well as </w:t>
      </w:r>
      <w:r w:rsidRPr="005C3EC8">
        <w:rPr>
          <w:rFonts w:ascii="Calibri" w:hAnsi="Calibri"/>
          <w:bCs/>
        </w:rPr>
        <w:t xml:space="preserve">to align </w:t>
      </w:r>
      <w:r w:rsidR="00292C21" w:rsidRPr="005C3EC8">
        <w:rPr>
          <w:rFonts w:ascii="Calibri" w:hAnsi="Calibri"/>
          <w:bCs/>
        </w:rPr>
        <w:t xml:space="preserve">EITI reporting </w:t>
      </w:r>
      <w:r w:rsidRPr="005C3EC8">
        <w:rPr>
          <w:rFonts w:ascii="Calibri" w:hAnsi="Calibri"/>
          <w:bCs/>
        </w:rPr>
        <w:t>with the payments to governments regulations of 2014</w:t>
      </w:r>
      <w:r w:rsidR="00292C21" w:rsidRPr="005C3EC8">
        <w:rPr>
          <w:rFonts w:ascii="Calibri" w:hAnsi="Calibri"/>
          <w:bCs/>
        </w:rPr>
        <w:t>, also based on cash accounting</w:t>
      </w:r>
      <w:r w:rsidRPr="005C3EC8">
        <w:rPr>
          <w:rFonts w:ascii="Calibri" w:hAnsi="Calibri"/>
          <w:bCs/>
        </w:rPr>
        <w:t>.</w:t>
      </w:r>
      <w:r w:rsidRPr="005C3EC8">
        <w:rPr>
          <w:rFonts w:ascii="Calibri" w:hAnsi="Calibri"/>
          <w:bCs/>
          <w:vertAlign w:val="superscript"/>
        </w:rPr>
        <w:footnoteReference w:id="343"/>
      </w:r>
      <w:r w:rsidR="00292C21" w:rsidRPr="005C3EC8">
        <w:rPr>
          <w:rFonts w:ascii="Calibri" w:hAnsi="Calibri"/>
          <w:bCs/>
        </w:rPr>
        <w:t xml:space="preserve"> </w:t>
      </w:r>
      <w:r w:rsidR="00C74077" w:rsidRPr="005C3EC8">
        <w:rPr>
          <w:rFonts w:ascii="Calibri" w:hAnsi="Calibri"/>
          <w:bCs/>
        </w:rPr>
        <w:t xml:space="preserve">An auditor considered that it would be possible to base the annual EITI reconciliation on an accrual-accounting basis. </w:t>
      </w:r>
      <w:r w:rsidR="00292C21" w:rsidRPr="005C3EC8">
        <w:rPr>
          <w:rFonts w:ascii="Calibri" w:hAnsi="Calibri"/>
          <w:bCs/>
        </w:rPr>
        <w:t>A</w:t>
      </w:r>
      <w:r w:rsidR="00C74077" w:rsidRPr="005C3EC8">
        <w:rPr>
          <w:rFonts w:ascii="Calibri" w:hAnsi="Calibri"/>
          <w:bCs/>
        </w:rPr>
        <w:t xml:space="preserve"> different </w:t>
      </w:r>
      <w:r w:rsidR="00292C21" w:rsidRPr="005C3EC8">
        <w:rPr>
          <w:rFonts w:ascii="Calibri" w:hAnsi="Calibri"/>
          <w:bCs/>
        </w:rPr>
        <w:t>government official noted while it would have technically been possible to undertake EITI reconciliation on an accrual-accounting basis, this would have delayed EITI reporting to up to 24 months after the end of the year under review. In addition, the government’s accrual-accounting figures for tax payments would rely on company self-reporting to HMRC, which would make discrepancies in the reconciliation unlikely.</w:t>
      </w:r>
    </w:p>
    <w:p w14:paraId="26906C89" w14:textId="5A0213B6" w:rsidR="00CA2831" w:rsidRPr="005C3EC8" w:rsidRDefault="009A7A3F" w:rsidP="009A7A3F">
      <w:pPr>
        <w:spacing w:before="120"/>
        <w:rPr>
          <w:rFonts w:ascii="Calibri" w:hAnsi="Calibri"/>
          <w:bCs/>
        </w:rPr>
      </w:pPr>
      <w:r w:rsidRPr="005C3EC8">
        <w:rPr>
          <w:rFonts w:ascii="Calibri" w:hAnsi="Calibri"/>
          <w:bCs/>
          <w:i/>
          <w:u w:val="single"/>
        </w:rPr>
        <w:t>Methodology</w:t>
      </w:r>
      <w:r w:rsidRPr="005C3EC8">
        <w:rPr>
          <w:rFonts w:ascii="Calibri" w:hAnsi="Calibri"/>
          <w:bCs/>
        </w:rPr>
        <w:t xml:space="preserve">: </w:t>
      </w:r>
      <w:r w:rsidR="00C74077" w:rsidRPr="005C3EC8">
        <w:rPr>
          <w:rFonts w:ascii="Calibri" w:hAnsi="Calibri"/>
          <w:bCs/>
        </w:rPr>
        <w:t xml:space="preserve">The IA confirmed that it had discussed quality assurances for EITI reporting with the MSG’s sub-group on contextual information ahead of the 2015 EITI Report and that these had been approved by the MSG but not reassessed in preparing the 2016 EITI Report. It was confirmed that the IA and MSG had not consulted with the NAO ahead of agreeing quality assurances for EITI reporting. While the IA stated that it would have preferred attestations from more senior company representatives, it expressed satisfaction with the assurances agreed. The IA explained that it had agreed an attestation for EITI reporting templates that referred to the same accounting systems that were the basis for audits rather than audited financial statements themselves, given the mismatch between calendar-year EITI reporting based on cash-accounting on the one hand and accrual-based audited financial statements that were based on differing calendar years. </w:t>
      </w:r>
      <w:r w:rsidRPr="005C3EC8">
        <w:rPr>
          <w:rFonts w:ascii="Calibri" w:hAnsi="Calibri"/>
          <w:bCs/>
        </w:rPr>
        <w:t xml:space="preserve">An auditor considered </w:t>
      </w:r>
      <w:r w:rsidR="00C74077" w:rsidRPr="005C3EC8">
        <w:rPr>
          <w:rFonts w:ascii="Calibri" w:hAnsi="Calibri"/>
          <w:bCs/>
        </w:rPr>
        <w:t xml:space="preserve">this approach reasonable and </w:t>
      </w:r>
      <w:r w:rsidRPr="005C3EC8">
        <w:rPr>
          <w:rFonts w:ascii="Calibri" w:hAnsi="Calibri"/>
          <w:bCs/>
        </w:rPr>
        <w:t xml:space="preserve">confirmed that the NAO would have had to conduct additional checks to be able to certify government EITI reporting templates, with little added value in the view of stakeholders consulted. </w:t>
      </w:r>
      <w:r w:rsidR="00CA2831" w:rsidRPr="005C3EC8">
        <w:rPr>
          <w:rFonts w:ascii="Calibri" w:hAnsi="Calibri"/>
          <w:bCs/>
        </w:rPr>
        <w:t xml:space="preserve">Several industry MSG members </w:t>
      </w:r>
      <w:r w:rsidR="00CA2831" w:rsidRPr="005C3EC8">
        <w:rPr>
          <w:rFonts w:ascii="Calibri" w:hAnsi="Calibri"/>
          <w:bCs/>
        </w:rPr>
        <w:lastRenderedPageBreak/>
        <w:t>expressed satisfaction at the quality assurances agreed by the MSG for EITI reporting.</w:t>
      </w:r>
    </w:p>
    <w:p w14:paraId="6610E8C7" w14:textId="26A522A3" w:rsidR="009A7A3F" w:rsidRPr="005C3EC8" w:rsidRDefault="009A7A3F" w:rsidP="009A7A3F">
      <w:pPr>
        <w:spacing w:before="120"/>
        <w:rPr>
          <w:rFonts w:ascii="Calibri" w:hAnsi="Calibri"/>
          <w:bCs/>
        </w:rPr>
      </w:pPr>
      <w:r w:rsidRPr="005C3EC8">
        <w:rPr>
          <w:rFonts w:ascii="Calibri" w:hAnsi="Calibri"/>
          <w:bCs/>
        </w:rPr>
        <w:t xml:space="preserve">An auditor considered that government entities could include disclosures of data required under the EITI Standard in their statutory annual accounts, without prior approval. However, it was noted that such disclosures could be included as part of the income account and thus audited, but this would be based on accrual-accounting for the UK fiscal year. Alternatively, these entities could include EITI disclosures in the first part of their annual reports, but these would not be subject to audit. </w:t>
      </w:r>
    </w:p>
    <w:p w14:paraId="03DDE47C" w14:textId="27B4BD53" w:rsidR="009A7A3F" w:rsidRPr="005C3EC8" w:rsidRDefault="009A7A3F" w:rsidP="009A7A3F">
      <w:pPr>
        <w:spacing w:before="120"/>
        <w:rPr>
          <w:rFonts w:ascii="Calibri" w:hAnsi="Calibri"/>
          <w:bCs/>
        </w:rPr>
      </w:pPr>
      <w:r w:rsidRPr="005C3EC8">
        <w:rPr>
          <w:rFonts w:ascii="Calibri" w:hAnsi="Calibri"/>
          <w:bCs/>
          <w:i/>
          <w:u w:val="single"/>
        </w:rPr>
        <w:t>Reconciliation coverage</w:t>
      </w:r>
      <w:r w:rsidRPr="005C3EC8">
        <w:rPr>
          <w:rFonts w:ascii="Calibri" w:hAnsi="Calibri"/>
          <w:bCs/>
        </w:rPr>
        <w:t xml:space="preserve">: The IA confirmed that the final reconciliation coverage could be calculated per material revenue stream based on the aggregate reconciled data and full unilateral government disclosure provided in the 2016 EITI Report (p.11). </w:t>
      </w:r>
    </w:p>
    <w:p w14:paraId="47FC0106" w14:textId="72CAA0A5" w:rsidR="009A7A3F" w:rsidRPr="005C3EC8" w:rsidRDefault="009A7A3F" w:rsidP="009A7A3F">
      <w:pPr>
        <w:spacing w:before="120"/>
        <w:rPr>
          <w:rFonts w:ascii="Calibri" w:hAnsi="Calibri"/>
          <w:bCs/>
        </w:rPr>
      </w:pPr>
      <w:r w:rsidRPr="005C3EC8">
        <w:rPr>
          <w:rFonts w:ascii="Calibri" w:hAnsi="Calibri"/>
          <w:bCs/>
          <w:i/>
          <w:u w:val="single"/>
        </w:rPr>
        <w:t>Comprehensiveness and reliability</w:t>
      </w:r>
      <w:r w:rsidRPr="005C3EC8">
        <w:rPr>
          <w:rFonts w:ascii="Calibri" w:hAnsi="Calibri"/>
          <w:bCs/>
        </w:rPr>
        <w:t>:</w:t>
      </w:r>
      <w:r w:rsidR="00CA2831" w:rsidRPr="005C3EC8">
        <w:rPr>
          <w:rFonts w:ascii="Calibri" w:hAnsi="Calibri"/>
          <w:bCs/>
        </w:rPr>
        <w:t xml:space="preserve"> </w:t>
      </w:r>
      <w:r w:rsidRPr="005C3EC8">
        <w:rPr>
          <w:rFonts w:ascii="Calibri" w:hAnsi="Calibri"/>
          <w:bCs/>
        </w:rPr>
        <w:t xml:space="preserve">The IA stated categorically that no payment was excluded from the scope of reconciliation whose omission would have materially affected the comprehensiveness of the EITI Report. While the IA conceded that a GBP 0.5m license fee payment had been omitted through oversight both by the OGA and by the paying company, the omission did not give it cause for concern over potentially material omissions from reconciliation. </w:t>
      </w:r>
      <w:r w:rsidR="00CA2831" w:rsidRPr="005C3EC8">
        <w:rPr>
          <w:rFonts w:ascii="Calibri" w:hAnsi="Calibri"/>
          <w:bCs/>
        </w:rPr>
        <w:t>Several</w:t>
      </w:r>
      <w:r w:rsidRPr="005C3EC8">
        <w:rPr>
          <w:rFonts w:ascii="Calibri" w:hAnsi="Calibri"/>
          <w:bCs/>
        </w:rPr>
        <w:t xml:space="preserve"> government official</w:t>
      </w:r>
      <w:r w:rsidR="00CA2831" w:rsidRPr="005C3EC8">
        <w:rPr>
          <w:rFonts w:ascii="Calibri" w:hAnsi="Calibri"/>
          <w:bCs/>
        </w:rPr>
        <w:t>s</w:t>
      </w:r>
      <w:r w:rsidRPr="005C3EC8">
        <w:rPr>
          <w:rFonts w:ascii="Calibri" w:hAnsi="Calibri"/>
          <w:bCs/>
        </w:rPr>
        <w:t xml:space="preserve"> expressed satisfaction over the comprehensiveness and reliability of reconciled EITI data, considering that the effective reconciliation of initial discrepancies provided evidence of the comprehensiveness of the reconciliation. </w:t>
      </w:r>
    </w:p>
    <w:p w14:paraId="76897B64" w14:textId="4FE52793" w:rsidR="001030D3" w:rsidRPr="005C3EC8" w:rsidRDefault="001030D3">
      <w:pPr>
        <w:pStyle w:val="Heading3"/>
      </w:pPr>
      <w:bookmarkStart w:id="296" w:name="_Toc459133170"/>
      <w:bookmarkStart w:id="297" w:name="_Toc461803120"/>
      <w:r w:rsidRPr="005C3EC8">
        <w:t>Initial assessment</w:t>
      </w:r>
      <w:bookmarkEnd w:id="296"/>
      <w:bookmarkEnd w:id="297"/>
    </w:p>
    <w:p w14:paraId="134FA491" w14:textId="6CC62DC1" w:rsidR="001030D3" w:rsidRPr="005C3EC8" w:rsidRDefault="001030D3" w:rsidP="00D8410F">
      <w:pPr>
        <w:spacing w:before="120"/>
        <w:rPr>
          <w:rFonts w:ascii="Calibri" w:hAnsi="Calibri"/>
        </w:rPr>
      </w:pPr>
      <w:r w:rsidRPr="005C3EC8">
        <w:rPr>
          <w:rFonts w:ascii="Calibri" w:hAnsi="Calibri"/>
        </w:rPr>
        <w:t xml:space="preserve">The International Secretariat’s </w:t>
      </w:r>
      <w:r w:rsidR="00D8410F" w:rsidRPr="005C3EC8">
        <w:rPr>
          <w:rFonts w:ascii="Calibri" w:hAnsi="Calibri"/>
        </w:rPr>
        <w:t xml:space="preserve">initial </w:t>
      </w:r>
      <w:r w:rsidRPr="005C3EC8">
        <w:rPr>
          <w:rFonts w:ascii="Calibri" w:hAnsi="Calibri"/>
        </w:rPr>
        <w:t xml:space="preserve">assessment is that </w:t>
      </w:r>
      <w:r w:rsidR="00FA46EF" w:rsidRPr="005C3EC8">
        <w:rPr>
          <w:rFonts w:ascii="Calibri" w:hAnsi="Calibri"/>
          <w:bCs/>
        </w:rPr>
        <w:t>the UK</w:t>
      </w:r>
      <w:r w:rsidR="00922ED3" w:rsidRPr="005C3EC8">
        <w:rPr>
          <w:rFonts w:ascii="Calibri" w:hAnsi="Calibri"/>
        </w:rPr>
        <w:t xml:space="preserve"> </w:t>
      </w:r>
      <w:r w:rsidRPr="005C3EC8">
        <w:rPr>
          <w:rFonts w:ascii="Calibri" w:hAnsi="Calibri"/>
        </w:rPr>
        <w:t xml:space="preserve">has made </w:t>
      </w:r>
      <w:r w:rsidR="00FA46EF" w:rsidRPr="003B7537">
        <w:rPr>
          <w:rFonts w:ascii="Calibri" w:hAnsi="Calibri"/>
          <w:b/>
          <w:bCs/>
        </w:rPr>
        <w:t>satisfactory</w:t>
      </w:r>
      <w:r w:rsidR="00FA46EF" w:rsidRPr="00A46237">
        <w:rPr>
          <w:rFonts w:ascii="Calibri" w:hAnsi="Calibri"/>
          <w:b/>
          <w:bCs/>
        </w:rPr>
        <w:t xml:space="preserve"> </w:t>
      </w:r>
      <w:r w:rsidRPr="003B7537">
        <w:rPr>
          <w:rFonts w:ascii="Calibri" w:hAnsi="Calibri"/>
          <w:b/>
        </w:rPr>
        <w:t>progress</w:t>
      </w:r>
      <w:r w:rsidRPr="005C3EC8">
        <w:rPr>
          <w:rFonts w:ascii="Calibri" w:hAnsi="Calibri"/>
        </w:rPr>
        <w:t xml:space="preserve"> towards meeting this requirement. </w:t>
      </w:r>
      <w:r w:rsidR="001C7F64" w:rsidRPr="005C3EC8">
        <w:rPr>
          <w:rFonts w:ascii="Calibri" w:hAnsi="Calibri"/>
        </w:rPr>
        <w:t xml:space="preserve">The reconciliation of payments and revenues has been undertaken by an IA, appointed by the MSG, and applying international professional standards. The IA and the MSG agreed </w:t>
      </w:r>
      <w:proofErr w:type="spellStart"/>
      <w:r w:rsidR="001C7F64" w:rsidRPr="005C3EC8">
        <w:rPr>
          <w:rFonts w:ascii="Calibri" w:hAnsi="Calibri"/>
        </w:rPr>
        <w:t>ToR</w:t>
      </w:r>
      <w:proofErr w:type="spellEnd"/>
      <w:r w:rsidR="001C7F64" w:rsidRPr="005C3EC8">
        <w:rPr>
          <w:rFonts w:ascii="Calibri" w:hAnsi="Calibri"/>
        </w:rPr>
        <w:t xml:space="preserve"> for the production of the 2016 EITI Report consistent with the standard </w:t>
      </w:r>
      <w:proofErr w:type="spellStart"/>
      <w:r w:rsidR="001C7F64" w:rsidRPr="005C3EC8">
        <w:rPr>
          <w:rFonts w:ascii="Calibri" w:hAnsi="Calibri"/>
        </w:rPr>
        <w:t>ToR</w:t>
      </w:r>
      <w:proofErr w:type="spellEnd"/>
      <w:r w:rsidR="001C7F64" w:rsidRPr="005C3EC8">
        <w:rPr>
          <w:rFonts w:ascii="Calibri" w:hAnsi="Calibri"/>
        </w:rPr>
        <w:t xml:space="preserve"> and agreed upon procedures issued by the EITI Board, and applied this </w:t>
      </w:r>
      <w:proofErr w:type="spellStart"/>
      <w:r w:rsidR="001C7F64" w:rsidRPr="005C3EC8">
        <w:rPr>
          <w:rFonts w:ascii="Calibri" w:hAnsi="Calibri"/>
        </w:rPr>
        <w:t>ToR</w:t>
      </w:r>
      <w:proofErr w:type="spellEnd"/>
      <w:r w:rsidR="001C7F64" w:rsidRPr="005C3EC8">
        <w:rPr>
          <w:rFonts w:ascii="Calibri" w:hAnsi="Calibri"/>
        </w:rPr>
        <w:t xml:space="preserve"> and procedures in practice. The final report provides a clear statement from the IA on the comprehensiveness and reliability of the (financial) data presented, including an informative summary of the work performed by the IA</w:t>
      </w:r>
      <w:r w:rsidR="00B63B86" w:rsidRPr="005C3EC8">
        <w:rPr>
          <w:rFonts w:ascii="Calibri" w:hAnsi="Calibri"/>
        </w:rPr>
        <w:t xml:space="preserve">, the </w:t>
      </w:r>
      <w:r w:rsidR="00845021" w:rsidRPr="005C3EC8">
        <w:rPr>
          <w:rFonts w:ascii="Calibri" w:hAnsi="Calibri"/>
        </w:rPr>
        <w:t xml:space="preserve">means to calculate the final </w:t>
      </w:r>
      <w:r w:rsidR="00B63B86" w:rsidRPr="005C3EC8">
        <w:rPr>
          <w:rFonts w:ascii="Calibri" w:hAnsi="Calibri"/>
        </w:rPr>
        <w:t>coverage of the financial reconciliation</w:t>
      </w:r>
      <w:r w:rsidR="001C7F64" w:rsidRPr="005C3EC8">
        <w:rPr>
          <w:rFonts w:ascii="Calibri" w:hAnsi="Calibri"/>
        </w:rPr>
        <w:t xml:space="preserve"> and the limitations of the assessment provided. </w:t>
      </w:r>
    </w:p>
    <w:p w14:paraId="21610C49" w14:textId="5BBCE83F" w:rsidR="00223FED" w:rsidRPr="005C3EC8" w:rsidRDefault="00223FED" w:rsidP="00D8410F">
      <w:pPr>
        <w:spacing w:before="120"/>
        <w:rPr>
          <w:rFonts w:ascii="Calibri" w:hAnsi="Calibri"/>
        </w:rPr>
      </w:pPr>
      <w:r w:rsidRPr="005C3EC8">
        <w:rPr>
          <w:rFonts w:ascii="Calibri" w:hAnsi="Calibri"/>
        </w:rPr>
        <w:t xml:space="preserve">To strengthen and streamline implementation, the UK may wish to work with companies in the scope of EITI reporting to ensure routine reporting of payments to government as required under the EITI Standard through statutory public disclosures. </w:t>
      </w:r>
    </w:p>
    <w:p w14:paraId="287CA062" w14:textId="4C8F18D8" w:rsidR="000722F1" w:rsidRPr="005C3EC8" w:rsidRDefault="000B5861" w:rsidP="007906D4">
      <w:pPr>
        <w:pStyle w:val="Caption"/>
        <w:rPr>
          <w:rFonts w:ascii="Calibri" w:hAnsi="Calibri"/>
          <w:i/>
          <w:color w:val="000000"/>
        </w:rPr>
      </w:pPr>
      <w:bookmarkStart w:id="298" w:name="_Toc463537777"/>
      <w:bookmarkStart w:id="299" w:name="_Toc485385505"/>
      <w:r w:rsidRPr="005C3EC8">
        <w:t xml:space="preserve">Table </w:t>
      </w:r>
      <w:r w:rsidR="000047B5">
        <w:fldChar w:fldCharType="begin"/>
      </w:r>
      <w:r w:rsidR="000047B5">
        <w:instrText xml:space="preserve"> SEQ Table \* ARABIC </w:instrText>
      </w:r>
      <w:r w:rsidR="000047B5">
        <w:fldChar w:fldCharType="separate"/>
      </w:r>
      <w:r w:rsidR="0083320D" w:rsidRPr="005C3EC8">
        <w:t>4</w:t>
      </w:r>
      <w:r w:rsidR="000047B5">
        <w:fldChar w:fldCharType="end"/>
      </w:r>
      <w:r w:rsidR="000722F1" w:rsidRPr="005C3EC8">
        <w:rPr>
          <w:color w:val="000000"/>
        </w:rPr>
        <w:t xml:space="preserve">- </w:t>
      </w:r>
      <w:r w:rsidR="000722F1" w:rsidRPr="005C3EC8">
        <w:rPr>
          <w:rFonts w:eastAsia="Calibri"/>
        </w:rPr>
        <w:t xml:space="preserve">Summary </w:t>
      </w:r>
      <w:r w:rsidR="00F46F04" w:rsidRPr="005C3EC8">
        <w:rPr>
          <w:rFonts w:eastAsia="Calibri"/>
        </w:rPr>
        <w:t xml:space="preserve">initial </w:t>
      </w:r>
      <w:r w:rsidR="000722F1" w:rsidRPr="005C3EC8">
        <w:rPr>
          <w:rFonts w:eastAsia="Calibri"/>
        </w:rPr>
        <w:t>assessment table: Revenue collection</w:t>
      </w:r>
      <w:bookmarkEnd w:id="298"/>
      <w:bookmarkEnd w:id="29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4455"/>
        <w:gridCol w:w="2260"/>
      </w:tblGrid>
      <w:tr w:rsidR="00FC3899" w:rsidRPr="005C3EC8" w14:paraId="19125AD9" w14:textId="77777777" w:rsidTr="005F3DC8">
        <w:trPr>
          <w:trHeight w:val="675"/>
        </w:trPr>
        <w:tc>
          <w:tcPr>
            <w:tcW w:w="2662" w:type="dxa"/>
            <w:shd w:val="clear" w:color="auto" w:fill="D9D9D9"/>
            <w:vAlign w:val="center"/>
          </w:tcPr>
          <w:p w14:paraId="502194C2" w14:textId="77777777" w:rsidR="00FC3899" w:rsidRPr="005C3EC8" w:rsidRDefault="00FC3899" w:rsidP="00E03D03">
            <w:pPr>
              <w:pStyle w:val="Tabletext"/>
              <w:rPr>
                <w:b/>
                <w:lang w:val="en-GB"/>
              </w:rPr>
            </w:pPr>
            <w:r w:rsidRPr="005C3EC8">
              <w:rPr>
                <w:b/>
                <w:lang w:val="en-GB"/>
              </w:rPr>
              <w:t>EITI provisions</w:t>
            </w:r>
          </w:p>
        </w:tc>
        <w:tc>
          <w:tcPr>
            <w:tcW w:w="4455" w:type="dxa"/>
            <w:shd w:val="clear" w:color="auto" w:fill="D9D9D9"/>
            <w:vAlign w:val="center"/>
          </w:tcPr>
          <w:p w14:paraId="3354C96B" w14:textId="77777777" w:rsidR="00FC3899" w:rsidRPr="005C3EC8" w:rsidRDefault="00FC3899" w:rsidP="00E03D03">
            <w:pPr>
              <w:pStyle w:val="Tabletext"/>
              <w:rPr>
                <w:b/>
                <w:lang w:val="en-GB"/>
              </w:rPr>
            </w:pPr>
            <w:r w:rsidRPr="005C3EC8">
              <w:rPr>
                <w:b/>
                <w:lang w:val="en-GB"/>
              </w:rPr>
              <w:t>Summary of main findings</w:t>
            </w:r>
          </w:p>
        </w:tc>
        <w:tc>
          <w:tcPr>
            <w:tcW w:w="2260" w:type="dxa"/>
            <w:shd w:val="clear" w:color="auto" w:fill="D9D9D9"/>
            <w:vAlign w:val="center"/>
          </w:tcPr>
          <w:p w14:paraId="56BFD9C6" w14:textId="695C0B62" w:rsidR="00FC3899" w:rsidRPr="005C3EC8" w:rsidRDefault="00FC3899" w:rsidP="00E03D03">
            <w:pPr>
              <w:pStyle w:val="Tabletext"/>
              <w:rPr>
                <w:b/>
                <w:color w:val="000000"/>
                <w:lang w:val="en-GB"/>
              </w:rPr>
            </w:pPr>
            <w:r w:rsidRPr="005C3EC8">
              <w:rPr>
                <w:b/>
                <w:color w:val="000000"/>
                <w:lang w:val="en-GB"/>
              </w:rPr>
              <w:t xml:space="preserve">International Secretariat’s initial assessment of progress with the EITI provisions </w:t>
            </w:r>
          </w:p>
        </w:tc>
      </w:tr>
      <w:tr w:rsidR="009A7BD4" w:rsidRPr="005C3EC8" w14:paraId="69DBC012" w14:textId="77777777" w:rsidTr="005F3DC8">
        <w:tc>
          <w:tcPr>
            <w:tcW w:w="2662" w:type="dxa"/>
            <w:shd w:val="clear" w:color="auto" w:fill="auto"/>
            <w:vAlign w:val="center"/>
          </w:tcPr>
          <w:p w14:paraId="7033E91B" w14:textId="77777777" w:rsidR="001030D3" w:rsidRPr="005C3EC8" w:rsidRDefault="001030D3" w:rsidP="00E03D03">
            <w:pPr>
              <w:pStyle w:val="Tabletext"/>
              <w:rPr>
                <w:lang w:val="en-GB"/>
              </w:rPr>
            </w:pPr>
            <w:r w:rsidRPr="005C3EC8">
              <w:rPr>
                <w:lang w:val="en-GB" w:eastAsia="x-none"/>
              </w:rPr>
              <w:t>Comprehensiveness (#4.1)</w:t>
            </w:r>
          </w:p>
        </w:tc>
        <w:tc>
          <w:tcPr>
            <w:tcW w:w="4455" w:type="dxa"/>
            <w:shd w:val="clear" w:color="auto" w:fill="auto"/>
            <w:vAlign w:val="center"/>
          </w:tcPr>
          <w:p w14:paraId="3A1E39CD" w14:textId="78D7FAA1" w:rsidR="001030D3" w:rsidRPr="005C3EC8" w:rsidRDefault="005F3DC8" w:rsidP="00E03D03">
            <w:pPr>
              <w:pStyle w:val="Tabletext"/>
              <w:rPr>
                <w:lang w:val="en-GB"/>
              </w:rPr>
            </w:pPr>
            <w:r w:rsidRPr="005C3EC8">
              <w:rPr>
                <w:lang w:val="en-GB"/>
              </w:rPr>
              <w:t xml:space="preserve">The 2016 EITI Report includes a definition of </w:t>
            </w:r>
            <w:r w:rsidRPr="005C3EC8">
              <w:rPr>
                <w:lang w:val="en-GB"/>
              </w:rPr>
              <w:lastRenderedPageBreak/>
              <w:t>the quantitative materiality threshold for selecting companies to be included in reconciliation, with the justification for thresholds documented in MSG meeting minutes. While the report did not define a quantitative materiality threshold for selecting revenue streams for reconciliation, there was consensus among all stakeholders that all payments and revenues whose omission or misstatement could significantly affect the comprehensiveness of the EITI Report had been reconciled. The MSG approved the materiality threshold for payments and for companies. All but three material companies and all government entities reported comprehensively all material payments and revenues in the 2016 EITI Report and full unilateral government disclosures was provided. While the materiality of payments from the three non-reporting material mining and quarrying companies was not explicitly assessed separately from payments from companies below the materiality threshold in the 2016 EITI Report, the IA’s assessment that the comprehensiveness of reconciled financial data was satisfactory supports the assessment that the broader objective of revenue transparency has been achieved.</w:t>
            </w:r>
          </w:p>
        </w:tc>
        <w:tc>
          <w:tcPr>
            <w:tcW w:w="2260" w:type="dxa"/>
            <w:vAlign w:val="center"/>
          </w:tcPr>
          <w:p w14:paraId="349C43A4" w14:textId="10CCE70F" w:rsidR="001030D3" w:rsidRPr="005C3EC8" w:rsidRDefault="00CA2831" w:rsidP="002C6615">
            <w:pPr>
              <w:pStyle w:val="Tabletext"/>
              <w:jc w:val="center"/>
              <w:rPr>
                <w:lang w:val="en-GB"/>
              </w:rPr>
            </w:pPr>
            <w:r w:rsidRPr="005C3EC8">
              <w:rPr>
                <w:lang w:val="en-GB"/>
              </w:rPr>
              <w:lastRenderedPageBreak/>
              <w:t>Satisfactory</w:t>
            </w:r>
            <w:r w:rsidR="002C6615" w:rsidRPr="005C3EC8">
              <w:rPr>
                <w:lang w:val="en-GB"/>
              </w:rPr>
              <w:t xml:space="preserve"> progress</w:t>
            </w:r>
          </w:p>
        </w:tc>
      </w:tr>
      <w:tr w:rsidR="009A7BD4" w:rsidRPr="005C3EC8" w14:paraId="4335EBA7" w14:textId="77777777" w:rsidTr="005F3DC8">
        <w:tc>
          <w:tcPr>
            <w:tcW w:w="2662" w:type="dxa"/>
            <w:shd w:val="clear" w:color="auto" w:fill="auto"/>
            <w:vAlign w:val="center"/>
          </w:tcPr>
          <w:p w14:paraId="2E64560C" w14:textId="77777777" w:rsidR="001030D3" w:rsidRPr="005C3EC8" w:rsidRDefault="001030D3" w:rsidP="00E03D03">
            <w:pPr>
              <w:pStyle w:val="Tabletext"/>
              <w:rPr>
                <w:lang w:val="en-GB"/>
              </w:rPr>
            </w:pPr>
            <w:r w:rsidRPr="005C3EC8">
              <w:rPr>
                <w:lang w:val="en-GB" w:eastAsia="x-none"/>
              </w:rPr>
              <w:t>In-kind revenues (#4.2)</w:t>
            </w:r>
          </w:p>
        </w:tc>
        <w:tc>
          <w:tcPr>
            <w:tcW w:w="4455" w:type="dxa"/>
            <w:shd w:val="clear" w:color="auto" w:fill="auto"/>
            <w:vAlign w:val="center"/>
          </w:tcPr>
          <w:p w14:paraId="5A45C63A" w14:textId="4FF4E92E" w:rsidR="001030D3" w:rsidRPr="005C3EC8" w:rsidRDefault="00D17CB2" w:rsidP="00E03D03">
            <w:pPr>
              <w:pStyle w:val="Tabletext"/>
              <w:rPr>
                <w:lang w:val="en-GB"/>
              </w:rPr>
            </w:pPr>
            <w:r w:rsidRPr="005C3EC8">
              <w:rPr>
                <w:lang w:val="en-GB"/>
              </w:rPr>
              <w:t>The International Secretariat’s initial assessment is that this requirement was not applicable in the UK in 2016. While the 2016 EITI Report only states that there were no in-kind revenues in the UK extractives sector, there was consensus among stakeholders consulted that Requirement 4.2 was not applicable in the UK in 2016.</w:t>
            </w:r>
          </w:p>
        </w:tc>
        <w:tc>
          <w:tcPr>
            <w:tcW w:w="2260" w:type="dxa"/>
            <w:vAlign w:val="center"/>
          </w:tcPr>
          <w:p w14:paraId="41D27DEE" w14:textId="604A68E0" w:rsidR="001030D3" w:rsidRPr="005C3EC8" w:rsidRDefault="002C6615" w:rsidP="002C6615">
            <w:pPr>
              <w:pStyle w:val="Tabletext"/>
              <w:jc w:val="center"/>
              <w:rPr>
                <w:lang w:val="en-GB"/>
              </w:rPr>
            </w:pPr>
            <w:r w:rsidRPr="005C3EC8">
              <w:rPr>
                <w:lang w:val="en-GB"/>
              </w:rPr>
              <w:t>Not applicable</w:t>
            </w:r>
          </w:p>
        </w:tc>
      </w:tr>
      <w:tr w:rsidR="009A7BD4" w:rsidRPr="005C3EC8" w14:paraId="28228398" w14:textId="77777777" w:rsidTr="005F3DC8">
        <w:tc>
          <w:tcPr>
            <w:tcW w:w="2662" w:type="dxa"/>
            <w:shd w:val="clear" w:color="auto" w:fill="auto"/>
            <w:vAlign w:val="center"/>
          </w:tcPr>
          <w:p w14:paraId="069E377E" w14:textId="77777777" w:rsidR="001030D3" w:rsidRPr="005C3EC8" w:rsidRDefault="001030D3" w:rsidP="00E03D03">
            <w:pPr>
              <w:pStyle w:val="Tabletext"/>
              <w:rPr>
                <w:lang w:val="en-GB"/>
              </w:rPr>
            </w:pPr>
            <w:r w:rsidRPr="005C3EC8">
              <w:rPr>
                <w:lang w:val="en-GB" w:eastAsia="x-none"/>
              </w:rPr>
              <w:t>Barter and infrastructure transactions (#4.3)</w:t>
            </w:r>
          </w:p>
        </w:tc>
        <w:tc>
          <w:tcPr>
            <w:tcW w:w="4455" w:type="dxa"/>
            <w:shd w:val="clear" w:color="auto" w:fill="auto"/>
            <w:vAlign w:val="center"/>
          </w:tcPr>
          <w:p w14:paraId="7EC39DBC" w14:textId="14913337" w:rsidR="001030D3" w:rsidRPr="005C3EC8" w:rsidRDefault="00D17CB2" w:rsidP="00E03D03">
            <w:pPr>
              <w:pStyle w:val="Tabletext"/>
              <w:rPr>
                <w:lang w:val="en-GB"/>
              </w:rPr>
            </w:pPr>
            <w:r w:rsidRPr="005C3EC8">
              <w:rPr>
                <w:lang w:val="en-GB"/>
              </w:rPr>
              <w:t>The International Secretariat’s initial assessment is that this requirement was not applicable in the UK in 2016. While the 2016 EITI Report only states that there were no in-kind revenues in the UK extractives sector, there was consensus among stakeholders consulted that Requirement 4.3 was not applicable in the UK in 2016.</w:t>
            </w:r>
          </w:p>
        </w:tc>
        <w:tc>
          <w:tcPr>
            <w:tcW w:w="2260" w:type="dxa"/>
            <w:tcBorders>
              <w:bottom w:val="single" w:sz="4" w:space="0" w:color="auto"/>
            </w:tcBorders>
            <w:vAlign w:val="center"/>
          </w:tcPr>
          <w:p w14:paraId="318721A5" w14:textId="1133E6CB" w:rsidR="001030D3" w:rsidRPr="005C3EC8" w:rsidRDefault="002C6615" w:rsidP="002C6615">
            <w:pPr>
              <w:pStyle w:val="Tabletext"/>
              <w:jc w:val="center"/>
              <w:rPr>
                <w:lang w:val="en-GB"/>
              </w:rPr>
            </w:pPr>
            <w:r w:rsidRPr="005C3EC8">
              <w:rPr>
                <w:lang w:val="en-GB"/>
              </w:rPr>
              <w:t>Not applicable</w:t>
            </w:r>
          </w:p>
        </w:tc>
      </w:tr>
      <w:tr w:rsidR="009A7BD4" w:rsidRPr="005C3EC8" w14:paraId="7B38E908" w14:textId="77777777" w:rsidTr="005F3DC8">
        <w:tc>
          <w:tcPr>
            <w:tcW w:w="2662" w:type="dxa"/>
            <w:shd w:val="clear" w:color="auto" w:fill="auto"/>
            <w:vAlign w:val="center"/>
          </w:tcPr>
          <w:p w14:paraId="4F1F3117" w14:textId="77777777" w:rsidR="001030D3" w:rsidRPr="005C3EC8" w:rsidRDefault="001030D3" w:rsidP="00E03D03">
            <w:pPr>
              <w:pStyle w:val="Tabletext"/>
              <w:rPr>
                <w:lang w:val="en-GB"/>
              </w:rPr>
            </w:pPr>
            <w:r w:rsidRPr="005C3EC8">
              <w:rPr>
                <w:lang w:val="en-GB" w:eastAsia="x-none"/>
              </w:rPr>
              <w:t>Transport revenues (#4.4)</w:t>
            </w:r>
          </w:p>
        </w:tc>
        <w:tc>
          <w:tcPr>
            <w:tcW w:w="4455" w:type="dxa"/>
            <w:shd w:val="clear" w:color="auto" w:fill="auto"/>
            <w:vAlign w:val="center"/>
          </w:tcPr>
          <w:p w14:paraId="7AAB1525" w14:textId="36249FA0" w:rsidR="001030D3" w:rsidRPr="005C3EC8" w:rsidRDefault="00D17CB2" w:rsidP="00E03D03">
            <w:pPr>
              <w:pStyle w:val="Tabletext"/>
              <w:rPr>
                <w:lang w:val="en-GB"/>
              </w:rPr>
            </w:pPr>
            <w:r w:rsidRPr="005C3EC8">
              <w:rPr>
                <w:lang w:val="en-GB"/>
              </w:rPr>
              <w:t xml:space="preserve">The International Secretariat’s initial assessment is that this requirement was not </w:t>
            </w:r>
            <w:r w:rsidRPr="005C3EC8">
              <w:rPr>
                <w:lang w:val="en-GB"/>
              </w:rPr>
              <w:lastRenderedPageBreak/>
              <w:t>applicable in the UK in 2016. While the 2016 EITI Report only states that there were government transport revenues in the UK extractives sector, there was consensus among stakeholders consulted that Requirement 4.4 was not applicable in the UK in 2016.</w:t>
            </w:r>
          </w:p>
        </w:tc>
        <w:tc>
          <w:tcPr>
            <w:tcW w:w="2260" w:type="dxa"/>
            <w:shd w:val="clear" w:color="auto" w:fill="auto"/>
            <w:vAlign w:val="center"/>
          </w:tcPr>
          <w:p w14:paraId="10572BD3" w14:textId="42699C3B" w:rsidR="001030D3" w:rsidRPr="005C3EC8" w:rsidRDefault="002C6615" w:rsidP="002C6615">
            <w:pPr>
              <w:pStyle w:val="Tabletext"/>
              <w:jc w:val="center"/>
              <w:rPr>
                <w:lang w:val="en-GB"/>
              </w:rPr>
            </w:pPr>
            <w:r w:rsidRPr="005C3EC8">
              <w:rPr>
                <w:lang w:val="en-GB"/>
              </w:rPr>
              <w:lastRenderedPageBreak/>
              <w:t>Not applicable</w:t>
            </w:r>
          </w:p>
        </w:tc>
      </w:tr>
      <w:tr w:rsidR="009A7BD4" w:rsidRPr="005C3EC8" w14:paraId="00276993" w14:textId="77777777" w:rsidTr="005F3DC8">
        <w:trPr>
          <w:trHeight w:val="1283"/>
        </w:trPr>
        <w:tc>
          <w:tcPr>
            <w:tcW w:w="2662" w:type="dxa"/>
            <w:shd w:val="clear" w:color="auto" w:fill="auto"/>
            <w:vAlign w:val="center"/>
          </w:tcPr>
          <w:p w14:paraId="5150DEA0" w14:textId="77777777" w:rsidR="001030D3" w:rsidRPr="005C3EC8" w:rsidRDefault="001030D3" w:rsidP="00E03D03">
            <w:pPr>
              <w:pStyle w:val="Tabletext"/>
              <w:rPr>
                <w:lang w:val="en-GB"/>
              </w:rPr>
            </w:pPr>
            <w:r w:rsidRPr="005C3EC8">
              <w:rPr>
                <w:lang w:val="en-GB" w:eastAsia="x-none"/>
              </w:rPr>
              <w:t>Transactions between SOEs and government (#4.5)</w:t>
            </w:r>
          </w:p>
        </w:tc>
        <w:tc>
          <w:tcPr>
            <w:tcW w:w="4455" w:type="dxa"/>
            <w:shd w:val="clear" w:color="auto" w:fill="auto"/>
            <w:vAlign w:val="center"/>
          </w:tcPr>
          <w:p w14:paraId="267990BE" w14:textId="370B884C" w:rsidR="001030D3" w:rsidRPr="005C3EC8" w:rsidRDefault="00D17CB2" w:rsidP="00E03D03">
            <w:pPr>
              <w:pStyle w:val="Tabletext"/>
              <w:rPr>
                <w:lang w:val="en-GB"/>
              </w:rPr>
            </w:pPr>
            <w:r w:rsidRPr="005C3EC8">
              <w:rPr>
                <w:lang w:val="en-GB"/>
              </w:rPr>
              <w:t>The International Secretariat’s initial assessment is that this requirement was not applicable in the UK in 2016. The 2016 EITI Report confirms the lack of state participation in the UK extractive industries in 2016.</w:t>
            </w:r>
          </w:p>
        </w:tc>
        <w:tc>
          <w:tcPr>
            <w:tcW w:w="2260" w:type="dxa"/>
            <w:vAlign w:val="center"/>
          </w:tcPr>
          <w:p w14:paraId="20B2A317" w14:textId="3D5BB6D9" w:rsidR="001030D3" w:rsidRPr="005C3EC8" w:rsidRDefault="002C6615" w:rsidP="002C6615">
            <w:pPr>
              <w:pStyle w:val="Tabletext"/>
              <w:jc w:val="center"/>
              <w:rPr>
                <w:lang w:val="en-GB"/>
              </w:rPr>
            </w:pPr>
            <w:r w:rsidRPr="005C3EC8">
              <w:rPr>
                <w:lang w:val="en-GB"/>
              </w:rPr>
              <w:t>Not applicable</w:t>
            </w:r>
          </w:p>
        </w:tc>
      </w:tr>
      <w:tr w:rsidR="009A7BD4" w:rsidRPr="005C3EC8" w14:paraId="7CE74483" w14:textId="77777777" w:rsidTr="005F3DC8">
        <w:tc>
          <w:tcPr>
            <w:tcW w:w="2662" w:type="dxa"/>
            <w:shd w:val="clear" w:color="auto" w:fill="auto"/>
            <w:vAlign w:val="center"/>
          </w:tcPr>
          <w:p w14:paraId="0309D312" w14:textId="77777777" w:rsidR="001030D3" w:rsidRPr="005C3EC8" w:rsidRDefault="001030D3" w:rsidP="00E03D03">
            <w:pPr>
              <w:pStyle w:val="Tabletext"/>
              <w:rPr>
                <w:lang w:val="en-GB"/>
              </w:rPr>
            </w:pPr>
            <w:r w:rsidRPr="005C3EC8">
              <w:rPr>
                <w:lang w:val="en-GB" w:eastAsia="x-none"/>
              </w:rPr>
              <w:t>Subnational direct payments (#4.6)</w:t>
            </w:r>
          </w:p>
        </w:tc>
        <w:tc>
          <w:tcPr>
            <w:tcW w:w="4455" w:type="dxa"/>
            <w:shd w:val="clear" w:color="auto" w:fill="auto"/>
            <w:vAlign w:val="center"/>
          </w:tcPr>
          <w:p w14:paraId="2AF30287" w14:textId="1830F92F" w:rsidR="001030D3" w:rsidRPr="005C3EC8" w:rsidRDefault="00D17CB2" w:rsidP="00E03D03">
            <w:pPr>
              <w:pStyle w:val="Tabletext"/>
              <w:rPr>
                <w:lang w:val="en-GB"/>
              </w:rPr>
            </w:pPr>
            <w:r w:rsidRPr="005C3EC8">
              <w:rPr>
                <w:lang w:val="en-GB"/>
              </w:rPr>
              <w:t>The 2016 EITI Report confirms the existence of direct subnational payments to Local Planning Authorities (LPAs) and it can be inferred that these were excluded from the scope of reconciliation given that they were not considered material. While the report only explicitly confirms the lack of material direct subnational payments related to oil and gas to Northern Ireland’s DfE, not related to mining, there was consensus among stakeholders consulted that the DfE did not collect material revenues linked to mining and quarrying in 2016.</w:t>
            </w:r>
          </w:p>
        </w:tc>
        <w:tc>
          <w:tcPr>
            <w:tcW w:w="2260" w:type="dxa"/>
            <w:vAlign w:val="center"/>
          </w:tcPr>
          <w:p w14:paraId="47B4C49B" w14:textId="5CEBF531" w:rsidR="001030D3" w:rsidRPr="005C3EC8" w:rsidRDefault="00CA2831" w:rsidP="002C6615">
            <w:pPr>
              <w:pStyle w:val="Tabletext"/>
              <w:jc w:val="center"/>
              <w:rPr>
                <w:lang w:val="en-GB"/>
              </w:rPr>
            </w:pPr>
            <w:r w:rsidRPr="005C3EC8">
              <w:rPr>
                <w:lang w:val="en-GB"/>
              </w:rPr>
              <w:t>Not applicable</w:t>
            </w:r>
          </w:p>
        </w:tc>
      </w:tr>
      <w:tr w:rsidR="009A7BD4" w:rsidRPr="005C3EC8" w14:paraId="4F1ADA6D" w14:textId="77777777" w:rsidTr="005F3DC8">
        <w:tc>
          <w:tcPr>
            <w:tcW w:w="2662" w:type="dxa"/>
            <w:shd w:val="clear" w:color="auto" w:fill="auto"/>
            <w:vAlign w:val="center"/>
          </w:tcPr>
          <w:p w14:paraId="4F3C41C9" w14:textId="77777777" w:rsidR="001030D3" w:rsidRPr="005C3EC8" w:rsidRDefault="001030D3" w:rsidP="00E03D03">
            <w:pPr>
              <w:pStyle w:val="Tabletext"/>
              <w:rPr>
                <w:lang w:val="en-GB" w:eastAsia="x-none"/>
              </w:rPr>
            </w:pPr>
            <w:r w:rsidRPr="005C3EC8">
              <w:rPr>
                <w:lang w:val="en-GB" w:eastAsia="x-none"/>
              </w:rPr>
              <w:t>Level of disaggregation (#4.7)</w:t>
            </w:r>
          </w:p>
        </w:tc>
        <w:tc>
          <w:tcPr>
            <w:tcW w:w="4455" w:type="dxa"/>
            <w:shd w:val="clear" w:color="auto" w:fill="auto"/>
            <w:vAlign w:val="center"/>
          </w:tcPr>
          <w:p w14:paraId="55B4A0F2" w14:textId="0A8CA53C" w:rsidR="001030D3" w:rsidRPr="005C3EC8" w:rsidRDefault="00D17CB2" w:rsidP="00E03D03">
            <w:pPr>
              <w:pStyle w:val="Tabletext"/>
              <w:rPr>
                <w:lang w:val="en-GB" w:eastAsia="x-none"/>
              </w:rPr>
            </w:pPr>
            <w:r w:rsidRPr="005C3EC8">
              <w:rPr>
                <w:lang w:val="en-GB"/>
              </w:rPr>
              <w:t xml:space="preserve">The 2016 EITI Report and UK EITI data available online presents reconciled financial data disaggregated by company, revenue stream and government entity, for all revenues in scope of reconciliation aside from payments to The Crown Estate and Ring-Fenced Corporation Tax / Supplementary Charge (RFCT/SC). The report describes four types of revenues collected by TCE, but only presents the results of reconciliation aggregated. </w:t>
            </w:r>
            <w:r w:rsidR="004C2003" w:rsidRPr="005C3EC8">
              <w:rPr>
                <w:lang w:val="en-GB"/>
              </w:rPr>
              <w:t xml:space="preserve">However, stakeholder consultations indicated that TCE collected only one revenue stream (royalty) from mining and quarrying in the scope of EITI reporting, implying that TCE revenues were effectively disaggregated by stream in the 2016 EITI Report. </w:t>
            </w:r>
            <w:r w:rsidRPr="005C3EC8">
              <w:rPr>
                <w:lang w:val="en-GB"/>
              </w:rPr>
              <w:t xml:space="preserve">Although the results of reconciliation of RFCT/SC, among the largest revenue streams in scope of reconciliation, are presented in aggregate in the 2016 EITI Report, there was consensus amongst stakeholders consulted that it would not have been possible to provide final figures disaggregating the two </w:t>
            </w:r>
            <w:r w:rsidRPr="005C3EC8">
              <w:rPr>
                <w:lang w:val="en-GB"/>
              </w:rPr>
              <w:lastRenderedPageBreak/>
              <w:t>until up to 24 months after the end of the UK fiscal year, and thus beyond the timeframe set out in Requirement 4.8. There is evidence and consensus during consultations that the MSG approved the aggregation of RFCT/SC for EITI reporting purposes. Payments to the Coal Authority, while not disaggregated in the 2016 EITI Report, were not in scope of reconciliation. There is also evidence of UK EITI going beyond the minimum requirement by implementing project-level reporting for taxes and fees levied on a per-project basis, including those levied by TCE, since the start of its EITI reporting.</w:t>
            </w:r>
          </w:p>
        </w:tc>
        <w:tc>
          <w:tcPr>
            <w:tcW w:w="2260" w:type="dxa"/>
            <w:vAlign w:val="center"/>
          </w:tcPr>
          <w:p w14:paraId="0D8F5775" w14:textId="40F0FEEC" w:rsidR="001030D3" w:rsidRPr="005C3EC8" w:rsidRDefault="00B118D3" w:rsidP="002C6615">
            <w:pPr>
              <w:pStyle w:val="Tabletext"/>
              <w:jc w:val="center"/>
              <w:rPr>
                <w:lang w:val="en-GB"/>
              </w:rPr>
            </w:pPr>
            <w:r w:rsidRPr="005C3EC8">
              <w:rPr>
                <w:lang w:val="en-GB"/>
              </w:rPr>
              <w:lastRenderedPageBreak/>
              <w:t xml:space="preserve">Satisfactory </w:t>
            </w:r>
            <w:r w:rsidR="002C6615" w:rsidRPr="005C3EC8">
              <w:rPr>
                <w:lang w:val="en-GB"/>
              </w:rPr>
              <w:t>progress</w:t>
            </w:r>
          </w:p>
        </w:tc>
      </w:tr>
      <w:tr w:rsidR="009A7BD4" w:rsidRPr="005C3EC8" w14:paraId="17838198" w14:textId="77777777" w:rsidTr="005F3DC8">
        <w:tc>
          <w:tcPr>
            <w:tcW w:w="2662" w:type="dxa"/>
            <w:shd w:val="clear" w:color="auto" w:fill="auto"/>
            <w:vAlign w:val="center"/>
          </w:tcPr>
          <w:p w14:paraId="543A66E8" w14:textId="77777777" w:rsidR="001030D3" w:rsidRPr="005C3EC8" w:rsidRDefault="001030D3" w:rsidP="00E03D03">
            <w:pPr>
              <w:pStyle w:val="Tabletext"/>
              <w:rPr>
                <w:lang w:val="en-GB" w:eastAsia="x-none"/>
              </w:rPr>
            </w:pPr>
            <w:r w:rsidRPr="005C3EC8">
              <w:rPr>
                <w:lang w:val="en-GB" w:eastAsia="x-none"/>
              </w:rPr>
              <w:t>Data timeliness (#4.8)</w:t>
            </w:r>
          </w:p>
        </w:tc>
        <w:tc>
          <w:tcPr>
            <w:tcW w:w="4455" w:type="dxa"/>
            <w:shd w:val="clear" w:color="auto" w:fill="auto"/>
            <w:vAlign w:val="center"/>
          </w:tcPr>
          <w:p w14:paraId="5F8AADEB" w14:textId="77C6B1E1" w:rsidR="001030D3" w:rsidRPr="005C3EC8" w:rsidRDefault="00D17CB2" w:rsidP="00E03D03">
            <w:pPr>
              <w:pStyle w:val="Tabletext"/>
              <w:rPr>
                <w:lang w:val="en-GB" w:eastAsia="x-none"/>
              </w:rPr>
            </w:pPr>
            <w:r w:rsidRPr="005C3EC8">
              <w:rPr>
                <w:lang w:val="en-GB" w:eastAsia="x-none"/>
              </w:rPr>
              <w:t>The UK has consistently published EITI Reports on an annual basis, with data no older than the second to last complete accounting period.</w:t>
            </w:r>
          </w:p>
        </w:tc>
        <w:tc>
          <w:tcPr>
            <w:tcW w:w="2260" w:type="dxa"/>
            <w:vAlign w:val="center"/>
          </w:tcPr>
          <w:p w14:paraId="663EEFD4" w14:textId="1B89A62B" w:rsidR="001030D3" w:rsidRPr="005C3EC8" w:rsidRDefault="002C6615" w:rsidP="002C6615">
            <w:pPr>
              <w:pStyle w:val="Tabletext"/>
              <w:jc w:val="center"/>
              <w:rPr>
                <w:lang w:val="en-GB"/>
              </w:rPr>
            </w:pPr>
            <w:r w:rsidRPr="005C3EC8">
              <w:rPr>
                <w:lang w:val="en-GB"/>
              </w:rPr>
              <w:t>Satisfactory progress</w:t>
            </w:r>
          </w:p>
        </w:tc>
      </w:tr>
      <w:tr w:rsidR="009A7BD4" w:rsidRPr="005C3EC8" w14:paraId="65F7B711" w14:textId="77777777" w:rsidTr="005F3DC8">
        <w:tc>
          <w:tcPr>
            <w:tcW w:w="2662" w:type="dxa"/>
            <w:shd w:val="clear" w:color="auto" w:fill="auto"/>
            <w:vAlign w:val="center"/>
          </w:tcPr>
          <w:p w14:paraId="2B0F5513" w14:textId="77777777" w:rsidR="001030D3" w:rsidRPr="005C3EC8" w:rsidRDefault="001030D3" w:rsidP="00E03D03">
            <w:pPr>
              <w:pStyle w:val="Tabletext"/>
              <w:rPr>
                <w:lang w:val="en-GB"/>
              </w:rPr>
            </w:pPr>
            <w:r w:rsidRPr="005C3EC8">
              <w:rPr>
                <w:lang w:val="en-GB"/>
              </w:rPr>
              <w:t>Data quality (#4.9)</w:t>
            </w:r>
          </w:p>
        </w:tc>
        <w:tc>
          <w:tcPr>
            <w:tcW w:w="4455" w:type="dxa"/>
            <w:shd w:val="clear" w:color="auto" w:fill="auto"/>
            <w:vAlign w:val="center"/>
          </w:tcPr>
          <w:p w14:paraId="56440AFB" w14:textId="7858B827" w:rsidR="001030D3" w:rsidRPr="005C3EC8" w:rsidRDefault="00D17CB2" w:rsidP="00E03D03">
            <w:pPr>
              <w:pStyle w:val="Tabletext"/>
              <w:rPr>
                <w:lang w:val="en-GB" w:eastAsia="x-none"/>
              </w:rPr>
            </w:pPr>
            <w:r w:rsidRPr="005C3EC8">
              <w:rPr>
                <w:lang w:val="en-GB" w:eastAsia="x-none"/>
              </w:rPr>
              <w:t xml:space="preserve">The reconciliation of payments and revenues has been undertaken by an IA, appointed by the MSG, and applying international professional standards. The IA and the MSG agreed </w:t>
            </w:r>
            <w:proofErr w:type="spellStart"/>
            <w:r w:rsidRPr="005C3EC8">
              <w:rPr>
                <w:lang w:val="en-GB" w:eastAsia="x-none"/>
              </w:rPr>
              <w:t>ToR</w:t>
            </w:r>
            <w:proofErr w:type="spellEnd"/>
            <w:r w:rsidRPr="005C3EC8">
              <w:rPr>
                <w:lang w:val="en-GB" w:eastAsia="x-none"/>
              </w:rPr>
              <w:t xml:space="preserve"> for the production of the 2016 EITI Report consistent with the standard </w:t>
            </w:r>
            <w:proofErr w:type="spellStart"/>
            <w:r w:rsidRPr="005C3EC8">
              <w:rPr>
                <w:lang w:val="en-GB" w:eastAsia="x-none"/>
              </w:rPr>
              <w:t>ToR</w:t>
            </w:r>
            <w:proofErr w:type="spellEnd"/>
            <w:r w:rsidRPr="005C3EC8">
              <w:rPr>
                <w:lang w:val="en-GB" w:eastAsia="x-none"/>
              </w:rPr>
              <w:t xml:space="preserve"> and agreed upon procedures issued by the EITI Board, and applied this </w:t>
            </w:r>
            <w:proofErr w:type="spellStart"/>
            <w:r w:rsidRPr="005C3EC8">
              <w:rPr>
                <w:lang w:val="en-GB" w:eastAsia="x-none"/>
              </w:rPr>
              <w:t>ToR</w:t>
            </w:r>
            <w:proofErr w:type="spellEnd"/>
            <w:r w:rsidRPr="005C3EC8">
              <w:rPr>
                <w:lang w:val="en-GB" w:eastAsia="x-none"/>
              </w:rPr>
              <w:t xml:space="preserve"> and procedures in practice. The final report provides a clear statement from the IA on the comprehensiveness and reliability of the (financial) data presented, including an informative summary of the work performed by the IA, the means to calculate the final coverage of the financial reconciliation and the limitations of the assessment provided.</w:t>
            </w:r>
          </w:p>
        </w:tc>
        <w:tc>
          <w:tcPr>
            <w:tcW w:w="2260" w:type="dxa"/>
            <w:vAlign w:val="center"/>
          </w:tcPr>
          <w:p w14:paraId="0B66131B" w14:textId="4A667D9C" w:rsidR="001030D3" w:rsidRPr="005C3EC8" w:rsidRDefault="002C6615" w:rsidP="002C6615">
            <w:pPr>
              <w:pStyle w:val="Tabletext"/>
              <w:jc w:val="center"/>
              <w:rPr>
                <w:lang w:val="en-GB"/>
              </w:rPr>
            </w:pPr>
            <w:r w:rsidRPr="005C3EC8">
              <w:rPr>
                <w:lang w:val="en-GB"/>
              </w:rPr>
              <w:t>Satisfactory progress</w:t>
            </w:r>
          </w:p>
        </w:tc>
      </w:tr>
      <w:tr w:rsidR="001030D3" w:rsidRPr="005C3EC8" w14:paraId="0E9889D9" w14:textId="77777777" w:rsidTr="00E03D03">
        <w:tc>
          <w:tcPr>
            <w:tcW w:w="9377" w:type="dxa"/>
            <w:gridSpan w:val="3"/>
            <w:shd w:val="clear" w:color="auto" w:fill="FFFFFF"/>
            <w:vAlign w:val="center"/>
          </w:tcPr>
          <w:p w14:paraId="6B36F338" w14:textId="3378164C" w:rsidR="001030D3" w:rsidRPr="005C3EC8" w:rsidRDefault="00C86D75" w:rsidP="00E03D03">
            <w:pPr>
              <w:pStyle w:val="Tabletext"/>
              <w:rPr>
                <w:lang w:val="en-GB"/>
              </w:rPr>
            </w:pPr>
            <w:r w:rsidRPr="005C3EC8">
              <w:rPr>
                <w:b/>
                <w:lang w:val="en-GB"/>
              </w:rPr>
              <w:t xml:space="preserve">Secretariat’s </w:t>
            </w:r>
            <w:r w:rsidR="001030D3" w:rsidRPr="005C3EC8">
              <w:rPr>
                <w:b/>
                <w:lang w:val="en-GB"/>
              </w:rPr>
              <w:t>recommendations</w:t>
            </w:r>
            <w:r w:rsidR="001030D3" w:rsidRPr="005C3EC8">
              <w:rPr>
                <w:lang w:val="en-GB"/>
              </w:rPr>
              <w:t>:</w:t>
            </w:r>
          </w:p>
          <w:p w14:paraId="361DA8B3" w14:textId="13AF3E7C" w:rsidR="001030D3" w:rsidRPr="005C3EC8" w:rsidRDefault="00D17CB2" w:rsidP="008200F5">
            <w:pPr>
              <w:pStyle w:val="ListParagraph"/>
              <w:rPr>
                <w:rFonts w:eastAsia="Calibri"/>
              </w:rPr>
            </w:pPr>
            <w:r w:rsidRPr="005C3EC8">
              <w:t>To strengthen implementation, the UK is encouraged to ensure that the list of material companies in the scope of EITI reporting is clearly defined and that the IA’s assessment of the materiality of omissions is publicly documented to support its assessment of the comprehensiveness of annual EITI reporting.</w:t>
            </w:r>
          </w:p>
          <w:p w14:paraId="2ADDB086" w14:textId="35C29C0D" w:rsidR="001030D3" w:rsidRPr="005C3EC8" w:rsidRDefault="00D17CB2" w:rsidP="008200F5">
            <w:pPr>
              <w:pStyle w:val="ListParagraph"/>
              <w:rPr>
                <w:rFonts w:eastAsia="Calibri"/>
              </w:rPr>
            </w:pPr>
            <w:r w:rsidRPr="005C3EC8">
              <w:t>To strengthen implementation, the UK is encouraged to provide a clearer public confirmation of the lack of material direct subnational payments related to both oil and gas as well as mining and quarrying as a means of clarifying the lack of applicability of Requirement 4.6.</w:t>
            </w:r>
          </w:p>
          <w:p w14:paraId="021C8CCA" w14:textId="17DEEF8D" w:rsidR="003E58F5" w:rsidRPr="005C3EC8" w:rsidRDefault="004C2003" w:rsidP="008200F5">
            <w:pPr>
              <w:pStyle w:val="ListParagraph"/>
              <w:rPr>
                <w:rFonts w:eastAsia="Calibri"/>
              </w:rPr>
            </w:pPr>
            <w:r w:rsidRPr="005C3EC8">
              <w:t>To strengthen implementation</w:t>
            </w:r>
            <w:r w:rsidR="00D17CB2" w:rsidRPr="005C3EC8">
              <w:t xml:space="preserve">, the UK </w:t>
            </w:r>
            <w:r w:rsidRPr="005C3EC8">
              <w:t>is encouraged to</w:t>
            </w:r>
            <w:r w:rsidR="00D17CB2" w:rsidRPr="005C3EC8">
              <w:t xml:space="preserve"> ensure that reconciled financial data published through the EITI is consistently disaggregated by company, government entity and revenue stream.</w:t>
            </w:r>
          </w:p>
          <w:p w14:paraId="79F23AE4" w14:textId="77777777" w:rsidR="00D17CB2" w:rsidRPr="005C3EC8" w:rsidRDefault="00D17CB2" w:rsidP="008200F5">
            <w:pPr>
              <w:pStyle w:val="ListParagraph"/>
              <w:rPr>
                <w:rFonts w:eastAsia="Calibri"/>
              </w:rPr>
            </w:pPr>
            <w:r w:rsidRPr="005C3EC8">
              <w:t>To strengthen implementation, the UK is encouraged to pursue its efforts to publish timelier EITI data to ensure a higher relevance and usefulness to public debate.</w:t>
            </w:r>
          </w:p>
          <w:p w14:paraId="0ACDA751" w14:textId="461C48B6" w:rsidR="001030D3" w:rsidRPr="005C3EC8" w:rsidRDefault="00D17CB2" w:rsidP="008200F5">
            <w:pPr>
              <w:pStyle w:val="ListParagraph"/>
              <w:rPr>
                <w:rFonts w:eastAsia="Calibri"/>
              </w:rPr>
            </w:pPr>
            <w:r w:rsidRPr="005C3EC8">
              <w:rPr>
                <w:rFonts w:eastAsia="Calibri"/>
              </w:rPr>
              <w:lastRenderedPageBreak/>
              <w:t xml:space="preserve">To strengthen and streamline implementation, the UK may wish to work with companies in the scope of EITI reporting to ensure routine reporting of payments to government as required under the EITI Standard through statutory public disclosures. </w:t>
            </w:r>
            <w:r w:rsidR="005275CE" w:rsidRPr="005C3EC8">
              <w:rPr>
                <w:rFonts w:eastAsia="Calibri"/>
              </w:rPr>
              <w:t xml:space="preserve"> </w:t>
            </w:r>
          </w:p>
        </w:tc>
      </w:tr>
    </w:tbl>
    <w:p w14:paraId="455FE5A0" w14:textId="77777777" w:rsidR="00574BFC" w:rsidRPr="005C3EC8" w:rsidRDefault="00574BFC" w:rsidP="00574BFC">
      <w:pPr>
        <w:rPr>
          <w:rFonts w:ascii="Calibri" w:hAnsi="Calibri"/>
        </w:rPr>
      </w:pPr>
    </w:p>
    <w:p w14:paraId="0EF28A6A" w14:textId="77777777" w:rsidR="00396E0A" w:rsidRPr="005C3EC8" w:rsidRDefault="00396E0A">
      <w:pPr>
        <w:widowControl/>
        <w:suppressAutoHyphens w:val="0"/>
        <w:spacing w:after="0" w:line="240" w:lineRule="auto"/>
        <w:rPr>
          <w:rFonts w:ascii="Calibri" w:hAnsi="Calibri"/>
          <w:b/>
          <w:bCs/>
          <w:color w:val="4F81BD"/>
          <w:sz w:val="28"/>
          <w:szCs w:val="26"/>
        </w:rPr>
      </w:pPr>
      <w:bookmarkStart w:id="300" w:name="_Toc459133171"/>
      <w:bookmarkStart w:id="301" w:name="_Toc461803121"/>
      <w:bookmarkStart w:id="302" w:name="_Toc461787350"/>
      <w:bookmarkStart w:id="303" w:name="_Toc461795862"/>
      <w:bookmarkStart w:id="304" w:name="_Toc462149198"/>
      <w:r w:rsidRPr="005C3EC8">
        <w:rPr>
          <w:rFonts w:ascii="Calibri" w:hAnsi="Calibri"/>
        </w:rPr>
        <w:br w:type="page"/>
      </w:r>
    </w:p>
    <w:p w14:paraId="5DE9657A" w14:textId="49BAE41E" w:rsidR="000722F1" w:rsidRPr="005C3EC8" w:rsidRDefault="000C662A">
      <w:pPr>
        <w:pStyle w:val="Heading2"/>
      </w:pPr>
      <w:r w:rsidRPr="005C3EC8">
        <w:lastRenderedPageBreak/>
        <w:t xml:space="preserve">5. </w:t>
      </w:r>
      <w:r w:rsidR="000722F1" w:rsidRPr="005C3EC8">
        <w:t>Revenue management and distribution</w:t>
      </w:r>
      <w:bookmarkEnd w:id="300"/>
      <w:bookmarkEnd w:id="301"/>
      <w:bookmarkEnd w:id="302"/>
      <w:bookmarkEnd w:id="303"/>
      <w:bookmarkEnd w:id="304"/>
      <w:r w:rsidR="000722F1" w:rsidRPr="005C3EC8">
        <w:t xml:space="preserve"> </w:t>
      </w:r>
    </w:p>
    <w:p w14:paraId="3C443CCF" w14:textId="022FE179" w:rsidR="00372B0D" w:rsidRPr="005C3EC8" w:rsidRDefault="000C6CDF">
      <w:pPr>
        <w:pStyle w:val="Heading2notindexed"/>
      </w:pPr>
      <w:bookmarkStart w:id="305" w:name="_Toc459133172"/>
      <w:bookmarkStart w:id="306" w:name="_Toc461803122"/>
      <w:bookmarkStart w:id="307" w:name="_Toc461787351"/>
      <w:bookmarkStart w:id="308" w:name="_Toc461795863"/>
      <w:r w:rsidRPr="005C3EC8">
        <w:t xml:space="preserve">5.1 </w:t>
      </w:r>
      <w:r w:rsidR="000722F1" w:rsidRPr="005C3EC8">
        <w:t>Overview</w:t>
      </w:r>
      <w:bookmarkEnd w:id="305"/>
      <w:bookmarkEnd w:id="306"/>
      <w:bookmarkEnd w:id="307"/>
      <w:bookmarkEnd w:id="308"/>
    </w:p>
    <w:p w14:paraId="7EB215DC" w14:textId="2837E45E" w:rsidR="000722F1" w:rsidRPr="005C3EC8" w:rsidRDefault="00372B0D" w:rsidP="000722F1">
      <w:pPr>
        <w:spacing w:before="120"/>
        <w:rPr>
          <w:rFonts w:ascii="Calibri" w:hAnsi="Calibri"/>
        </w:rPr>
      </w:pPr>
      <w:r w:rsidRPr="005C3EC8">
        <w:rPr>
          <w:rFonts w:ascii="Calibri" w:hAnsi="Calibri"/>
        </w:rPr>
        <w:t>This section provides details on the implementation of the EITI requirements related to revenue management and distribution.</w:t>
      </w:r>
    </w:p>
    <w:p w14:paraId="10FD9981" w14:textId="35472D67" w:rsidR="000722F1" w:rsidRPr="005C3EC8" w:rsidRDefault="000C6CDF">
      <w:pPr>
        <w:pStyle w:val="Heading2notindexed"/>
      </w:pPr>
      <w:bookmarkStart w:id="309" w:name="_Toc459133173"/>
      <w:bookmarkStart w:id="310" w:name="_Toc461803123"/>
      <w:bookmarkStart w:id="311" w:name="_Toc461787352"/>
      <w:bookmarkStart w:id="312" w:name="_Toc461795864"/>
      <w:r w:rsidRPr="005C3EC8">
        <w:t xml:space="preserve">5.2 </w:t>
      </w:r>
      <w:r w:rsidR="000722F1" w:rsidRPr="005C3EC8">
        <w:t>Assessment</w:t>
      </w:r>
      <w:bookmarkEnd w:id="309"/>
      <w:bookmarkEnd w:id="310"/>
      <w:bookmarkEnd w:id="311"/>
      <w:bookmarkEnd w:id="312"/>
    </w:p>
    <w:p w14:paraId="5C8F8E03" w14:textId="4226CBAC" w:rsidR="00436407" w:rsidRPr="005C3EC8" w:rsidRDefault="00436407" w:rsidP="0097728B">
      <w:pPr>
        <w:pStyle w:val="Heading2"/>
      </w:pPr>
      <w:bookmarkStart w:id="313" w:name="_Toc459133174"/>
      <w:bookmarkStart w:id="314" w:name="_Toc461803124"/>
      <w:bookmarkStart w:id="315" w:name="_Toc461787353"/>
      <w:bookmarkStart w:id="316" w:name="_Toc461795865"/>
      <w:bookmarkStart w:id="317" w:name="_Toc462149199"/>
      <w:r w:rsidRPr="005C3EC8">
        <w:t>Distribution of revenues (#5.1)</w:t>
      </w:r>
      <w:bookmarkEnd w:id="313"/>
      <w:bookmarkEnd w:id="314"/>
      <w:bookmarkEnd w:id="315"/>
      <w:bookmarkEnd w:id="316"/>
      <w:bookmarkEnd w:id="317"/>
    </w:p>
    <w:p w14:paraId="11E077A1" w14:textId="58F1FA8D" w:rsidR="00434FDA" w:rsidRPr="005C3EC8" w:rsidRDefault="00DF51CD" w:rsidP="0097728B">
      <w:pPr>
        <w:pStyle w:val="Heading3"/>
      </w:pPr>
      <w:r w:rsidRPr="005C3EC8">
        <w:t xml:space="preserve">Documentation of progress </w:t>
      </w:r>
    </w:p>
    <w:p w14:paraId="32F9AE9C" w14:textId="125E2D4D" w:rsidR="00106EFB" w:rsidRPr="005C3EC8" w:rsidRDefault="00106EFB" w:rsidP="00EE5439">
      <w:pPr>
        <w:spacing w:before="120"/>
        <w:rPr>
          <w:rFonts w:ascii="Calibri" w:hAnsi="Calibri"/>
        </w:rPr>
      </w:pPr>
      <w:r w:rsidRPr="005C3EC8">
        <w:rPr>
          <w:rFonts w:ascii="Calibri" w:hAnsi="Calibri"/>
          <w:b/>
          <w:i/>
        </w:rPr>
        <w:t>Systematic disclosures</w:t>
      </w:r>
      <w:r w:rsidRPr="005C3EC8">
        <w:rPr>
          <w:rFonts w:ascii="Calibri" w:hAnsi="Calibri"/>
          <w:i/>
        </w:rPr>
        <w:t xml:space="preserve">: </w:t>
      </w:r>
      <w:r w:rsidR="00D86CE5" w:rsidRPr="005C3EC8">
        <w:rPr>
          <w:rFonts w:ascii="Calibri" w:hAnsi="Calibri"/>
        </w:rPr>
        <w:t>The UK Government publishes full details of its income and expenditure (outturn figures, estimates and forecasts).</w:t>
      </w:r>
      <w:r w:rsidR="002B2A29" w:rsidRPr="005C3EC8">
        <w:rPr>
          <w:rStyle w:val="FootnoteReference"/>
          <w:rFonts w:ascii="Calibri" w:hAnsi="Calibri"/>
        </w:rPr>
        <w:footnoteReference w:id="344"/>
      </w:r>
      <w:r w:rsidR="00B43E8A" w:rsidRPr="005C3EC8">
        <w:rPr>
          <w:rFonts w:ascii="Calibri" w:hAnsi="Calibri"/>
        </w:rPr>
        <w:t xml:space="preserve"> This includes details of revenues that are recorded in the national budget. The OGA annual reports and accounts</w:t>
      </w:r>
      <w:r w:rsidR="00B43E8A" w:rsidRPr="005C3EC8">
        <w:rPr>
          <w:rStyle w:val="FootnoteReference"/>
          <w:rFonts w:ascii="Calibri" w:hAnsi="Calibri"/>
        </w:rPr>
        <w:footnoteReference w:id="345"/>
      </w:r>
      <w:r w:rsidR="00B43E8A" w:rsidRPr="005C3EC8">
        <w:rPr>
          <w:rFonts w:ascii="Calibri" w:hAnsi="Calibri"/>
        </w:rPr>
        <w:t xml:space="preserve"> provide </w:t>
      </w:r>
      <w:r w:rsidR="00F16AB5" w:rsidRPr="005C3EC8">
        <w:rPr>
          <w:rFonts w:ascii="Calibri" w:hAnsi="Calibri"/>
        </w:rPr>
        <w:t xml:space="preserve">descriptions of the </w:t>
      </w:r>
      <w:r w:rsidR="0007058D" w:rsidRPr="005C3EC8">
        <w:rPr>
          <w:rFonts w:ascii="Calibri" w:hAnsi="Calibri"/>
        </w:rPr>
        <w:t xml:space="preserve">management of </w:t>
      </w:r>
      <w:r w:rsidR="00B43E8A" w:rsidRPr="005C3EC8">
        <w:rPr>
          <w:rFonts w:ascii="Calibri" w:hAnsi="Calibri"/>
        </w:rPr>
        <w:t xml:space="preserve">revenues collected by the OGA. </w:t>
      </w:r>
      <w:r w:rsidR="00581540" w:rsidRPr="005C3EC8">
        <w:rPr>
          <w:rFonts w:ascii="Calibri" w:hAnsi="Calibri"/>
        </w:rPr>
        <w:t xml:space="preserve">The UK’s government </w:t>
      </w:r>
      <w:r w:rsidR="00EE5439" w:rsidRPr="005C3EC8">
        <w:rPr>
          <w:rFonts w:ascii="Calibri" w:hAnsi="Calibri"/>
        </w:rPr>
        <w:t>public-sector finance</w:t>
      </w:r>
      <w:r w:rsidR="00581540" w:rsidRPr="005C3EC8">
        <w:rPr>
          <w:rFonts w:ascii="Calibri" w:hAnsi="Calibri"/>
        </w:rPr>
        <w:t xml:space="preserve"> </w:t>
      </w:r>
      <w:r w:rsidR="00EE5439" w:rsidRPr="005C3EC8">
        <w:rPr>
          <w:rFonts w:ascii="Calibri" w:hAnsi="Calibri"/>
        </w:rPr>
        <w:t xml:space="preserve">statistics are based on national accounts concepts and rules primarily derived from the European System of Accounts 2010 (ESA 2010), in turn based on the international System of National Accounts 2008 (SNA 2008). The ONS describes the differences between the UK’s national revenue classifications and </w:t>
      </w:r>
      <w:r w:rsidR="00581540" w:rsidRPr="005C3EC8">
        <w:rPr>
          <w:rFonts w:ascii="Calibri" w:hAnsi="Calibri"/>
        </w:rPr>
        <w:t>the IMF’s Government Finance Statistics (GFS) Manual</w:t>
      </w:r>
      <w:r w:rsidR="00EE5439" w:rsidRPr="005C3EC8">
        <w:rPr>
          <w:rFonts w:ascii="Calibri" w:hAnsi="Calibri"/>
        </w:rPr>
        <w:t xml:space="preserve"> 2014</w:t>
      </w:r>
      <w:r w:rsidR="00513138" w:rsidRPr="005C3EC8">
        <w:rPr>
          <w:rFonts w:ascii="Calibri" w:hAnsi="Calibri"/>
        </w:rPr>
        <w:t xml:space="preserve"> on its website</w:t>
      </w:r>
      <w:r w:rsidR="00EE5439" w:rsidRPr="005C3EC8">
        <w:rPr>
          <w:rFonts w:ascii="Calibri" w:hAnsi="Calibri"/>
        </w:rPr>
        <w:t>.</w:t>
      </w:r>
      <w:r w:rsidR="00EE5439" w:rsidRPr="005C3EC8">
        <w:rPr>
          <w:rStyle w:val="FootnoteReference"/>
          <w:rFonts w:ascii="Calibri" w:hAnsi="Calibri"/>
        </w:rPr>
        <w:footnoteReference w:id="346"/>
      </w:r>
    </w:p>
    <w:p w14:paraId="742851C6" w14:textId="2FAC7502" w:rsidR="000D00F8" w:rsidRPr="005C3EC8" w:rsidRDefault="00106EFB" w:rsidP="00106EFB">
      <w:pPr>
        <w:spacing w:before="120"/>
        <w:rPr>
          <w:rFonts w:ascii="Calibri" w:hAnsi="Calibri"/>
        </w:rPr>
      </w:pPr>
      <w:r w:rsidRPr="005C3EC8">
        <w:rPr>
          <w:rFonts w:ascii="Calibri" w:hAnsi="Calibri"/>
          <w:b/>
          <w:i/>
        </w:rPr>
        <w:t>2016 EITI Report</w:t>
      </w:r>
      <w:r w:rsidRPr="005C3EC8">
        <w:rPr>
          <w:rFonts w:ascii="Calibri" w:hAnsi="Calibri"/>
          <w:i/>
        </w:rPr>
        <w:t>:</w:t>
      </w:r>
      <w:r w:rsidRPr="005C3EC8">
        <w:rPr>
          <w:rFonts w:ascii="Calibri" w:hAnsi="Calibri"/>
        </w:rPr>
        <w:t xml:space="preserve"> </w:t>
      </w:r>
      <w:r w:rsidR="00770106" w:rsidRPr="005C3EC8">
        <w:rPr>
          <w:rFonts w:ascii="Calibri" w:hAnsi="Calibri"/>
        </w:rPr>
        <w:t>The 2016 EITI R</w:t>
      </w:r>
      <w:r w:rsidR="000D00F8" w:rsidRPr="005C3EC8">
        <w:rPr>
          <w:rFonts w:ascii="Calibri" w:hAnsi="Calibri"/>
        </w:rPr>
        <w:t xml:space="preserve">eport confirms that extractives revenues are not hypothecated to specific types of expenditures, with </w:t>
      </w:r>
      <w:r w:rsidR="00770106" w:rsidRPr="005C3EC8">
        <w:rPr>
          <w:rFonts w:ascii="Calibri" w:hAnsi="Calibri"/>
        </w:rPr>
        <w:t xml:space="preserve">one </w:t>
      </w:r>
      <w:r w:rsidR="000D00F8" w:rsidRPr="005C3EC8">
        <w:rPr>
          <w:rFonts w:ascii="Calibri" w:hAnsi="Calibri"/>
        </w:rPr>
        <w:t xml:space="preserve">exception </w:t>
      </w:r>
      <w:r w:rsidR="00770106" w:rsidRPr="005C3EC8">
        <w:rPr>
          <w:rFonts w:ascii="Calibri" w:hAnsi="Calibri"/>
        </w:rPr>
        <w:t xml:space="preserve">for </w:t>
      </w:r>
      <w:r w:rsidR="000D00F8" w:rsidRPr="005C3EC8">
        <w:rPr>
          <w:rFonts w:ascii="Calibri" w:hAnsi="Calibri"/>
        </w:rPr>
        <w:t>allocation</w:t>
      </w:r>
      <w:r w:rsidR="00770106" w:rsidRPr="005C3EC8">
        <w:rPr>
          <w:rFonts w:ascii="Calibri" w:hAnsi="Calibri"/>
        </w:rPr>
        <w:t>s</w:t>
      </w:r>
      <w:r w:rsidR="000D00F8" w:rsidRPr="005C3EC8">
        <w:rPr>
          <w:rFonts w:ascii="Calibri" w:hAnsi="Calibri"/>
        </w:rPr>
        <w:t xml:space="preserve"> of </w:t>
      </w:r>
      <w:r w:rsidR="00770106" w:rsidRPr="005C3EC8">
        <w:rPr>
          <w:rFonts w:ascii="Calibri" w:hAnsi="Calibri"/>
        </w:rPr>
        <w:t xml:space="preserve">a </w:t>
      </w:r>
      <w:r w:rsidR="000D00F8" w:rsidRPr="005C3EC8">
        <w:rPr>
          <w:rFonts w:ascii="Calibri" w:hAnsi="Calibri"/>
        </w:rPr>
        <w:t xml:space="preserve">share of </w:t>
      </w:r>
      <w:r w:rsidR="00770106" w:rsidRPr="005C3EC8">
        <w:rPr>
          <w:rFonts w:ascii="Calibri" w:hAnsi="Calibri"/>
        </w:rPr>
        <w:t xml:space="preserve">seaward petroleum licence </w:t>
      </w:r>
      <w:r w:rsidR="000D00F8" w:rsidRPr="005C3EC8">
        <w:rPr>
          <w:rFonts w:ascii="Calibri" w:hAnsi="Calibri"/>
        </w:rPr>
        <w:t>income to the Northern Ireland Government</w:t>
      </w:r>
      <w:r w:rsidR="00770106" w:rsidRPr="005C3EC8">
        <w:rPr>
          <w:rFonts w:ascii="Calibri" w:hAnsi="Calibri"/>
        </w:rPr>
        <w:t xml:space="preserve"> (p.68), implying that all extractives revenues are collected by the central government are recorded in the national budget. However, the report also confirms that the OGA levy is retained by the OGA to fund its operations, with any excess returned to companies, and provides a link</w:t>
      </w:r>
      <w:r w:rsidR="00770106" w:rsidRPr="005C3EC8">
        <w:rPr>
          <w:rStyle w:val="FootnoteReference"/>
          <w:rFonts w:ascii="Calibri" w:hAnsi="Calibri"/>
        </w:rPr>
        <w:footnoteReference w:id="347"/>
      </w:r>
      <w:r w:rsidR="00770106" w:rsidRPr="005C3EC8">
        <w:rPr>
          <w:rFonts w:ascii="Calibri" w:hAnsi="Calibri"/>
        </w:rPr>
        <w:t xml:space="preserve"> to the OGA annual report for 2016-17 (p.68). </w:t>
      </w:r>
    </w:p>
    <w:p w14:paraId="720A1AA0" w14:textId="53803AE3" w:rsidR="00957B8D" w:rsidRPr="005C3EC8" w:rsidRDefault="00957B8D" w:rsidP="00DF51CD">
      <w:pPr>
        <w:spacing w:before="120"/>
        <w:rPr>
          <w:rFonts w:ascii="Calibri" w:hAnsi="Calibri"/>
        </w:rPr>
      </w:pPr>
      <w:r w:rsidRPr="005C3EC8">
        <w:rPr>
          <w:rFonts w:ascii="Calibri" w:hAnsi="Calibri"/>
        </w:rPr>
        <w:t>The report details plans to establis</w:t>
      </w:r>
      <w:r w:rsidR="00E02CAC" w:rsidRPr="005C3EC8">
        <w:rPr>
          <w:rFonts w:ascii="Calibri" w:hAnsi="Calibri"/>
        </w:rPr>
        <w:t>h a Shale Wealth Fund</w:t>
      </w:r>
      <w:r w:rsidRPr="005C3EC8">
        <w:rPr>
          <w:rFonts w:ascii="Calibri" w:hAnsi="Calibri"/>
        </w:rPr>
        <w:t>, which would receive up to 10% of tax revenues from shale gas production</w:t>
      </w:r>
      <w:r w:rsidR="00E02CAC" w:rsidRPr="005C3EC8">
        <w:rPr>
          <w:rFonts w:ascii="Calibri" w:hAnsi="Calibri"/>
        </w:rPr>
        <w:t>, with consultations over the project opened in October 2016</w:t>
      </w:r>
      <w:r w:rsidRPr="005C3EC8">
        <w:rPr>
          <w:rFonts w:ascii="Calibri" w:hAnsi="Calibri"/>
        </w:rPr>
        <w:t xml:space="preserve"> (p.52). The report quotes forecasts from the 2016 Autumn Statement that the Shale Wealth Fund would provide up to GBP 1bn in additional resources to local communities, with communities involved in determining how the funds were to be spent in their areas (p.52). </w:t>
      </w:r>
    </w:p>
    <w:p w14:paraId="6EC98C9A" w14:textId="6A61D318" w:rsidR="004239FB" w:rsidRPr="005C3EC8" w:rsidRDefault="004239FB" w:rsidP="00DF51CD">
      <w:pPr>
        <w:spacing w:before="120"/>
        <w:rPr>
          <w:rFonts w:ascii="Calibri" w:hAnsi="Calibri"/>
        </w:rPr>
      </w:pPr>
      <w:r w:rsidRPr="005C3EC8">
        <w:rPr>
          <w:rFonts w:ascii="Calibri" w:hAnsi="Calibri"/>
        </w:rPr>
        <w:t xml:space="preserve">The report does not refer to national or international revenue classification systems. </w:t>
      </w:r>
      <w:r w:rsidR="00DC2ABF" w:rsidRPr="005C3EC8">
        <w:rPr>
          <w:rFonts w:ascii="Calibri" w:hAnsi="Calibri"/>
        </w:rPr>
        <w:t xml:space="preserve">However, the report includes an explanation of differences in revenues reported in the 2016 EITI Report and official HMRC statistics (pp.19-20). </w:t>
      </w:r>
    </w:p>
    <w:p w14:paraId="7E300B70" w14:textId="4725DC06" w:rsidR="00434FDA" w:rsidRPr="005C3EC8" w:rsidRDefault="00DF51CD">
      <w:pPr>
        <w:pStyle w:val="Heading3"/>
      </w:pPr>
      <w:r w:rsidRPr="005C3EC8">
        <w:lastRenderedPageBreak/>
        <w:t xml:space="preserve">Stakeholder views </w:t>
      </w:r>
    </w:p>
    <w:p w14:paraId="48C337A1" w14:textId="436339D3" w:rsidR="00581540" w:rsidRPr="005C3EC8" w:rsidRDefault="00581540" w:rsidP="00DF51CD">
      <w:pPr>
        <w:spacing w:before="120"/>
        <w:rPr>
          <w:rFonts w:ascii="Calibri" w:hAnsi="Calibri"/>
          <w:bCs/>
        </w:rPr>
      </w:pPr>
      <w:r w:rsidRPr="005C3EC8">
        <w:rPr>
          <w:rFonts w:ascii="Calibri" w:hAnsi="Calibri"/>
          <w:bCs/>
        </w:rPr>
        <w:t xml:space="preserve">Stakeholders consulted did not express any particular </w:t>
      </w:r>
      <w:r w:rsidR="00ED6BCF" w:rsidRPr="005C3EC8">
        <w:rPr>
          <w:rFonts w:ascii="Calibri" w:hAnsi="Calibri"/>
          <w:bCs/>
        </w:rPr>
        <w:t xml:space="preserve">views on the 2016 EITI Report’s coverage of the traceability of extractives revenues to the national budget or the management of off-budget revenues. Several government representatives noted that all majority of extractives revenues were recorded in the national budget, aside from OGA levy. </w:t>
      </w:r>
    </w:p>
    <w:p w14:paraId="501C743D" w14:textId="3929AD14" w:rsidR="00436407" w:rsidRPr="005C3EC8" w:rsidRDefault="00800EEA">
      <w:pPr>
        <w:pStyle w:val="Heading3"/>
      </w:pPr>
      <w:bookmarkStart w:id="318" w:name="_Toc459133177"/>
      <w:bookmarkStart w:id="319" w:name="_Toc461803127"/>
      <w:r w:rsidRPr="005C3EC8">
        <w:t>Initial a</w:t>
      </w:r>
      <w:r w:rsidR="00436407" w:rsidRPr="005C3EC8">
        <w:t>ssessment</w:t>
      </w:r>
      <w:bookmarkEnd w:id="318"/>
      <w:bookmarkEnd w:id="319"/>
    </w:p>
    <w:p w14:paraId="2D23045C" w14:textId="5079E16A" w:rsidR="000722F1" w:rsidRPr="005C3EC8" w:rsidRDefault="00DF51CD" w:rsidP="0051763B">
      <w:pPr>
        <w:rPr>
          <w:rFonts w:ascii="Calibri" w:hAnsi="Calibri"/>
        </w:rPr>
      </w:pPr>
      <w:r w:rsidRPr="005C3EC8">
        <w:rPr>
          <w:rFonts w:ascii="Calibri" w:hAnsi="Calibri"/>
        </w:rPr>
        <w:t xml:space="preserve">The International Secretariat’s initial assessment is that </w:t>
      </w:r>
      <w:r w:rsidR="00DE14DA" w:rsidRPr="005C3EC8">
        <w:rPr>
          <w:rFonts w:ascii="Calibri" w:hAnsi="Calibri"/>
          <w:bCs/>
        </w:rPr>
        <w:t>the UK</w:t>
      </w:r>
      <w:r w:rsidR="00DE14DA" w:rsidRPr="005C3EC8">
        <w:rPr>
          <w:rFonts w:ascii="Calibri" w:hAnsi="Calibri"/>
        </w:rPr>
        <w:t xml:space="preserve"> </w:t>
      </w:r>
      <w:r w:rsidRPr="005C3EC8">
        <w:rPr>
          <w:rFonts w:ascii="Calibri" w:hAnsi="Calibri"/>
        </w:rPr>
        <w:t xml:space="preserve">has made </w:t>
      </w:r>
      <w:r w:rsidR="00E02CAC" w:rsidRPr="003B7537">
        <w:rPr>
          <w:rFonts w:ascii="Calibri" w:hAnsi="Calibri"/>
          <w:b/>
          <w:bCs/>
        </w:rPr>
        <w:t>satisfactory</w:t>
      </w:r>
      <w:r w:rsidR="00922ED3" w:rsidRPr="003B7537">
        <w:rPr>
          <w:rFonts w:ascii="Calibri" w:hAnsi="Calibri"/>
          <w:b/>
        </w:rPr>
        <w:t xml:space="preserve"> </w:t>
      </w:r>
      <w:r w:rsidRPr="003B7537">
        <w:rPr>
          <w:rFonts w:ascii="Calibri" w:hAnsi="Calibri"/>
          <w:b/>
        </w:rPr>
        <w:t>progress</w:t>
      </w:r>
      <w:r w:rsidRPr="005C3EC8">
        <w:rPr>
          <w:rFonts w:ascii="Calibri" w:hAnsi="Calibri"/>
        </w:rPr>
        <w:t xml:space="preserve"> in meeting this requirement. </w:t>
      </w:r>
      <w:r w:rsidR="00DE14DA" w:rsidRPr="005C3EC8">
        <w:rPr>
          <w:rFonts w:ascii="Calibri" w:hAnsi="Calibri"/>
        </w:rPr>
        <w:t>The 2016 EITI Report</w:t>
      </w:r>
      <w:r w:rsidR="004239FB" w:rsidRPr="005C3EC8">
        <w:rPr>
          <w:rFonts w:ascii="Calibri" w:hAnsi="Calibri"/>
        </w:rPr>
        <w:t xml:space="preserve"> confirms that all extractives revenues are recorded in the national budget, aside from revenues collected by the Oil and Gas Authority. Guidance is provided on accessing reports on the OGA’s management of off-budget revenues. </w:t>
      </w:r>
    </w:p>
    <w:p w14:paraId="757A8BCD" w14:textId="189D65B7" w:rsidR="00773FB7" w:rsidRPr="005C3EC8" w:rsidRDefault="00773FB7" w:rsidP="0051763B">
      <w:pPr>
        <w:rPr>
          <w:rFonts w:ascii="Calibri" w:hAnsi="Calibri"/>
        </w:rPr>
      </w:pPr>
      <w:r w:rsidRPr="005C3EC8">
        <w:rPr>
          <w:rFonts w:ascii="Calibri" w:hAnsi="Calibri"/>
        </w:rPr>
        <w:t xml:space="preserve">To strengthen implementation, the UK may wish to </w:t>
      </w:r>
      <w:r w:rsidR="004D7463" w:rsidRPr="005C3EC8">
        <w:rPr>
          <w:rFonts w:ascii="Calibri" w:hAnsi="Calibri"/>
        </w:rPr>
        <w:t xml:space="preserve">consider using EITI reporting to </w:t>
      </w:r>
      <w:r w:rsidR="0085517E" w:rsidRPr="005C3EC8">
        <w:rPr>
          <w:rFonts w:ascii="Calibri" w:hAnsi="Calibri"/>
        </w:rPr>
        <w:t xml:space="preserve">create greater awareness of reforms in </w:t>
      </w:r>
      <w:r w:rsidR="004D7463" w:rsidRPr="005C3EC8">
        <w:rPr>
          <w:rFonts w:ascii="Calibri" w:hAnsi="Calibri"/>
        </w:rPr>
        <w:t xml:space="preserve">national revenue classification systems. </w:t>
      </w:r>
    </w:p>
    <w:p w14:paraId="705EFC80" w14:textId="77777777" w:rsidR="000722F1" w:rsidRPr="005C3EC8" w:rsidRDefault="000722F1" w:rsidP="0097728B">
      <w:pPr>
        <w:pStyle w:val="Heading2"/>
      </w:pPr>
      <w:bookmarkStart w:id="320" w:name="_Toc459133178"/>
      <w:bookmarkStart w:id="321" w:name="_Toc461803128"/>
      <w:bookmarkStart w:id="322" w:name="_Toc461787354"/>
      <w:bookmarkStart w:id="323" w:name="_Toc461795866"/>
      <w:bookmarkStart w:id="324" w:name="_Toc462149200"/>
      <w:bookmarkStart w:id="325" w:name="_Toc459133179"/>
      <w:r w:rsidRPr="005C3EC8">
        <w:t>Sub-national transfers (#</w:t>
      </w:r>
      <w:r w:rsidR="00436407" w:rsidRPr="005C3EC8">
        <w:t>5.2</w:t>
      </w:r>
      <w:r w:rsidRPr="005C3EC8">
        <w:t>)</w:t>
      </w:r>
      <w:bookmarkEnd w:id="320"/>
      <w:bookmarkEnd w:id="321"/>
      <w:bookmarkEnd w:id="322"/>
      <w:bookmarkEnd w:id="323"/>
      <w:bookmarkEnd w:id="324"/>
    </w:p>
    <w:bookmarkEnd w:id="325"/>
    <w:p w14:paraId="46924DE5" w14:textId="6C76A0FC" w:rsidR="00434FDA" w:rsidRPr="005C3EC8" w:rsidRDefault="00DF51CD" w:rsidP="0097728B">
      <w:pPr>
        <w:pStyle w:val="Heading3"/>
      </w:pPr>
      <w:r w:rsidRPr="005C3EC8">
        <w:t xml:space="preserve">Documentation of progress </w:t>
      </w:r>
    </w:p>
    <w:p w14:paraId="249442CA" w14:textId="050D596F" w:rsidR="007271A5" w:rsidRPr="005C3EC8" w:rsidRDefault="00106EFB" w:rsidP="00106EFB">
      <w:pPr>
        <w:spacing w:before="120"/>
        <w:rPr>
          <w:rFonts w:ascii="Calibri" w:hAnsi="Calibri"/>
        </w:rPr>
      </w:pPr>
      <w:r w:rsidRPr="005C3EC8">
        <w:rPr>
          <w:rFonts w:ascii="Calibri" w:hAnsi="Calibri"/>
          <w:b/>
          <w:i/>
        </w:rPr>
        <w:t>Systematic disclosures</w:t>
      </w:r>
      <w:r w:rsidRPr="005C3EC8">
        <w:rPr>
          <w:rFonts w:ascii="Calibri" w:hAnsi="Calibri"/>
          <w:i/>
        </w:rPr>
        <w:t xml:space="preserve">: </w:t>
      </w:r>
      <w:r w:rsidR="001D4AFE" w:rsidRPr="005C3EC8">
        <w:rPr>
          <w:sz w:val="23"/>
          <w:szCs w:val="23"/>
        </w:rPr>
        <w:t xml:space="preserve">Section 2 of the 1968 Miscellaneous Financial Provisions Act includes provisions for the statutory transfer of a share of </w:t>
      </w:r>
      <w:r w:rsidR="001D4AFE" w:rsidRPr="005C3EC8">
        <w:rPr>
          <w:rFonts w:ascii="Calibri" w:hAnsi="Calibri"/>
        </w:rPr>
        <w:t xml:space="preserve">seaward petroleum licence income to the Northern Ireland Government, </w:t>
      </w:r>
      <w:r w:rsidR="00DE59B5" w:rsidRPr="005C3EC8">
        <w:rPr>
          <w:rFonts w:ascii="Calibri" w:hAnsi="Calibri"/>
        </w:rPr>
        <w:t>defining</w:t>
      </w:r>
      <w:r w:rsidR="001D4AFE" w:rsidRPr="005C3EC8">
        <w:rPr>
          <w:rFonts w:ascii="Calibri" w:hAnsi="Calibri"/>
        </w:rPr>
        <w:t xml:space="preserve"> the specific revenue-sharing formula</w:t>
      </w:r>
      <w:r w:rsidR="00DE59B5" w:rsidRPr="005C3EC8">
        <w:rPr>
          <w:rFonts w:ascii="Calibri" w:hAnsi="Calibri"/>
        </w:rPr>
        <w:t xml:space="preserve"> as in line with Northern Ireland’s share of the total UK population</w:t>
      </w:r>
      <w:r w:rsidR="001D4AFE" w:rsidRPr="005C3EC8">
        <w:rPr>
          <w:rFonts w:ascii="Calibri" w:hAnsi="Calibri"/>
        </w:rPr>
        <w:t>.</w:t>
      </w:r>
      <w:r w:rsidR="00426B33" w:rsidRPr="005C3EC8">
        <w:rPr>
          <w:rStyle w:val="FootnoteReference"/>
          <w:rFonts w:ascii="Calibri" w:hAnsi="Calibri"/>
        </w:rPr>
        <w:footnoteReference w:id="348"/>
      </w:r>
      <w:r w:rsidR="001D4AFE" w:rsidRPr="005C3EC8">
        <w:rPr>
          <w:rFonts w:ascii="Calibri" w:hAnsi="Calibri"/>
        </w:rPr>
        <w:t xml:space="preserve"> </w:t>
      </w:r>
      <w:r w:rsidR="007271A5" w:rsidRPr="005C3EC8">
        <w:rPr>
          <w:rFonts w:ascii="Calibri" w:hAnsi="Calibri"/>
        </w:rPr>
        <w:t xml:space="preserve">While the 1968 </w:t>
      </w:r>
      <w:r w:rsidR="007271A5" w:rsidRPr="005C3EC8">
        <w:rPr>
          <w:sz w:val="23"/>
          <w:szCs w:val="23"/>
        </w:rPr>
        <w:t>Miscellaneous Financial Provisions Act does not provide an explicit source for population statistics to be used for the revenue-sharing calculations, the ONS provides regular updates on UK population estimates, including Northern Ireland’s share of the total.</w:t>
      </w:r>
      <w:r w:rsidR="007271A5" w:rsidRPr="005C3EC8">
        <w:rPr>
          <w:rStyle w:val="FootnoteReference"/>
          <w:sz w:val="23"/>
          <w:szCs w:val="23"/>
        </w:rPr>
        <w:footnoteReference w:id="349"/>
      </w:r>
      <w:r w:rsidR="007271A5" w:rsidRPr="005C3EC8">
        <w:rPr>
          <w:sz w:val="23"/>
          <w:szCs w:val="23"/>
        </w:rPr>
        <w:t xml:space="preserve"> </w:t>
      </w:r>
      <w:r w:rsidR="00D83C37" w:rsidRPr="005C3EC8">
        <w:rPr>
          <w:rFonts w:ascii="Calibri" w:hAnsi="Calibri"/>
        </w:rPr>
        <w:t>The OGA annual reports and accounts</w:t>
      </w:r>
      <w:r w:rsidR="00D83C37" w:rsidRPr="005C3EC8">
        <w:rPr>
          <w:rStyle w:val="FootnoteReference"/>
          <w:rFonts w:ascii="Calibri" w:hAnsi="Calibri"/>
        </w:rPr>
        <w:footnoteReference w:id="350"/>
      </w:r>
      <w:r w:rsidR="00D83C37" w:rsidRPr="005C3EC8">
        <w:rPr>
          <w:rFonts w:ascii="Calibri" w:hAnsi="Calibri"/>
        </w:rPr>
        <w:t xml:space="preserve"> provide figures for </w:t>
      </w:r>
      <w:r w:rsidR="007271A5" w:rsidRPr="005C3EC8">
        <w:rPr>
          <w:rFonts w:ascii="Calibri" w:hAnsi="Calibri"/>
        </w:rPr>
        <w:t>the value of petroleum license fee revenues collected by OGA in specific UK fiscal years (2015-16 and 2016-17) as well as the value of calculations of Northern Ireland’s share of petroleum license fee revenues according to calculations in line with the revenue-sharing formula.</w:t>
      </w:r>
      <w:r w:rsidR="007271A5" w:rsidRPr="005C3EC8">
        <w:rPr>
          <w:rStyle w:val="FootnoteReference"/>
          <w:rFonts w:ascii="Calibri" w:hAnsi="Calibri"/>
        </w:rPr>
        <w:footnoteReference w:id="351"/>
      </w:r>
      <w:r w:rsidR="007271A5" w:rsidRPr="005C3EC8">
        <w:rPr>
          <w:rFonts w:ascii="Calibri" w:hAnsi="Calibri"/>
        </w:rPr>
        <w:t xml:space="preserve"> Northern Ireland’s </w:t>
      </w:r>
      <w:r w:rsidR="00FA251C" w:rsidRPr="005C3EC8">
        <w:rPr>
          <w:rFonts w:ascii="Calibri" w:hAnsi="Calibri"/>
        </w:rPr>
        <w:t xml:space="preserve">audited </w:t>
      </w:r>
      <w:r w:rsidR="007271A5" w:rsidRPr="005C3EC8">
        <w:rPr>
          <w:rFonts w:ascii="Calibri" w:hAnsi="Calibri"/>
        </w:rPr>
        <w:t>annual Public Income and Expenditure Account provide the value of actual subnational transfers of a share of petroleum license fees transferred to northern Ireland in specific UK fiscal years.</w:t>
      </w:r>
      <w:r w:rsidR="007271A5" w:rsidRPr="005C3EC8">
        <w:rPr>
          <w:rStyle w:val="FootnoteReference"/>
          <w:rFonts w:ascii="Calibri" w:hAnsi="Calibri"/>
        </w:rPr>
        <w:footnoteReference w:id="352"/>
      </w:r>
      <w:r w:rsidR="007271A5" w:rsidRPr="005C3EC8">
        <w:rPr>
          <w:rFonts w:ascii="Calibri" w:hAnsi="Calibri"/>
        </w:rPr>
        <w:t xml:space="preserve"> </w:t>
      </w:r>
      <w:r w:rsidR="00FA251C" w:rsidRPr="005C3EC8">
        <w:rPr>
          <w:rFonts w:ascii="Calibri" w:hAnsi="Calibri"/>
          <w:bCs/>
        </w:rPr>
        <w:t>The Public Income and Expenditure Accounts are audited by the Comptroller and Auditor General for Northern Ireland, with its report included in the published accounts.</w:t>
      </w:r>
      <w:r w:rsidR="00FA251C" w:rsidRPr="005C3EC8">
        <w:rPr>
          <w:rStyle w:val="FootnoteReference"/>
          <w:rFonts w:ascii="Calibri" w:hAnsi="Calibri"/>
          <w:bCs/>
        </w:rPr>
        <w:footnoteReference w:id="353"/>
      </w:r>
      <w:r w:rsidR="00F41F97" w:rsidRPr="005C3EC8">
        <w:rPr>
          <w:rFonts w:ascii="Calibri" w:hAnsi="Calibri"/>
          <w:bCs/>
        </w:rPr>
        <w:t xml:space="preserve"> There are minor discrepancies between the value of transfers according to the formula in the 2016-17 OGA annual report (GBP 1.7m in 2015-16 and GBP 1.6m in 2016-17) and the value of actual transfers in Northern Ireland’s 2016-17 Public Income and Expenditure Accounts (GBP 1.718m in 2016-17 and GBP 1.571m in 2015-16), although these could be due to the rounding up of figures in the OGA </w:t>
      </w:r>
      <w:r w:rsidR="00F41F97" w:rsidRPr="005C3EC8">
        <w:rPr>
          <w:rFonts w:ascii="Calibri" w:hAnsi="Calibri"/>
          <w:bCs/>
        </w:rPr>
        <w:lastRenderedPageBreak/>
        <w:t>report.</w:t>
      </w:r>
    </w:p>
    <w:p w14:paraId="77466AB2" w14:textId="61B28ECA" w:rsidR="00777785" w:rsidRPr="005C3EC8" w:rsidRDefault="00106EFB" w:rsidP="00106EFB">
      <w:pPr>
        <w:spacing w:before="120"/>
        <w:rPr>
          <w:rFonts w:ascii="Calibri" w:hAnsi="Calibri"/>
        </w:rPr>
      </w:pPr>
      <w:r w:rsidRPr="005C3EC8">
        <w:rPr>
          <w:rFonts w:ascii="Calibri" w:hAnsi="Calibri"/>
          <w:b/>
          <w:i/>
        </w:rPr>
        <w:t>2016 EITI Report</w:t>
      </w:r>
      <w:r w:rsidRPr="005C3EC8">
        <w:rPr>
          <w:rFonts w:ascii="Calibri" w:hAnsi="Calibri"/>
          <w:i/>
        </w:rPr>
        <w:t>:</w:t>
      </w:r>
      <w:r w:rsidRPr="005C3EC8">
        <w:rPr>
          <w:rFonts w:ascii="Calibri" w:hAnsi="Calibri"/>
        </w:rPr>
        <w:t xml:space="preserve"> </w:t>
      </w:r>
      <w:r w:rsidR="00C60110" w:rsidRPr="005C3EC8">
        <w:rPr>
          <w:rFonts w:ascii="Calibri" w:hAnsi="Calibri"/>
        </w:rPr>
        <w:t xml:space="preserve">The 2016 EITI Report confirms that extractives revenues are not hypothecated to specific types of expenditures, with one exception for allocations of a share of seaward petroleum licence income to the Northern Ireland Government (p.68). </w:t>
      </w:r>
      <w:r w:rsidR="00C04A89" w:rsidRPr="005C3EC8">
        <w:rPr>
          <w:rFonts w:ascii="Calibri" w:hAnsi="Calibri"/>
        </w:rPr>
        <w:t xml:space="preserve">The report describes this type of transfer as the allocation of a population-based share of income from seaward petroleum licences to Northern Ireland’s Government, as required by section 2 of the </w:t>
      </w:r>
      <w:r w:rsidR="00DD3951" w:rsidRPr="005C3EC8">
        <w:rPr>
          <w:rFonts w:ascii="Calibri" w:hAnsi="Calibri"/>
        </w:rPr>
        <w:t xml:space="preserve">1968 </w:t>
      </w:r>
      <w:r w:rsidR="00C04A89" w:rsidRPr="005C3EC8">
        <w:rPr>
          <w:rFonts w:ascii="Calibri" w:hAnsi="Calibri"/>
        </w:rPr>
        <w:t xml:space="preserve">Miscellaneous Financial Provisions Act (p.68). </w:t>
      </w:r>
      <w:r w:rsidR="00D24CBE" w:rsidRPr="005C3EC8">
        <w:rPr>
          <w:rFonts w:ascii="Calibri" w:hAnsi="Calibri"/>
        </w:rPr>
        <w:t xml:space="preserve">While the report categorises this type of transfer as an earmarked </w:t>
      </w:r>
      <w:r w:rsidR="00E355CC" w:rsidRPr="005C3EC8">
        <w:rPr>
          <w:rFonts w:ascii="Calibri" w:hAnsi="Calibri"/>
        </w:rPr>
        <w:t>revenue</w:t>
      </w:r>
      <w:r w:rsidR="00D24CBE" w:rsidRPr="005C3EC8">
        <w:rPr>
          <w:rFonts w:ascii="Calibri" w:hAnsi="Calibri"/>
        </w:rPr>
        <w:t xml:space="preserve"> rather than a subnational transfer, its definition as a share of oil and gas revenues transferred from the national government to a subnational government entity appears consistent with that in Requirement 5.2</w:t>
      </w:r>
      <w:r w:rsidR="00C04A89" w:rsidRPr="005C3EC8">
        <w:rPr>
          <w:rFonts w:ascii="Calibri" w:hAnsi="Calibri"/>
        </w:rPr>
        <w:t>.a</w:t>
      </w:r>
      <w:r w:rsidR="00D24CBE" w:rsidRPr="005C3EC8">
        <w:rPr>
          <w:rFonts w:ascii="Calibri" w:hAnsi="Calibri"/>
        </w:rPr>
        <w:t>.</w:t>
      </w:r>
      <w:r w:rsidR="00D24CBE" w:rsidRPr="005C3EC8">
        <w:rPr>
          <w:rStyle w:val="FootnoteReference"/>
          <w:rFonts w:ascii="Calibri" w:hAnsi="Calibri"/>
        </w:rPr>
        <w:footnoteReference w:id="354"/>
      </w:r>
    </w:p>
    <w:p w14:paraId="66643B3A" w14:textId="29320FBA" w:rsidR="007271A5" w:rsidRPr="005C3EC8" w:rsidRDefault="00DD3951" w:rsidP="00DF51CD">
      <w:pPr>
        <w:spacing w:before="120"/>
        <w:rPr>
          <w:rFonts w:ascii="Calibri" w:hAnsi="Calibri"/>
          <w:bCs/>
        </w:rPr>
      </w:pPr>
      <w:r w:rsidRPr="005C3EC8">
        <w:rPr>
          <w:rFonts w:ascii="Calibri" w:hAnsi="Calibri"/>
        </w:rPr>
        <w:t>T</w:t>
      </w:r>
      <w:r w:rsidR="00C04A89" w:rsidRPr="005C3EC8">
        <w:rPr>
          <w:rFonts w:ascii="Calibri" w:hAnsi="Calibri"/>
        </w:rPr>
        <w:t xml:space="preserve">he report </w:t>
      </w:r>
      <w:r w:rsidRPr="005C3EC8">
        <w:rPr>
          <w:rFonts w:ascii="Calibri" w:hAnsi="Calibri"/>
        </w:rPr>
        <w:t xml:space="preserve">describes </w:t>
      </w:r>
      <w:r w:rsidR="00C04A89" w:rsidRPr="005C3EC8">
        <w:rPr>
          <w:rFonts w:ascii="Calibri" w:hAnsi="Calibri"/>
        </w:rPr>
        <w:t>the formula for calculating allocations of a share of seaward petroleum licence income to the Northern Ireland Government</w:t>
      </w:r>
      <w:r w:rsidRPr="005C3EC8">
        <w:rPr>
          <w:rFonts w:ascii="Calibri" w:hAnsi="Calibri"/>
        </w:rPr>
        <w:t>, although it does not provide the source of population statistics used for calculating Northern Ireland’s subnational transfers in 2015-16 or 2016-17</w:t>
      </w:r>
      <w:r w:rsidR="00254E63" w:rsidRPr="005C3EC8">
        <w:rPr>
          <w:rFonts w:ascii="Calibri" w:hAnsi="Calibri"/>
        </w:rPr>
        <w:t xml:space="preserve">. While it provides the value of </w:t>
      </w:r>
      <w:r w:rsidR="007271A5" w:rsidRPr="005C3EC8">
        <w:rPr>
          <w:rFonts w:ascii="Calibri" w:hAnsi="Calibri"/>
        </w:rPr>
        <w:t>executed</w:t>
      </w:r>
      <w:r w:rsidR="00254E63" w:rsidRPr="005C3EC8">
        <w:rPr>
          <w:rFonts w:ascii="Calibri" w:hAnsi="Calibri"/>
        </w:rPr>
        <w:t xml:space="preserve"> transfers to N</w:t>
      </w:r>
      <w:r w:rsidR="00D24CBE" w:rsidRPr="005C3EC8">
        <w:rPr>
          <w:rFonts w:ascii="Calibri" w:hAnsi="Calibri"/>
        </w:rPr>
        <w:t xml:space="preserve">orthern Ireland in 2015-16 and 2016-17 </w:t>
      </w:r>
      <w:r w:rsidR="00254E63" w:rsidRPr="005C3EC8">
        <w:rPr>
          <w:rFonts w:ascii="Calibri" w:hAnsi="Calibri"/>
        </w:rPr>
        <w:t xml:space="preserve">(p.68), it does not </w:t>
      </w:r>
      <w:r w:rsidR="00F075D9" w:rsidRPr="005C3EC8">
        <w:rPr>
          <w:rFonts w:ascii="Calibri" w:hAnsi="Calibri"/>
        </w:rPr>
        <w:t xml:space="preserve">refer to any work by the MSG or IA </w:t>
      </w:r>
      <w:r w:rsidR="007271A5" w:rsidRPr="005C3EC8">
        <w:rPr>
          <w:rFonts w:ascii="Calibri" w:hAnsi="Calibri"/>
        </w:rPr>
        <w:t xml:space="preserve">to assess the existence of </w:t>
      </w:r>
      <w:r w:rsidR="00F075D9" w:rsidRPr="005C3EC8">
        <w:rPr>
          <w:rFonts w:ascii="Calibri" w:hAnsi="Calibri"/>
        </w:rPr>
        <w:t>any discrepancies between the transfer amount calculated in accordance with the revenue-sharing formula and the actual amount transferred between the central government and the Northern Ireland Government in 2016.</w:t>
      </w:r>
      <w:r w:rsidR="00D24CBE" w:rsidRPr="005C3EC8">
        <w:rPr>
          <w:rFonts w:ascii="Calibri" w:hAnsi="Calibri"/>
        </w:rPr>
        <w:t xml:space="preserve"> </w:t>
      </w:r>
      <w:r w:rsidR="007271A5" w:rsidRPr="005C3EC8">
        <w:rPr>
          <w:rFonts w:ascii="Calibri" w:hAnsi="Calibri"/>
        </w:rPr>
        <w:t xml:space="preserve">There are small discrepancies between the value of executed subnational transfers to Northern Ireland recorded </w:t>
      </w:r>
      <w:r w:rsidR="00FA251C" w:rsidRPr="005C3EC8">
        <w:rPr>
          <w:rFonts w:ascii="Calibri" w:hAnsi="Calibri"/>
        </w:rPr>
        <w:t xml:space="preserve">in Northern Ireland’s </w:t>
      </w:r>
      <w:r w:rsidR="00FA251C" w:rsidRPr="005C3EC8">
        <w:rPr>
          <w:rFonts w:ascii="Calibri" w:hAnsi="Calibri"/>
          <w:bCs/>
        </w:rPr>
        <w:t>Public Income and Expenditure Account (of GBP 1.718m in 2016-17 and GBP 1.571m in 2015-16) and the 2016 EITI Report (of GBP 1.738m in 2016-17 and GBP 1.6m in 2015-16).</w:t>
      </w:r>
      <w:r w:rsidR="007271A5" w:rsidRPr="005C3EC8">
        <w:rPr>
          <w:rStyle w:val="FootnoteReference"/>
          <w:rFonts w:ascii="Calibri" w:hAnsi="Calibri"/>
          <w:bCs/>
        </w:rPr>
        <w:footnoteReference w:id="355"/>
      </w:r>
      <w:r w:rsidR="007271A5" w:rsidRPr="005C3EC8">
        <w:rPr>
          <w:rFonts w:ascii="Calibri" w:hAnsi="Calibri"/>
          <w:bCs/>
        </w:rPr>
        <w:t xml:space="preserve"> </w:t>
      </w:r>
    </w:p>
    <w:p w14:paraId="476CE174" w14:textId="5D2A4C95" w:rsidR="00434FDA" w:rsidRPr="005C3EC8" w:rsidRDefault="00DF51CD">
      <w:pPr>
        <w:pStyle w:val="Heading3"/>
      </w:pPr>
      <w:r w:rsidRPr="005C3EC8">
        <w:t xml:space="preserve">Stakeholder views </w:t>
      </w:r>
    </w:p>
    <w:p w14:paraId="23928999" w14:textId="3074AC59" w:rsidR="00D17CB2" w:rsidRPr="005C3EC8" w:rsidRDefault="007D7D54" w:rsidP="00D17CB2">
      <w:pPr>
        <w:spacing w:before="120"/>
        <w:rPr>
          <w:rFonts w:ascii="Calibri" w:hAnsi="Calibri"/>
          <w:bCs/>
        </w:rPr>
      </w:pPr>
      <w:r w:rsidRPr="005C3EC8">
        <w:rPr>
          <w:rFonts w:ascii="Calibri" w:hAnsi="Calibri"/>
          <w:bCs/>
        </w:rPr>
        <w:t xml:space="preserve">Government stakeholders </w:t>
      </w:r>
      <w:r w:rsidR="00B9748C" w:rsidRPr="005C3EC8">
        <w:rPr>
          <w:rFonts w:ascii="Calibri" w:hAnsi="Calibri"/>
          <w:bCs/>
        </w:rPr>
        <w:t xml:space="preserve">confirmed that the revenue-sharing formula was enshrined in the 1968 </w:t>
      </w:r>
      <w:r w:rsidR="00B9748C" w:rsidRPr="005C3EC8">
        <w:rPr>
          <w:rFonts w:ascii="Calibri" w:hAnsi="Calibri"/>
        </w:rPr>
        <w:t xml:space="preserve">Miscellaneous Financial Provisions Act but expressed uncertainty over the source of population statistics used for calculating revenue shares in a particular year. </w:t>
      </w:r>
      <w:r w:rsidR="00EA5900" w:rsidRPr="005C3EC8">
        <w:rPr>
          <w:rFonts w:ascii="Calibri" w:hAnsi="Calibri"/>
          <w:bCs/>
        </w:rPr>
        <w:t>A</w:t>
      </w:r>
      <w:r w:rsidR="00F83295" w:rsidRPr="005C3EC8">
        <w:rPr>
          <w:rFonts w:ascii="Calibri" w:hAnsi="Calibri"/>
          <w:bCs/>
        </w:rPr>
        <w:t xml:space="preserve"> government representative </w:t>
      </w:r>
      <w:r w:rsidR="00EA5900" w:rsidRPr="005C3EC8">
        <w:rPr>
          <w:rFonts w:ascii="Calibri" w:hAnsi="Calibri"/>
          <w:bCs/>
        </w:rPr>
        <w:t xml:space="preserve">and the IA </w:t>
      </w:r>
      <w:r w:rsidR="00F83295" w:rsidRPr="005C3EC8">
        <w:rPr>
          <w:rFonts w:ascii="Calibri" w:hAnsi="Calibri"/>
          <w:bCs/>
        </w:rPr>
        <w:t xml:space="preserve">confirmed that the OGA was responsible for undertaking calculations of transfers of petroleum license fees to Northern Ireland, which were subsequently transferred by HM Treasury. </w:t>
      </w:r>
      <w:r w:rsidR="00CF3514" w:rsidRPr="005C3EC8">
        <w:rPr>
          <w:rFonts w:ascii="Calibri" w:hAnsi="Calibri"/>
          <w:bCs/>
        </w:rPr>
        <w:t xml:space="preserve">Several government and civil society stakeholders confirmed that the MSG had not explicitly assessed the existence of any deviations between the value of subnational transfers to Northern Ireland according to the revenue-sharing formula and the value of executed transfers in 2015-16 and 2016-17. One government representative considered that the lack of explicit reference to any discrepancies between calculated and executed subnational transfers in the 2016 EITI Report indicated that there were no such discrepancies. </w:t>
      </w:r>
      <w:r w:rsidR="00CF3514" w:rsidRPr="005C3EC8">
        <w:rPr>
          <w:rFonts w:ascii="Calibri" w:hAnsi="Calibri"/>
        </w:rPr>
        <w:t xml:space="preserve">A </w:t>
      </w:r>
      <w:r w:rsidR="00EA5900" w:rsidRPr="005C3EC8">
        <w:rPr>
          <w:rFonts w:ascii="Calibri" w:hAnsi="Calibri"/>
        </w:rPr>
        <w:t xml:space="preserve">government </w:t>
      </w:r>
      <w:r w:rsidR="00D17CB2" w:rsidRPr="005C3EC8">
        <w:rPr>
          <w:rFonts w:ascii="Calibri" w:hAnsi="Calibri"/>
        </w:rPr>
        <w:t xml:space="preserve">representative noted that it would not have been possible to present the value of subnational transfers to Northern Ireland on a calendar-year basis, given that it was linked to government accounts that were based on the UK fiscal year. </w:t>
      </w:r>
      <w:r w:rsidR="00ED3A54" w:rsidRPr="005C3EC8">
        <w:rPr>
          <w:rFonts w:ascii="Calibri" w:hAnsi="Calibri"/>
        </w:rPr>
        <w:t xml:space="preserve">With regards to discrepancies between the value of executed transfers recorded in the 2016 EITI Report and Northern Ireland’s public accounts, several government representatives </w:t>
      </w:r>
      <w:r w:rsidRPr="005C3EC8">
        <w:rPr>
          <w:rFonts w:ascii="Calibri" w:hAnsi="Calibri"/>
        </w:rPr>
        <w:t xml:space="preserve">and the IA </w:t>
      </w:r>
      <w:r w:rsidR="00ED3A54" w:rsidRPr="005C3EC8">
        <w:rPr>
          <w:rFonts w:ascii="Calibri" w:hAnsi="Calibri"/>
        </w:rPr>
        <w:t xml:space="preserve">considered that these were minor and noted that Northern Ireland’s public accounts took precedence on other publications in cases of discrepancies. </w:t>
      </w:r>
    </w:p>
    <w:p w14:paraId="37DB82F0" w14:textId="46203B0F" w:rsidR="00DF51CD" w:rsidRPr="005C3EC8" w:rsidRDefault="00DF51CD">
      <w:pPr>
        <w:pStyle w:val="Heading3"/>
      </w:pPr>
      <w:bookmarkStart w:id="326" w:name="_Toc459133181"/>
      <w:bookmarkStart w:id="327" w:name="_Toc461803131"/>
      <w:r w:rsidRPr="005C3EC8">
        <w:lastRenderedPageBreak/>
        <w:t>Initial assessment</w:t>
      </w:r>
      <w:bookmarkEnd w:id="326"/>
      <w:bookmarkEnd w:id="327"/>
    </w:p>
    <w:p w14:paraId="34496030" w14:textId="200751F9" w:rsidR="004C7C23" w:rsidRPr="005C3EC8" w:rsidRDefault="00DE14DA" w:rsidP="007512CD">
      <w:pPr>
        <w:spacing w:before="120"/>
        <w:rPr>
          <w:rFonts w:ascii="Calibri" w:hAnsi="Calibri"/>
        </w:rPr>
      </w:pPr>
      <w:r w:rsidRPr="005C3EC8">
        <w:rPr>
          <w:rFonts w:ascii="Calibri" w:hAnsi="Calibri"/>
        </w:rPr>
        <w:t>The International Secretariat’s</w:t>
      </w:r>
      <w:r w:rsidR="00E355CC" w:rsidRPr="005C3EC8">
        <w:rPr>
          <w:rFonts w:ascii="Calibri" w:hAnsi="Calibri"/>
        </w:rPr>
        <w:t xml:space="preserve"> initial assessment is that the UK has made </w:t>
      </w:r>
      <w:r w:rsidR="00CF3514" w:rsidRPr="003B7537">
        <w:rPr>
          <w:rFonts w:ascii="Calibri" w:hAnsi="Calibri"/>
          <w:b/>
        </w:rPr>
        <w:t>satisfactory</w:t>
      </w:r>
      <w:r w:rsidR="00E355CC" w:rsidRPr="003B7537">
        <w:rPr>
          <w:rFonts w:ascii="Calibri" w:hAnsi="Calibri"/>
          <w:b/>
        </w:rPr>
        <w:t xml:space="preserve"> progress</w:t>
      </w:r>
      <w:r w:rsidR="00E355CC" w:rsidRPr="005C3EC8">
        <w:rPr>
          <w:rFonts w:ascii="Calibri" w:hAnsi="Calibri"/>
        </w:rPr>
        <w:t xml:space="preserve"> in meeting this</w:t>
      </w:r>
      <w:r w:rsidRPr="005C3EC8">
        <w:rPr>
          <w:rFonts w:ascii="Calibri" w:hAnsi="Calibri"/>
        </w:rPr>
        <w:t xml:space="preserve"> requirement. </w:t>
      </w:r>
      <w:r w:rsidR="00E355CC" w:rsidRPr="005C3EC8">
        <w:rPr>
          <w:rFonts w:ascii="Calibri" w:hAnsi="Calibri"/>
        </w:rPr>
        <w:t>T</w:t>
      </w:r>
      <w:r w:rsidRPr="005C3EC8">
        <w:rPr>
          <w:rFonts w:ascii="Calibri" w:hAnsi="Calibri"/>
        </w:rPr>
        <w:t>he 2016 EITI Report</w:t>
      </w:r>
      <w:r w:rsidR="00E355CC" w:rsidRPr="005C3EC8">
        <w:rPr>
          <w:rFonts w:ascii="Calibri" w:hAnsi="Calibri"/>
        </w:rPr>
        <w:t xml:space="preserve"> categorises legally-mandated transfers of oil</w:t>
      </w:r>
      <w:r w:rsidR="004C7C23" w:rsidRPr="005C3EC8">
        <w:rPr>
          <w:rFonts w:ascii="Calibri" w:hAnsi="Calibri"/>
        </w:rPr>
        <w:t xml:space="preserve"> and gas license fee</w:t>
      </w:r>
      <w:r w:rsidR="00E355CC" w:rsidRPr="005C3EC8">
        <w:rPr>
          <w:rFonts w:ascii="Calibri" w:hAnsi="Calibri"/>
        </w:rPr>
        <w:t xml:space="preserve"> revenues from the national government to the Northern Ireland Government as a form of earmarked extractives revenue. </w:t>
      </w:r>
      <w:r w:rsidR="004C7C23" w:rsidRPr="005C3EC8">
        <w:rPr>
          <w:rFonts w:ascii="Calibri" w:hAnsi="Calibri"/>
        </w:rPr>
        <w:t xml:space="preserve">Given that </w:t>
      </w:r>
      <w:r w:rsidR="00E355CC" w:rsidRPr="005C3EC8">
        <w:rPr>
          <w:rFonts w:ascii="Calibri" w:hAnsi="Calibri"/>
        </w:rPr>
        <w:t>Requirement 5.2.a relates to situations “</w:t>
      </w:r>
      <w:r w:rsidR="00E355CC" w:rsidRPr="005C3EC8">
        <w:rPr>
          <w:rFonts w:ascii="Calibri" w:hAnsi="Calibri"/>
          <w:i/>
        </w:rPr>
        <w:t>where transfers between national and sub-national government entities are related to revenues generated by the extractive industries and are mandated by a national constitution, statute or other revenue sharing mechanism</w:t>
      </w:r>
      <w:r w:rsidR="00E355CC" w:rsidRPr="005C3EC8">
        <w:rPr>
          <w:rFonts w:ascii="Calibri" w:hAnsi="Calibri"/>
        </w:rPr>
        <w:t>”</w:t>
      </w:r>
      <w:r w:rsidR="004C7C23" w:rsidRPr="005C3EC8">
        <w:rPr>
          <w:rFonts w:ascii="Calibri" w:hAnsi="Calibri"/>
        </w:rPr>
        <w:t xml:space="preserve"> however, it can be inferred that these transfers to Northern Ireland represent subnational transfers.</w:t>
      </w:r>
      <w:r w:rsidR="007512CD" w:rsidRPr="005C3EC8">
        <w:rPr>
          <w:rFonts w:ascii="Calibri" w:hAnsi="Calibri"/>
        </w:rPr>
        <w:t xml:space="preserve"> </w:t>
      </w:r>
      <w:r w:rsidR="004C7C23" w:rsidRPr="005C3EC8">
        <w:rPr>
          <w:rFonts w:ascii="Calibri" w:hAnsi="Calibri"/>
        </w:rPr>
        <w:t>While the 2016 EITI Report describes the revenue-sharing formula, albeit without guidance on the source of population statistics used for revenue-sharing calculations, and the value of executed transfers in 2015-16 and 2016-17, it does not explicitly assess the existence of discrepancies between the values of calculated and executed transfers. However, the OGA annual report provides the value of transfers calculated according to the revenue-sharing formula while Northern Ireland’s public accounts provide the value of executed transfers, allowing the public to assess the existence of discrepancies. There was consensus among stakeholders consulted that data on subnational transfers to Northern Ireland could not have been presented on a calendar-year basis given their alignment with the UK fiscal year (April-March).</w:t>
      </w:r>
    </w:p>
    <w:p w14:paraId="0DF9EF5B" w14:textId="77FD356B" w:rsidR="004C7C23" w:rsidRPr="005C3EC8" w:rsidRDefault="004C7C23" w:rsidP="00F17D2C">
      <w:pPr>
        <w:spacing w:before="120"/>
        <w:rPr>
          <w:rFonts w:ascii="Calibri" w:hAnsi="Calibri"/>
        </w:rPr>
      </w:pPr>
      <w:r w:rsidRPr="005C3EC8">
        <w:rPr>
          <w:rFonts w:ascii="Calibri" w:hAnsi="Calibri"/>
        </w:rPr>
        <w:t>To strengthen implementation</w:t>
      </w:r>
      <w:r w:rsidR="001A2D5E" w:rsidRPr="005C3EC8">
        <w:rPr>
          <w:rFonts w:ascii="Calibri" w:hAnsi="Calibri"/>
        </w:rPr>
        <w:t xml:space="preserve">, the UK </w:t>
      </w:r>
      <w:r w:rsidRPr="005C3EC8">
        <w:rPr>
          <w:rFonts w:ascii="Calibri" w:hAnsi="Calibri"/>
        </w:rPr>
        <w:t>is encouraged to</w:t>
      </w:r>
      <w:r w:rsidR="001A2D5E" w:rsidRPr="005C3EC8">
        <w:rPr>
          <w:rFonts w:ascii="Calibri" w:hAnsi="Calibri"/>
        </w:rPr>
        <w:t xml:space="preserve"> </w:t>
      </w:r>
      <w:r w:rsidR="00FF2E59" w:rsidRPr="005C3EC8">
        <w:rPr>
          <w:rFonts w:ascii="Calibri" w:hAnsi="Calibri"/>
        </w:rPr>
        <w:t xml:space="preserve">undertake a more explicit assessment of the materiality of subnational transfers prior to data collection and </w:t>
      </w:r>
      <w:r w:rsidRPr="005C3EC8">
        <w:rPr>
          <w:rFonts w:ascii="Calibri" w:hAnsi="Calibri"/>
        </w:rPr>
        <w:t xml:space="preserve">to </w:t>
      </w:r>
      <w:r w:rsidR="00FF2E59" w:rsidRPr="005C3EC8">
        <w:rPr>
          <w:rFonts w:ascii="Calibri" w:hAnsi="Calibri"/>
        </w:rPr>
        <w:t xml:space="preserve">ensure that </w:t>
      </w:r>
      <w:r w:rsidRPr="005C3EC8">
        <w:rPr>
          <w:rFonts w:ascii="Calibri" w:hAnsi="Calibri"/>
        </w:rPr>
        <w:t>an explicit assessment of discrepancies between calculated and executed subnational transfers be publicly-accessible.</w:t>
      </w:r>
      <w:r w:rsidR="005220F1" w:rsidRPr="005C3EC8">
        <w:rPr>
          <w:rFonts w:ascii="Calibri" w:hAnsi="Calibri"/>
        </w:rPr>
        <w:t xml:space="preserve">  </w:t>
      </w:r>
    </w:p>
    <w:p w14:paraId="39EC7FBC" w14:textId="77777777" w:rsidR="000722F1" w:rsidRPr="005C3EC8" w:rsidRDefault="00436407" w:rsidP="0097728B">
      <w:pPr>
        <w:pStyle w:val="Heading2"/>
      </w:pPr>
      <w:bookmarkStart w:id="328" w:name="_Toc459133182"/>
      <w:bookmarkStart w:id="329" w:name="_Toc461803132"/>
      <w:bookmarkStart w:id="330" w:name="_Toc461787355"/>
      <w:bookmarkStart w:id="331" w:name="_Toc461795867"/>
      <w:bookmarkStart w:id="332" w:name="_Toc462149201"/>
      <w:bookmarkStart w:id="333" w:name="_Toc459133183"/>
      <w:r w:rsidRPr="005C3EC8">
        <w:t>Additional i</w:t>
      </w:r>
      <w:r w:rsidR="000722F1" w:rsidRPr="005C3EC8">
        <w:t>nformation on revenue management and expenditures (#</w:t>
      </w:r>
      <w:r w:rsidRPr="005C3EC8">
        <w:t>5.3</w:t>
      </w:r>
      <w:r w:rsidR="000722F1" w:rsidRPr="005C3EC8">
        <w:t>)</w:t>
      </w:r>
      <w:bookmarkEnd w:id="328"/>
      <w:bookmarkEnd w:id="329"/>
      <w:bookmarkEnd w:id="330"/>
      <w:bookmarkEnd w:id="331"/>
      <w:bookmarkEnd w:id="332"/>
    </w:p>
    <w:bookmarkEnd w:id="333"/>
    <w:p w14:paraId="3BA3807A" w14:textId="1F8CBF10" w:rsidR="00434FDA" w:rsidRPr="005C3EC8" w:rsidRDefault="00DF51CD" w:rsidP="0097728B">
      <w:pPr>
        <w:pStyle w:val="Heading3"/>
      </w:pPr>
      <w:r w:rsidRPr="005C3EC8">
        <w:t xml:space="preserve">Documentation of progress </w:t>
      </w:r>
    </w:p>
    <w:p w14:paraId="6958319C" w14:textId="3336031E" w:rsidR="007A35C8" w:rsidRPr="005C3EC8" w:rsidRDefault="00106EFB" w:rsidP="00106EFB">
      <w:pPr>
        <w:spacing w:before="120"/>
        <w:rPr>
          <w:rFonts w:ascii="Calibri" w:hAnsi="Calibri"/>
        </w:rPr>
      </w:pPr>
      <w:r w:rsidRPr="005C3EC8">
        <w:rPr>
          <w:rFonts w:ascii="Calibri" w:hAnsi="Calibri"/>
          <w:b/>
          <w:i/>
        </w:rPr>
        <w:t>Systematic disclosures</w:t>
      </w:r>
      <w:r w:rsidRPr="005C3EC8">
        <w:rPr>
          <w:rFonts w:ascii="Calibri" w:hAnsi="Calibri"/>
          <w:i/>
        </w:rPr>
        <w:t xml:space="preserve">: </w:t>
      </w:r>
      <w:r w:rsidR="007A35C8" w:rsidRPr="005C3EC8">
        <w:rPr>
          <w:rFonts w:ascii="Calibri" w:hAnsi="Calibri"/>
        </w:rPr>
        <w:t>The UK Government publishes comprehensive budget and public-sector audit documents, including HM Treasury’s Budget Statements</w:t>
      </w:r>
      <w:r w:rsidR="007A35C8" w:rsidRPr="005C3EC8">
        <w:rPr>
          <w:rStyle w:val="FootnoteReference"/>
          <w:rFonts w:ascii="Calibri" w:hAnsi="Calibri"/>
        </w:rPr>
        <w:footnoteReference w:id="356"/>
      </w:r>
      <w:r w:rsidR="007A35C8" w:rsidRPr="005C3EC8">
        <w:rPr>
          <w:rFonts w:ascii="Calibri" w:hAnsi="Calibri"/>
        </w:rPr>
        <w:t>, NAO audit reports on public accounts</w:t>
      </w:r>
      <w:r w:rsidR="007A35C8" w:rsidRPr="005C3EC8">
        <w:rPr>
          <w:rStyle w:val="FootnoteReference"/>
          <w:rFonts w:ascii="Calibri" w:hAnsi="Calibri"/>
        </w:rPr>
        <w:footnoteReference w:id="357"/>
      </w:r>
      <w:r w:rsidR="00736630" w:rsidRPr="005C3EC8">
        <w:rPr>
          <w:rFonts w:ascii="Calibri" w:hAnsi="Calibri"/>
        </w:rPr>
        <w:t xml:space="preserve"> as well as publications of Parliament’s Public Accounts Committee.</w:t>
      </w:r>
      <w:r w:rsidR="00736630" w:rsidRPr="005C3EC8">
        <w:rPr>
          <w:rStyle w:val="FootnoteReference"/>
          <w:rFonts w:ascii="Calibri" w:hAnsi="Calibri"/>
        </w:rPr>
        <w:footnoteReference w:id="358"/>
      </w:r>
      <w:r w:rsidR="00736630" w:rsidRPr="005C3EC8">
        <w:rPr>
          <w:rFonts w:ascii="Calibri" w:hAnsi="Calibri"/>
        </w:rPr>
        <w:t xml:space="preserve"> In terms of extractives commodities pricing information, the Digest of UK Energy Statistics (DUKES)</w:t>
      </w:r>
      <w:r w:rsidR="00736630" w:rsidRPr="005C3EC8">
        <w:rPr>
          <w:rStyle w:val="FootnoteReference"/>
          <w:rFonts w:ascii="Calibri" w:hAnsi="Calibri"/>
        </w:rPr>
        <w:footnoteReference w:id="359"/>
      </w:r>
      <w:r w:rsidR="00D85F1A" w:rsidRPr="005C3EC8">
        <w:rPr>
          <w:rFonts w:ascii="Calibri" w:hAnsi="Calibri"/>
        </w:rPr>
        <w:t xml:space="preserve"> </w:t>
      </w:r>
      <w:r w:rsidR="001A590F" w:rsidRPr="005C3EC8">
        <w:rPr>
          <w:rFonts w:ascii="Calibri" w:hAnsi="Calibri"/>
        </w:rPr>
        <w:t>provides pricing information for oil and gas, while BGS publications</w:t>
      </w:r>
      <w:r w:rsidR="001A590F" w:rsidRPr="005C3EC8">
        <w:rPr>
          <w:rStyle w:val="FootnoteReference"/>
          <w:rFonts w:ascii="Calibri" w:hAnsi="Calibri"/>
        </w:rPr>
        <w:footnoteReference w:id="360"/>
      </w:r>
      <w:r w:rsidR="001A590F" w:rsidRPr="005C3EC8">
        <w:rPr>
          <w:rFonts w:ascii="Calibri" w:hAnsi="Calibri"/>
        </w:rPr>
        <w:t xml:space="preserve"> and the UK Government website</w:t>
      </w:r>
      <w:r w:rsidR="001A590F" w:rsidRPr="005C3EC8">
        <w:rPr>
          <w:rStyle w:val="FootnoteReference"/>
          <w:rFonts w:ascii="Calibri" w:hAnsi="Calibri"/>
        </w:rPr>
        <w:footnoteReference w:id="361"/>
      </w:r>
      <w:r w:rsidR="001A590F" w:rsidRPr="005C3EC8">
        <w:rPr>
          <w:rFonts w:ascii="Calibri" w:hAnsi="Calibri"/>
        </w:rPr>
        <w:t xml:space="preserve"> provide pricing information for mineral commodities.</w:t>
      </w:r>
    </w:p>
    <w:p w14:paraId="3ECE625F" w14:textId="5FC3875E" w:rsidR="00FF5128" w:rsidRPr="005C3EC8" w:rsidRDefault="00106EFB" w:rsidP="00106EFB">
      <w:pPr>
        <w:spacing w:before="120"/>
        <w:rPr>
          <w:rFonts w:ascii="Calibri" w:hAnsi="Calibri"/>
        </w:rPr>
      </w:pPr>
      <w:r w:rsidRPr="005C3EC8">
        <w:rPr>
          <w:rFonts w:ascii="Calibri" w:hAnsi="Calibri"/>
          <w:b/>
          <w:i/>
        </w:rPr>
        <w:t>2016 EITI Report</w:t>
      </w:r>
      <w:r w:rsidRPr="005C3EC8">
        <w:rPr>
          <w:rFonts w:ascii="Calibri" w:hAnsi="Calibri"/>
          <w:i/>
        </w:rPr>
        <w:t>:</w:t>
      </w:r>
      <w:r w:rsidRPr="005C3EC8">
        <w:rPr>
          <w:rFonts w:ascii="Calibri" w:hAnsi="Calibri"/>
        </w:rPr>
        <w:t xml:space="preserve"> </w:t>
      </w:r>
      <w:r w:rsidR="00076ADA" w:rsidRPr="005C3EC8">
        <w:rPr>
          <w:rFonts w:ascii="Calibri" w:hAnsi="Calibri"/>
        </w:rPr>
        <w:t>The 2016 EITI Report confirms that extractives revenues are not hypothecated to specific types of expenditures (p.68), aside from subnational transfers of a share of seaward petroleum licence income to Northern Ireland (</w:t>
      </w:r>
      <w:r w:rsidR="00076ADA" w:rsidRPr="005C3EC8">
        <w:rPr>
          <w:rFonts w:ascii="Calibri" w:hAnsi="Calibri"/>
          <w:i/>
        </w:rPr>
        <w:t>see Requirement 5.2</w:t>
      </w:r>
      <w:r w:rsidR="00076ADA" w:rsidRPr="005C3EC8">
        <w:rPr>
          <w:rFonts w:ascii="Calibri" w:hAnsi="Calibri"/>
        </w:rPr>
        <w:t xml:space="preserve">). </w:t>
      </w:r>
      <w:r w:rsidR="00FF5128" w:rsidRPr="005C3EC8">
        <w:rPr>
          <w:rFonts w:ascii="Calibri" w:hAnsi="Calibri"/>
        </w:rPr>
        <w:t xml:space="preserve">The </w:t>
      </w:r>
      <w:r w:rsidR="00076ADA" w:rsidRPr="005C3EC8">
        <w:rPr>
          <w:rFonts w:ascii="Calibri" w:hAnsi="Calibri"/>
        </w:rPr>
        <w:t>r</w:t>
      </w:r>
      <w:r w:rsidR="00FF5128" w:rsidRPr="005C3EC8">
        <w:rPr>
          <w:rFonts w:ascii="Calibri" w:hAnsi="Calibri"/>
        </w:rPr>
        <w:t>eport provides an overview of the budget-making process, including links to relevant documents related to government accounts (p.68).</w:t>
      </w:r>
      <w:r w:rsidR="0076438B" w:rsidRPr="005C3EC8">
        <w:rPr>
          <w:rFonts w:ascii="Calibri" w:hAnsi="Calibri"/>
        </w:rPr>
        <w:t xml:space="preserve"> N</w:t>
      </w:r>
      <w:r w:rsidR="00FF5128" w:rsidRPr="005C3EC8">
        <w:rPr>
          <w:rFonts w:ascii="Calibri" w:hAnsi="Calibri"/>
        </w:rPr>
        <w:t xml:space="preserve">arrative overviews and graphs of UK fossil fuel production and energy demand over the 1996-2017 period </w:t>
      </w:r>
      <w:r w:rsidR="0076438B" w:rsidRPr="005C3EC8">
        <w:rPr>
          <w:rFonts w:ascii="Calibri" w:hAnsi="Calibri"/>
        </w:rPr>
        <w:t xml:space="preserve">are also provided </w:t>
      </w:r>
      <w:r w:rsidR="00FF5128" w:rsidRPr="005C3EC8">
        <w:rPr>
          <w:rFonts w:ascii="Calibri" w:hAnsi="Calibri"/>
        </w:rPr>
        <w:t>(pp.27-29).</w:t>
      </w:r>
    </w:p>
    <w:p w14:paraId="4684271A" w14:textId="0A90873D" w:rsidR="00434FDA" w:rsidRPr="005C3EC8" w:rsidRDefault="00DF51CD">
      <w:pPr>
        <w:pStyle w:val="Heading3"/>
      </w:pPr>
      <w:r w:rsidRPr="005C3EC8">
        <w:lastRenderedPageBreak/>
        <w:t xml:space="preserve">Stakeholder views </w:t>
      </w:r>
    </w:p>
    <w:p w14:paraId="4938A6B8" w14:textId="7A312486" w:rsidR="00DF51CD" w:rsidRPr="005C3EC8" w:rsidRDefault="00076ADA" w:rsidP="00DF51CD">
      <w:pPr>
        <w:spacing w:before="120"/>
        <w:rPr>
          <w:rFonts w:ascii="Calibri" w:hAnsi="Calibri"/>
          <w:bCs/>
        </w:rPr>
      </w:pPr>
      <w:r w:rsidRPr="005C3EC8">
        <w:rPr>
          <w:rFonts w:ascii="Calibri" w:hAnsi="Calibri"/>
          <w:bCs/>
        </w:rPr>
        <w:t xml:space="preserve">Stakeholders consulted did not express any particular views on the public availability of </w:t>
      </w:r>
      <w:r w:rsidR="00DA71D2" w:rsidRPr="005C3EC8">
        <w:rPr>
          <w:rFonts w:ascii="Calibri" w:hAnsi="Calibri"/>
          <w:bCs/>
        </w:rPr>
        <w:t xml:space="preserve">information on the budgetary and audit processes or production and revenue projections either in the public domain or in </w:t>
      </w:r>
      <w:r w:rsidRPr="005C3EC8">
        <w:rPr>
          <w:rFonts w:ascii="Calibri" w:hAnsi="Calibri"/>
          <w:bCs/>
        </w:rPr>
        <w:t>the 2016 EITI Report</w:t>
      </w:r>
      <w:r w:rsidR="00DA71D2" w:rsidRPr="005C3EC8">
        <w:rPr>
          <w:rFonts w:ascii="Calibri" w:hAnsi="Calibri"/>
          <w:bCs/>
        </w:rPr>
        <w:t xml:space="preserve">. </w:t>
      </w:r>
    </w:p>
    <w:p w14:paraId="3E741366" w14:textId="4DA371CB" w:rsidR="00B66679" w:rsidRPr="005C3EC8" w:rsidRDefault="00BA52AA">
      <w:pPr>
        <w:pStyle w:val="Heading3"/>
      </w:pPr>
      <w:bookmarkStart w:id="334" w:name="_Toc459133185"/>
      <w:bookmarkStart w:id="335" w:name="_Toc461803135"/>
      <w:r w:rsidRPr="005C3EC8">
        <w:t>Initial a</w:t>
      </w:r>
      <w:r w:rsidR="00B66679" w:rsidRPr="005C3EC8">
        <w:t>ssessment</w:t>
      </w:r>
      <w:bookmarkEnd w:id="334"/>
      <w:bookmarkEnd w:id="335"/>
    </w:p>
    <w:p w14:paraId="066FEC77" w14:textId="59BA96C8" w:rsidR="00E74B34" w:rsidRPr="005C3EC8" w:rsidRDefault="009E7B1C" w:rsidP="00DF51CD">
      <w:pPr>
        <w:rPr>
          <w:rFonts w:ascii="Calibri" w:hAnsi="Calibri"/>
        </w:rPr>
      </w:pPr>
      <w:r w:rsidRPr="005C3EC8">
        <w:rPr>
          <w:rFonts w:ascii="Calibri" w:hAnsi="Calibri"/>
        </w:rPr>
        <w:t xml:space="preserve">Reporting on revenue management and expenditures is encouraged but not required by the EITI Standard and progress with this requirement will not have any implications for a country’s EITI status. </w:t>
      </w:r>
      <w:r w:rsidR="00DF51CD" w:rsidRPr="005C3EC8">
        <w:rPr>
          <w:rFonts w:ascii="Calibri" w:hAnsi="Calibri"/>
        </w:rPr>
        <w:t>It is e</w:t>
      </w:r>
      <w:r w:rsidR="00922ED3" w:rsidRPr="005C3EC8">
        <w:rPr>
          <w:rFonts w:ascii="Calibri" w:hAnsi="Calibri"/>
        </w:rPr>
        <w:t>ncouraging that the MS</w:t>
      </w:r>
      <w:r w:rsidR="00DF51CD" w:rsidRPr="005C3EC8">
        <w:rPr>
          <w:rFonts w:ascii="Calibri" w:hAnsi="Calibri"/>
        </w:rPr>
        <w:t xml:space="preserve">G has made some attempt to including information on the budget-making process </w:t>
      </w:r>
      <w:r w:rsidR="0076438B" w:rsidRPr="005C3EC8">
        <w:rPr>
          <w:rFonts w:ascii="Calibri" w:hAnsi="Calibri"/>
        </w:rPr>
        <w:t xml:space="preserve">as well as </w:t>
      </w:r>
      <w:r w:rsidR="0076438B" w:rsidRPr="005C3EC8">
        <w:rPr>
          <w:rFonts w:ascii="Calibri" w:hAnsi="Calibri"/>
          <w:bCs/>
        </w:rPr>
        <w:t>production and revenue projections</w:t>
      </w:r>
      <w:r w:rsidR="0076438B" w:rsidRPr="005C3EC8">
        <w:rPr>
          <w:rFonts w:ascii="Calibri" w:hAnsi="Calibri"/>
          <w:b/>
          <w:bCs/>
        </w:rPr>
        <w:t xml:space="preserve"> </w:t>
      </w:r>
      <w:r w:rsidR="00DF51CD" w:rsidRPr="005C3EC8">
        <w:rPr>
          <w:rFonts w:ascii="Calibri" w:hAnsi="Calibri"/>
        </w:rPr>
        <w:t xml:space="preserve">in the </w:t>
      </w:r>
      <w:r w:rsidR="00C12A58" w:rsidRPr="005C3EC8">
        <w:rPr>
          <w:rFonts w:ascii="Calibri" w:hAnsi="Calibri"/>
        </w:rPr>
        <w:t xml:space="preserve">2016 </w:t>
      </w:r>
      <w:r w:rsidR="00922ED3" w:rsidRPr="005C3EC8">
        <w:rPr>
          <w:rFonts w:ascii="Calibri" w:hAnsi="Calibri"/>
        </w:rPr>
        <w:t>EITI Report</w:t>
      </w:r>
      <w:r w:rsidR="00DF51CD" w:rsidRPr="005C3EC8">
        <w:rPr>
          <w:rFonts w:ascii="Calibri" w:hAnsi="Calibri"/>
        </w:rPr>
        <w:t xml:space="preserve">. </w:t>
      </w:r>
    </w:p>
    <w:p w14:paraId="4EF5CB23" w14:textId="77777777" w:rsidR="00B17300" w:rsidRPr="005C3EC8" w:rsidRDefault="00B17300" w:rsidP="00B17300">
      <w:bookmarkStart w:id="336" w:name="_Toc463537778"/>
      <w:bookmarkStart w:id="337" w:name="_Toc485385506"/>
    </w:p>
    <w:p w14:paraId="0ECF539F" w14:textId="67414B62" w:rsidR="000722F1" w:rsidRPr="005C3EC8" w:rsidRDefault="00411AA1" w:rsidP="007906D4">
      <w:pPr>
        <w:pStyle w:val="Caption"/>
        <w:rPr>
          <w:color w:val="000000"/>
        </w:rPr>
      </w:pPr>
      <w:r w:rsidRPr="005C3EC8">
        <w:t xml:space="preserve">Table </w:t>
      </w:r>
      <w:r w:rsidR="000047B5">
        <w:fldChar w:fldCharType="begin"/>
      </w:r>
      <w:r w:rsidR="000047B5">
        <w:instrText xml:space="preserve"> SEQ Table \* ARABIC </w:instrText>
      </w:r>
      <w:r w:rsidR="000047B5">
        <w:fldChar w:fldCharType="separate"/>
      </w:r>
      <w:r w:rsidR="0083320D" w:rsidRPr="005C3EC8">
        <w:t>5</w:t>
      </w:r>
      <w:r w:rsidR="000047B5">
        <w:fldChar w:fldCharType="end"/>
      </w:r>
      <w:r w:rsidRPr="005C3EC8">
        <w:t xml:space="preserve"> </w:t>
      </w:r>
      <w:r w:rsidR="000722F1" w:rsidRPr="005C3EC8">
        <w:rPr>
          <w:color w:val="000000"/>
        </w:rPr>
        <w:t xml:space="preserve"> - </w:t>
      </w:r>
      <w:r w:rsidR="000722F1" w:rsidRPr="005C3EC8">
        <w:rPr>
          <w:rFonts w:eastAsia="Calibri"/>
        </w:rPr>
        <w:t xml:space="preserve">Summary </w:t>
      </w:r>
      <w:r w:rsidR="009C5073" w:rsidRPr="005C3EC8">
        <w:rPr>
          <w:rFonts w:eastAsia="Calibri"/>
        </w:rPr>
        <w:t xml:space="preserve">initial </w:t>
      </w:r>
      <w:r w:rsidR="000722F1" w:rsidRPr="005C3EC8">
        <w:rPr>
          <w:rFonts w:eastAsia="Calibri"/>
        </w:rPr>
        <w:t>assessment table: Revenue management and distribution</w:t>
      </w:r>
      <w:bookmarkEnd w:id="336"/>
      <w:bookmarkEnd w:id="337"/>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808080"/>
        </w:tblBorders>
        <w:tblLayout w:type="fixed"/>
        <w:tblLook w:val="04A0" w:firstRow="1" w:lastRow="0" w:firstColumn="1" w:lastColumn="0" w:noHBand="0" w:noVBand="1"/>
      </w:tblPr>
      <w:tblGrid>
        <w:gridCol w:w="2694"/>
        <w:gridCol w:w="4564"/>
        <w:gridCol w:w="2345"/>
      </w:tblGrid>
      <w:tr w:rsidR="00FC3899" w:rsidRPr="005C3EC8" w14:paraId="22C5F8E0" w14:textId="77777777" w:rsidTr="00B17300">
        <w:trPr>
          <w:trHeight w:val="675"/>
        </w:trPr>
        <w:tc>
          <w:tcPr>
            <w:tcW w:w="2694" w:type="dxa"/>
            <w:shd w:val="clear" w:color="auto" w:fill="D9D9D9"/>
            <w:vAlign w:val="center"/>
          </w:tcPr>
          <w:p w14:paraId="0A83DFF0" w14:textId="77777777" w:rsidR="00FC3899" w:rsidRPr="005C3EC8" w:rsidRDefault="00FC3899" w:rsidP="00E03D03">
            <w:pPr>
              <w:pStyle w:val="Tabletext"/>
              <w:rPr>
                <w:b/>
                <w:lang w:val="en-GB"/>
              </w:rPr>
            </w:pPr>
            <w:r w:rsidRPr="005C3EC8">
              <w:rPr>
                <w:b/>
                <w:lang w:val="en-GB"/>
              </w:rPr>
              <w:t>EITI provisions</w:t>
            </w:r>
          </w:p>
        </w:tc>
        <w:tc>
          <w:tcPr>
            <w:tcW w:w="4564" w:type="dxa"/>
            <w:shd w:val="clear" w:color="auto" w:fill="D9D9D9"/>
            <w:vAlign w:val="center"/>
          </w:tcPr>
          <w:p w14:paraId="2C57A3E6" w14:textId="77777777" w:rsidR="00FC3899" w:rsidRPr="005C3EC8" w:rsidRDefault="00FC3899" w:rsidP="00E03D03">
            <w:pPr>
              <w:pStyle w:val="Tabletext"/>
              <w:rPr>
                <w:b/>
                <w:lang w:val="en-GB"/>
              </w:rPr>
            </w:pPr>
            <w:r w:rsidRPr="005C3EC8">
              <w:rPr>
                <w:b/>
                <w:lang w:val="en-GB"/>
              </w:rPr>
              <w:t>Summary of main findings</w:t>
            </w:r>
          </w:p>
        </w:tc>
        <w:tc>
          <w:tcPr>
            <w:tcW w:w="2345" w:type="dxa"/>
            <w:shd w:val="clear" w:color="auto" w:fill="D9D9D9"/>
            <w:vAlign w:val="center"/>
          </w:tcPr>
          <w:p w14:paraId="39378A6B" w14:textId="45BDFB57" w:rsidR="00FC3899" w:rsidRPr="005C3EC8" w:rsidRDefault="00FC3899" w:rsidP="00E03D03">
            <w:pPr>
              <w:pStyle w:val="Tabletext"/>
              <w:rPr>
                <w:b/>
                <w:color w:val="000000"/>
                <w:lang w:val="en-GB"/>
              </w:rPr>
            </w:pPr>
            <w:r w:rsidRPr="005C3EC8">
              <w:rPr>
                <w:b/>
                <w:color w:val="000000"/>
                <w:lang w:val="en-GB"/>
              </w:rPr>
              <w:t xml:space="preserve">International Secretariat’s initial assessment of progress with the EITI provisions </w:t>
            </w:r>
          </w:p>
        </w:tc>
      </w:tr>
      <w:tr w:rsidR="00DF51CD" w:rsidRPr="005C3EC8" w14:paraId="1A5E74FC" w14:textId="77777777" w:rsidTr="00B17300">
        <w:tc>
          <w:tcPr>
            <w:tcW w:w="2694" w:type="dxa"/>
            <w:shd w:val="clear" w:color="auto" w:fill="auto"/>
          </w:tcPr>
          <w:p w14:paraId="1FE9603A" w14:textId="77777777" w:rsidR="00DF51CD" w:rsidRPr="005C3EC8" w:rsidRDefault="00DF51CD" w:rsidP="00E03D03">
            <w:pPr>
              <w:pStyle w:val="Tabletext"/>
              <w:rPr>
                <w:lang w:val="en-GB" w:eastAsia="x-none"/>
              </w:rPr>
            </w:pPr>
            <w:r w:rsidRPr="005C3EC8">
              <w:rPr>
                <w:lang w:val="en-GB" w:eastAsia="x-none"/>
              </w:rPr>
              <w:t>Distribution of revenues (#5.1)</w:t>
            </w:r>
          </w:p>
        </w:tc>
        <w:tc>
          <w:tcPr>
            <w:tcW w:w="4564" w:type="dxa"/>
            <w:shd w:val="clear" w:color="auto" w:fill="auto"/>
          </w:tcPr>
          <w:p w14:paraId="571D430C" w14:textId="79BA38A4" w:rsidR="00DF51CD" w:rsidRPr="005C3EC8" w:rsidRDefault="00B17300" w:rsidP="00E03D03">
            <w:pPr>
              <w:pStyle w:val="Tabletext"/>
              <w:rPr>
                <w:lang w:val="en-GB"/>
              </w:rPr>
            </w:pPr>
            <w:r w:rsidRPr="005C3EC8">
              <w:rPr>
                <w:lang w:val="en-GB"/>
              </w:rPr>
              <w:t>The 2016 EITI Report confirms that all extractives revenues are recorded in the national budget, aside from revenues collected by the Oil and Gas Authority. Guidance is provided on accessing reports on the OGA’s management of off-budget revenues.</w:t>
            </w:r>
          </w:p>
        </w:tc>
        <w:tc>
          <w:tcPr>
            <w:tcW w:w="2345" w:type="dxa"/>
          </w:tcPr>
          <w:p w14:paraId="18A2031F" w14:textId="15BE16D9" w:rsidR="00DF51CD" w:rsidRPr="005C3EC8" w:rsidRDefault="002C6615" w:rsidP="002C6615">
            <w:pPr>
              <w:pStyle w:val="Tabletext"/>
              <w:jc w:val="center"/>
              <w:rPr>
                <w:lang w:val="en-GB"/>
              </w:rPr>
            </w:pPr>
            <w:r w:rsidRPr="005C3EC8">
              <w:rPr>
                <w:lang w:val="en-GB"/>
              </w:rPr>
              <w:t>Satisfactory progress</w:t>
            </w:r>
          </w:p>
        </w:tc>
      </w:tr>
      <w:tr w:rsidR="00DF51CD" w:rsidRPr="005C3EC8" w14:paraId="047D76FB" w14:textId="77777777" w:rsidTr="00B17300">
        <w:tc>
          <w:tcPr>
            <w:tcW w:w="2694" w:type="dxa"/>
            <w:shd w:val="clear" w:color="auto" w:fill="auto"/>
          </w:tcPr>
          <w:p w14:paraId="34BAAE48" w14:textId="77777777" w:rsidR="00DF51CD" w:rsidRPr="005C3EC8" w:rsidRDefault="00DF51CD" w:rsidP="00E03D03">
            <w:pPr>
              <w:pStyle w:val="Tabletext"/>
              <w:rPr>
                <w:lang w:val="en-GB"/>
              </w:rPr>
            </w:pPr>
            <w:r w:rsidRPr="005C3EC8">
              <w:rPr>
                <w:lang w:val="en-GB" w:eastAsia="x-none"/>
              </w:rPr>
              <w:t>Sub-national transfers (#5.2)</w:t>
            </w:r>
          </w:p>
        </w:tc>
        <w:tc>
          <w:tcPr>
            <w:tcW w:w="4564" w:type="dxa"/>
            <w:shd w:val="clear" w:color="auto" w:fill="auto"/>
          </w:tcPr>
          <w:p w14:paraId="78BCC59D" w14:textId="7C8186E8" w:rsidR="00DF51CD" w:rsidRPr="005C3EC8" w:rsidRDefault="00B17300" w:rsidP="00E03D03">
            <w:pPr>
              <w:pStyle w:val="Tabletext"/>
              <w:rPr>
                <w:lang w:val="en-GB"/>
              </w:rPr>
            </w:pPr>
            <w:r w:rsidRPr="005C3EC8">
              <w:rPr>
                <w:lang w:val="en-GB"/>
              </w:rPr>
              <w:t>The 2016 EITI Report categorises legally-mandated transfers of oil and gas license fee revenues from the national government to the Northern Ireland Government as a form of earmarked extractives revenue. Given that Requirement 5.2.a relates to situations “</w:t>
            </w:r>
            <w:r w:rsidRPr="005C3EC8">
              <w:rPr>
                <w:i/>
                <w:lang w:val="en-GB"/>
              </w:rPr>
              <w:t>where transfers between national and sub-national government entities are related to revenues generated by the extractive industries and are mandated by a national constitution, statute or other revenue sharing mechanism</w:t>
            </w:r>
            <w:r w:rsidRPr="005C3EC8">
              <w:rPr>
                <w:lang w:val="en-GB"/>
              </w:rPr>
              <w:t xml:space="preserve">” however, it can be inferred that these transfers to Northern Ireland represent subnational transfers. While the 2016 EITI Report describes the revenue-sharing formula, albeit without guidance on the source of population statistics used for revenue-sharing calculations, and the value of executed transfers in 2015-16 and 2016-17, it does not </w:t>
            </w:r>
            <w:r w:rsidRPr="005C3EC8">
              <w:rPr>
                <w:lang w:val="en-GB"/>
              </w:rPr>
              <w:lastRenderedPageBreak/>
              <w:t>explicitly assess the existence of discrepancies between the values of calculated and executed transfers. However, the OGA annual report provides the value of transfers calculated according to the revenue-sharing formula while Northern Ireland’s public accounts provide the value of executed transfers, allowing the public to assess the existence of discrepancies. There was consensus among stakeholders consulted that data on subnational transfers to Northern Ireland could not have been presented on a calendar-year basis given their alignment with the UK fiscal year (April-March).</w:t>
            </w:r>
          </w:p>
        </w:tc>
        <w:tc>
          <w:tcPr>
            <w:tcW w:w="2345" w:type="dxa"/>
          </w:tcPr>
          <w:p w14:paraId="7CF6007B" w14:textId="2FE9C4E6" w:rsidR="00DF51CD" w:rsidRPr="005C3EC8" w:rsidRDefault="009B1F89" w:rsidP="002C6615">
            <w:pPr>
              <w:pStyle w:val="Tabletext"/>
              <w:jc w:val="center"/>
              <w:rPr>
                <w:lang w:val="en-GB"/>
              </w:rPr>
            </w:pPr>
            <w:r w:rsidRPr="005C3EC8">
              <w:rPr>
                <w:lang w:val="en-GB"/>
              </w:rPr>
              <w:lastRenderedPageBreak/>
              <w:t>Satisfactory</w:t>
            </w:r>
            <w:r w:rsidR="002C6615" w:rsidRPr="005C3EC8">
              <w:rPr>
                <w:lang w:val="en-GB"/>
              </w:rPr>
              <w:t xml:space="preserve"> progress</w:t>
            </w:r>
          </w:p>
        </w:tc>
      </w:tr>
      <w:tr w:rsidR="00DF51CD" w:rsidRPr="005C3EC8" w14:paraId="27605714" w14:textId="77777777" w:rsidTr="00B17300">
        <w:tc>
          <w:tcPr>
            <w:tcW w:w="2694" w:type="dxa"/>
            <w:shd w:val="clear" w:color="auto" w:fill="auto"/>
          </w:tcPr>
          <w:p w14:paraId="5C4A3E3E" w14:textId="77777777" w:rsidR="00DF51CD" w:rsidRPr="005C3EC8" w:rsidRDefault="00DF51CD" w:rsidP="00E03D03">
            <w:pPr>
              <w:pStyle w:val="Tabletext"/>
              <w:rPr>
                <w:lang w:val="en-GB"/>
              </w:rPr>
            </w:pPr>
            <w:r w:rsidRPr="005C3EC8">
              <w:rPr>
                <w:lang w:val="en-GB" w:eastAsia="x-none"/>
              </w:rPr>
              <w:t>Information on revenue management and expenditures (#5.3)</w:t>
            </w:r>
          </w:p>
        </w:tc>
        <w:tc>
          <w:tcPr>
            <w:tcW w:w="4564" w:type="dxa"/>
            <w:shd w:val="clear" w:color="auto" w:fill="auto"/>
          </w:tcPr>
          <w:p w14:paraId="2742C02B" w14:textId="5CCFD5D5" w:rsidR="00DF51CD" w:rsidRPr="005C3EC8" w:rsidRDefault="00B17300" w:rsidP="00E03D03">
            <w:pPr>
              <w:pStyle w:val="Tabletext"/>
              <w:rPr>
                <w:lang w:val="en-GB"/>
              </w:rPr>
            </w:pPr>
            <w:r w:rsidRPr="005C3EC8">
              <w:rPr>
                <w:lang w:val="en-GB"/>
              </w:rPr>
              <w:t xml:space="preserve">It is encouraging that the MSG has made some attempt to including information on the budget-making process as well as </w:t>
            </w:r>
            <w:r w:rsidRPr="005C3EC8">
              <w:rPr>
                <w:bCs/>
                <w:lang w:val="en-GB"/>
              </w:rPr>
              <w:t>production and revenue projections</w:t>
            </w:r>
            <w:r w:rsidRPr="005C3EC8">
              <w:rPr>
                <w:b/>
                <w:bCs/>
                <w:lang w:val="en-GB"/>
              </w:rPr>
              <w:t xml:space="preserve"> </w:t>
            </w:r>
            <w:r w:rsidRPr="005C3EC8">
              <w:rPr>
                <w:lang w:val="en-GB"/>
              </w:rPr>
              <w:t>in the 2016 EITI Report.</w:t>
            </w:r>
          </w:p>
        </w:tc>
        <w:tc>
          <w:tcPr>
            <w:tcW w:w="2345" w:type="dxa"/>
            <w:shd w:val="clear" w:color="auto" w:fill="D9D9D9"/>
          </w:tcPr>
          <w:p w14:paraId="46D2FDD3" w14:textId="77777777" w:rsidR="00DF51CD" w:rsidRPr="005C3EC8" w:rsidRDefault="00DF51CD" w:rsidP="00E03D03">
            <w:pPr>
              <w:pStyle w:val="Tabletext"/>
              <w:rPr>
                <w:lang w:val="en-GB" w:eastAsia="x-none"/>
              </w:rPr>
            </w:pPr>
          </w:p>
        </w:tc>
      </w:tr>
      <w:tr w:rsidR="00DF51CD" w:rsidRPr="005C3EC8" w14:paraId="0DA49816" w14:textId="77777777" w:rsidTr="0097728B">
        <w:tc>
          <w:tcPr>
            <w:tcW w:w="9603" w:type="dxa"/>
            <w:gridSpan w:val="3"/>
            <w:shd w:val="clear" w:color="auto" w:fill="FFFFFF"/>
          </w:tcPr>
          <w:p w14:paraId="35F9626C" w14:textId="0CAB7AE0" w:rsidR="00DF51CD" w:rsidRPr="005C3EC8" w:rsidRDefault="00454241" w:rsidP="00E03D03">
            <w:pPr>
              <w:pStyle w:val="Tabletext"/>
              <w:rPr>
                <w:lang w:val="en-GB"/>
              </w:rPr>
            </w:pPr>
            <w:r w:rsidRPr="005C3EC8">
              <w:rPr>
                <w:b/>
                <w:lang w:val="en-GB"/>
              </w:rPr>
              <w:t>Secretariat’s</w:t>
            </w:r>
            <w:r w:rsidR="00DF51CD" w:rsidRPr="005C3EC8">
              <w:rPr>
                <w:b/>
                <w:lang w:val="en-GB"/>
              </w:rPr>
              <w:t xml:space="preserve"> recommendations</w:t>
            </w:r>
            <w:r w:rsidR="00DF51CD" w:rsidRPr="005C3EC8">
              <w:rPr>
                <w:lang w:val="en-GB"/>
              </w:rPr>
              <w:t>:</w:t>
            </w:r>
          </w:p>
          <w:p w14:paraId="37783DDA" w14:textId="1A5AAEEB" w:rsidR="00434FDA" w:rsidRPr="005C3EC8" w:rsidRDefault="00B17300" w:rsidP="008200F5">
            <w:pPr>
              <w:pStyle w:val="ListParagraph"/>
              <w:rPr>
                <w:rFonts w:eastAsia="Calibri"/>
              </w:rPr>
            </w:pPr>
            <w:r w:rsidRPr="005C3EC8">
              <w:t xml:space="preserve">To strengthen implementation, the UK may wish to consider using EITI reporting to create greater awareness of reforms in national revenue classification systems. </w:t>
            </w:r>
          </w:p>
          <w:p w14:paraId="0B4C6AA9" w14:textId="682E28F7" w:rsidR="00DF51CD" w:rsidRPr="005C3EC8" w:rsidRDefault="00B17300" w:rsidP="008200F5">
            <w:pPr>
              <w:pStyle w:val="ListParagraph"/>
              <w:rPr>
                <w:rFonts w:eastAsia="Calibri"/>
              </w:rPr>
            </w:pPr>
            <w:r w:rsidRPr="005C3EC8">
              <w:t>To strengthen implementation, the UK is encouraged to undertake a more explicit assessment of the materiality of subnational transfers prior to data collection and to ensure that an explicit assessment of discrepancies between calculated and executed subnational transfers be publicly-accessible.</w:t>
            </w:r>
          </w:p>
        </w:tc>
      </w:tr>
    </w:tbl>
    <w:p w14:paraId="651B2799" w14:textId="77777777" w:rsidR="001F4E8B" w:rsidRPr="005C3EC8" w:rsidRDefault="001F4E8B" w:rsidP="00DF51CD">
      <w:pPr>
        <w:rPr>
          <w:rFonts w:ascii="Calibri" w:hAnsi="Calibri"/>
        </w:rPr>
      </w:pPr>
    </w:p>
    <w:p w14:paraId="0C33C0C5" w14:textId="77777777" w:rsidR="00411AA1" w:rsidRPr="005C3EC8" w:rsidRDefault="00411AA1">
      <w:pPr>
        <w:widowControl/>
        <w:suppressAutoHyphens w:val="0"/>
        <w:spacing w:after="0" w:line="240" w:lineRule="auto"/>
        <w:rPr>
          <w:rFonts w:ascii="Calibri" w:hAnsi="Calibri"/>
          <w:b/>
          <w:bCs/>
          <w:color w:val="4F81BD"/>
          <w:sz w:val="28"/>
          <w:szCs w:val="26"/>
        </w:rPr>
      </w:pPr>
      <w:bookmarkStart w:id="338" w:name="_Toc459133186"/>
      <w:bookmarkStart w:id="339" w:name="_Toc461803136"/>
      <w:bookmarkStart w:id="340" w:name="_Toc461787356"/>
      <w:bookmarkStart w:id="341" w:name="_Toc461795868"/>
      <w:bookmarkStart w:id="342" w:name="_Toc462149202"/>
      <w:r w:rsidRPr="005C3EC8">
        <w:rPr>
          <w:rFonts w:ascii="Calibri" w:hAnsi="Calibri"/>
        </w:rPr>
        <w:br w:type="page"/>
      </w:r>
    </w:p>
    <w:p w14:paraId="24EAB9F1" w14:textId="72616E55" w:rsidR="000722F1" w:rsidRPr="005C3EC8" w:rsidRDefault="000C662A">
      <w:pPr>
        <w:pStyle w:val="Heading2"/>
      </w:pPr>
      <w:r w:rsidRPr="005C3EC8">
        <w:lastRenderedPageBreak/>
        <w:t xml:space="preserve">6. </w:t>
      </w:r>
      <w:r w:rsidR="000722F1" w:rsidRPr="005C3EC8">
        <w:t>Social and economic spending</w:t>
      </w:r>
      <w:bookmarkEnd w:id="338"/>
      <w:bookmarkEnd w:id="339"/>
      <w:bookmarkEnd w:id="340"/>
      <w:bookmarkEnd w:id="341"/>
      <w:bookmarkEnd w:id="342"/>
      <w:r w:rsidR="000722F1" w:rsidRPr="005C3EC8">
        <w:t xml:space="preserve"> </w:t>
      </w:r>
    </w:p>
    <w:p w14:paraId="5BEC1DB4" w14:textId="20920B15" w:rsidR="000722F1" w:rsidRPr="005C3EC8" w:rsidRDefault="00F17D2C">
      <w:pPr>
        <w:pStyle w:val="Heading2notindexed"/>
      </w:pPr>
      <w:bookmarkStart w:id="343" w:name="_Toc459133187"/>
      <w:bookmarkStart w:id="344" w:name="_Toc461803137"/>
      <w:bookmarkStart w:id="345" w:name="_Toc461787357"/>
      <w:bookmarkStart w:id="346" w:name="_Toc461795869"/>
      <w:r w:rsidRPr="005C3EC8">
        <w:t xml:space="preserve">6.1 </w:t>
      </w:r>
      <w:r w:rsidR="000722F1" w:rsidRPr="005C3EC8">
        <w:t>Overview</w:t>
      </w:r>
      <w:bookmarkEnd w:id="343"/>
      <w:bookmarkEnd w:id="344"/>
      <w:bookmarkEnd w:id="345"/>
      <w:bookmarkEnd w:id="346"/>
    </w:p>
    <w:p w14:paraId="0C3C635A" w14:textId="75953D9A" w:rsidR="000722F1" w:rsidRPr="005C3EC8" w:rsidRDefault="00601654" w:rsidP="000722F1">
      <w:pPr>
        <w:spacing w:before="120"/>
        <w:rPr>
          <w:rFonts w:ascii="Calibri" w:hAnsi="Calibri"/>
        </w:rPr>
      </w:pPr>
      <w:r w:rsidRPr="005C3EC8">
        <w:rPr>
          <w:rFonts w:ascii="Calibri" w:hAnsi="Calibri"/>
        </w:rPr>
        <w:t xml:space="preserve">This section provides details on the implementation of the EITI requirements related </w:t>
      </w:r>
      <w:r w:rsidR="00734C25" w:rsidRPr="005C3EC8">
        <w:rPr>
          <w:rFonts w:ascii="Calibri" w:hAnsi="Calibri"/>
        </w:rPr>
        <w:t xml:space="preserve">to social and economic spending </w:t>
      </w:r>
      <w:r w:rsidR="00627853" w:rsidRPr="005C3EC8">
        <w:rPr>
          <w:rFonts w:ascii="Calibri" w:hAnsi="Calibri"/>
        </w:rPr>
        <w:t>(SOE quasi-</w:t>
      </w:r>
      <w:r w:rsidR="00734C25" w:rsidRPr="005C3EC8">
        <w:rPr>
          <w:rFonts w:ascii="Calibri" w:hAnsi="Calibri"/>
        </w:rPr>
        <w:t>fiscal expenditures, social expenditures and contribution of the extractive sector to the economy).</w:t>
      </w:r>
    </w:p>
    <w:p w14:paraId="03BC28D3" w14:textId="016F177E" w:rsidR="000722F1" w:rsidRPr="005C3EC8" w:rsidRDefault="00F17D2C">
      <w:pPr>
        <w:pStyle w:val="Heading2notindexed"/>
      </w:pPr>
      <w:bookmarkStart w:id="347" w:name="_Toc459133188"/>
      <w:bookmarkStart w:id="348" w:name="_Toc461803138"/>
      <w:bookmarkStart w:id="349" w:name="_Toc461787358"/>
      <w:bookmarkStart w:id="350" w:name="_Toc461795870"/>
      <w:r w:rsidRPr="005C3EC8">
        <w:t xml:space="preserve">6.2 </w:t>
      </w:r>
      <w:r w:rsidR="000722F1" w:rsidRPr="005C3EC8">
        <w:t>Assessment</w:t>
      </w:r>
      <w:bookmarkEnd w:id="347"/>
      <w:bookmarkEnd w:id="348"/>
      <w:bookmarkEnd w:id="349"/>
      <w:bookmarkEnd w:id="350"/>
    </w:p>
    <w:p w14:paraId="3BFEE166" w14:textId="238BD1BC" w:rsidR="00436407" w:rsidRPr="005C3EC8" w:rsidRDefault="00436407" w:rsidP="0097728B">
      <w:pPr>
        <w:pStyle w:val="Heading2"/>
      </w:pPr>
      <w:bookmarkStart w:id="351" w:name="_Toc459133189"/>
      <w:bookmarkStart w:id="352" w:name="_Toc461803139"/>
      <w:bookmarkStart w:id="353" w:name="_Toc461787359"/>
      <w:bookmarkStart w:id="354" w:name="_Toc461795871"/>
      <w:bookmarkStart w:id="355" w:name="_Toc462149203"/>
      <w:bookmarkStart w:id="356" w:name="_Hlk520649942"/>
      <w:r w:rsidRPr="005C3EC8">
        <w:t>Social expenditures (#6.1)</w:t>
      </w:r>
      <w:bookmarkEnd w:id="351"/>
      <w:bookmarkEnd w:id="352"/>
      <w:bookmarkEnd w:id="353"/>
      <w:bookmarkEnd w:id="354"/>
      <w:bookmarkEnd w:id="355"/>
    </w:p>
    <w:bookmarkEnd w:id="356"/>
    <w:p w14:paraId="120787F8" w14:textId="4F8F02DF" w:rsidR="006112C8" w:rsidRPr="005C3EC8" w:rsidRDefault="002051F4" w:rsidP="0097728B">
      <w:pPr>
        <w:pStyle w:val="Heading3"/>
      </w:pPr>
      <w:r w:rsidRPr="005C3EC8">
        <w:t xml:space="preserve">Documentation of progress </w:t>
      </w:r>
    </w:p>
    <w:p w14:paraId="19BCAE53" w14:textId="3B2F4413" w:rsidR="00106EFB" w:rsidRPr="005C3EC8" w:rsidRDefault="00106EFB" w:rsidP="00106EFB">
      <w:pPr>
        <w:spacing w:before="120"/>
        <w:rPr>
          <w:rFonts w:ascii="Calibri" w:hAnsi="Calibri"/>
        </w:rPr>
      </w:pPr>
      <w:r w:rsidRPr="005C3EC8">
        <w:rPr>
          <w:rFonts w:ascii="Calibri" w:hAnsi="Calibri"/>
          <w:b/>
          <w:i/>
        </w:rPr>
        <w:t>Systematic disclosures</w:t>
      </w:r>
      <w:r w:rsidRPr="005C3EC8">
        <w:rPr>
          <w:rFonts w:ascii="Calibri" w:hAnsi="Calibri"/>
          <w:i/>
        </w:rPr>
        <w:t xml:space="preserve">: </w:t>
      </w:r>
      <w:r w:rsidR="00DF162E" w:rsidRPr="005C3EC8">
        <w:rPr>
          <w:rFonts w:ascii="Calibri" w:hAnsi="Calibri"/>
        </w:rPr>
        <w:t>The UK’s Local Government Association provides an overview of Section 106</w:t>
      </w:r>
      <w:r w:rsidR="00DF162E" w:rsidRPr="005C3EC8">
        <w:rPr>
          <w:rStyle w:val="FootnoteReference"/>
          <w:rFonts w:ascii="Calibri" w:hAnsi="Calibri"/>
        </w:rPr>
        <w:footnoteReference w:id="362"/>
      </w:r>
      <w:r w:rsidR="00DF162E" w:rsidRPr="005C3EC8">
        <w:rPr>
          <w:rFonts w:ascii="Calibri" w:hAnsi="Calibri"/>
        </w:rPr>
        <w:t xml:space="preserve"> payments to local authorities, including links to relevant legislation and regulations.</w:t>
      </w:r>
      <w:r w:rsidR="00DF162E" w:rsidRPr="005C3EC8">
        <w:rPr>
          <w:rStyle w:val="FootnoteReference"/>
          <w:rFonts w:ascii="Calibri" w:hAnsi="Calibri"/>
        </w:rPr>
        <w:footnoteReference w:id="363"/>
      </w:r>
      <w:r w:rsidR="00453A7E" w:rsidRPr="005C3EC8">
        <w:rPr>
          <w:rFonts w:ascii="Calibri" w:hAnsi="Calibri"/>
        </w:rPr>
        <w:t xml:space="preserve"> While several Local Planning Authorities’ websites provide the full text of planning agreements, which include Section 106 agreements defining the types of off-site in-kind infrastructure contributions agreed for specific companies, it is unclear whether all Local Planning Authorities systematically publish these agreements. </w:t>
      </w:r>
      <w:r w:rsidR="003A08CD" w:rsidRPr="005C3EC8">
        <w:rPr>
          <w:rFonts w:ascii="Calibri" w:hAnsi="Calibri"/>
        </w:rPr>
        <w:t>It appears that some Local Planning Authorities publish details of expenditures under Section 106 agreements</w:t>
      </w:r>
      <w:r w:rsidR="003A08CD" w:rsidRPr="005C3EC8">
        <w:rPr>
          <w:rStyle w:val="FootnoteReference"/>
          <w:rFonts w:ascii="Calibri" w:hAnsi="Calibri"/>
        </w:rPr>
        <w:footnoteReference w:id="364"/>
      </w:r>
      <w:r w:rsidR="003A08CD" w:rsidRPr="005C3EC8">
        <w:rPr>
          <w:rFonts w:ascii="Calibri" w:hAnsi="Calibri"/>
        </w:rPr>
        <w:t xml:space="preserve">, although this practice seems inconsistent across all Local Authorities and such publications appear ad hoc. </w:t>
      </w:r>
    </w:p>
    <w:p w14:paraId="5829F389" w14:textId="76EF34F9" w:rsidR="00956DB1" w:rsidRPr="005C3EC8" w:rsidRDefault="00106EFB" w:rsidP="00106EFB">
      <w:pPr>
        <w:spacing w:before="120"/>
        <w:rPr>
          <w:rFonts w:ascii="Calibri" w:hAnsi="Calibri"/>
        </w:rPr>
      </w:pPr>
      <w:r w:rsidRPr="005C3EC8">
        <w:rPr>
          <w:rFonts w:ascii="Calibri" w:hAnsi="Calibri"/>
          <w:b/>
          <w:i/>
        </w:rPr>
        <w:t>2016 EITI Report</w:t>
      </w:r>
      <w:r w:rsidRPr="005C3EC8">
        <w:rPr>
          <w:rFonts w:ascii="Calibri" w:hAnsi="Calibri"/>
          <w:i/>
        </w:rPr>
        <w:t>:</w:t>
      </w:r>
      <w:r w:rsidRPr="005C3EC8">
        <w:rPr>
          <w:rFonts w:ascii="Calibri" w:hAnsi="Calibri"/>
        </w:rPr>
        <w:t xml:space="preserve"> </w:t>
      </w:r>
      <w:r w:rsidR="003616B2" w:rsidRPr="005C3EC8">
        <w:rPr>
          <w:rFonts w:ascii="Calibri" w:hAnsi="Calibri"/>
        </w:rPr>
        <w:t xml:space="preserve">The </w:t>
      </w:r>
      <w:r w:rsidR="00280FD4" w:rsidRPr="005C3EC8">
        <w:rPr>
          <w:rFonts w:ascii="Calibri" w:hAnsi="Calibri"/>
        </w:rPr>
        <w:t>2018 EITI R</w:t>
      </w:r>
      <w:r w:rsidR="003616B2" w:rsidRPr="005C3EC8">
        <w:rPr>
          <w:rFonts w:ascii="Calibri" w:hAnsi="Calibri"/>
        </w:rPr>
        <w:t>eport states that Section 106 payments to local authorities</w:t>
      </w:r>
      <w:r w:rsidR="00280FD4" w:rsidRPr="005C3EC8">
        <w:rPr>
          <w:rFonts w:ascii="Calibri" w:hAnsi="Calibri"/>
        </w:rPr>
        <w:t>, related</w:t>
      </w:r>
      <w:r w:rsidR="003616B2" w:rsidRPr="005C3EC8">
        <w:rPr>
          <w:rFonts w:ascii="Calibri" w:hAnsi="Calibri"/>
        </w:rPr>
        <w:t xml:space="preserve"> to the granting of planning permission for mining operations</w:t>
      </w:r>
      <w:r w:rsidR="00280FD4" w:rsidRPr="005C3EC8">
        <w:rPr>
          <w:rFonts w:ascii="Calibri" w:hAnsi="Calibri"/>
        </w:rPr>
        <w:t>,</w:t>
      </w:r>
      <w:r w:rsidR="003616B2" w:rsidRPr="005C3EC8">
        <w:rPr>
          <w:rFonts w:ascii="Calibri" w:hAnsi="Calibri"/>
        </w:rPr>
        <w:t xml:space="preserve"> are the only payments currently mandated by Government </w:t>
      </w:r>
      <w:r w:rsidR="00DF162E" w:rsidRPr="005C3EC8">
        <w:rPr>
          <w:rFonts w:ascii="Calibri" w:hAnsi="Calibri"/>
        </w:rPr>
        <w:t>“</w:t>
      </w:r>
      <w:r w:rsidR="003616B2" w:rsidRPr="005C3EC8">
        <w:rPr>
          <w:rFonts w:ascii="Calibri" w:hAnsi="Calibri"/>
        </w:rPr>
        <w:t>that could possibly constitute social expenditure</w:t>
      </w:r>
      <w:r w:rsidR="0081081D" w:rsidRPr="005C3EC8">
        <w:rPr>
          <w:rFonts w:ascii="Calibri" w:hAnsi="Calibri"/>
        </w:rPr>
        <w:t>s</w:t>
      </w:r>
      <w:r w:rsidR="003616B2" w:rsidRPr="005C3EC8">
        <w:rPr>
          <w:rFonts w:ascii="Calibri" w:hAnsi="Calibri"/>
        </w:rPr>
        <w:t xml:space="preserve"> by extractive</w:t>
      </w:r>
      <w:r w:rsidR="0081081D" w:rsidRPr="005C3EC8">
        <w:rPr>
          <w:rFonts w:ascii="Calibri" w:hAnsi="Calibri"/>
        </w:rPr>
        <w:t>s</w:t>
      </w:r>
      <w:r w:rsidR="003616B2" w:rsidRPr="005C3EC8">
        <w:rPr>
          <w:rFonts w:ascii="Calibri" w:hAnsi="Calibri"/>
        </w:rPr>
        <w:t xml:space="preserve"> companies</w:t>
      </w:r>
      <w:r w:rsidR="00DF162E" w:rsidRPr="005C3EC8">
        <w:rPr>
          <w:rFonts w:ascii="Calibri" w:hAnsi="Calibri"/>
        </w:rPr>
        <w:t>”</w:t>
      </w:r>
      <w:r w:rsidR="003616B2" w:rsidRPr="005C3EC8">
        <w:rPr>
          <w:rFonts w:ascii="Calibri" w:hAnsi="Calibri"/>
        </w:rPr>
        <w:t xml:space="preserve"> (p.20). </w:t>
      </w:r>
      <w:r w:rsidR="00956DB1" w:rsidRPr="005C3EC8">
        <w:rPr>
          <w:rFonts w:ascii="Calibri" w:hAnsi="Calibri"/>
        </w:rPr>
        <w:t>Of these Section 106 payments, t</w:t>
      </w:r>
      <w:r w:rsidR="003616B2" w:rsidRPr="005C3EC8">
        <w:rPr>
          <w:rFonts w:ascii="Calibri" w:hAnsi="Calibri"/>
        </w:rPr>
        <w:t xml:space="preserve">he report describes “in-kind” infrastructure provisions, </w:t>
      </w:r>
      <w:r w:rsidR="00956DB1" w:rsidRPr="005C3EC8">
        <w:rPr>
          <w:rFonts w:ascii="Calibri" w:hAnsi="Calibri"/>
        </w:rPr>
        <w:t xml:space="preserve">which </w:t>
      </w:r>
      <w:r w:rsidR="003616B2" w:rsidRPr="005C3EC8">
        <w:rPr>
          <w:rFonts w:ascii="Calibri" w:hAnsi="Calibri"/>
        </w:rPr>
        <w:t>are either of benefit to the company only (on-site) or to the host community (off-site)</w:t>
      </w:r>
      <w:r w:rsidR="00956DB1" w:rsidRPr="005C3EC8">
        <w:rPr>
          <w:rFonts w:ascii="Calibri" w:hAnsi="Calibri"/>
        </w:rPr>
        <w:t xml:space="preserve">, and </w:t>
      </w:r>
      <w:r w:rsidR="003616B2" w:rsidRPr="005C3EC8">
        <w:rPr>
          <w:rFonts w:ascii="Calibri" w:hAnsi="Calibri"/>
        </w:rPr>
        <w:t>confirms that only off-site infrastructure provisions were included in the scope of EITI reporting (p.61).</w:t>
      </w:r>
    </w:p>
    <w:p w14:paraId="1CB8D5F9" w14:textId="448D1920" w:rsidR="008A2C62" w:rsidRPr="005C3EC8" w:rsidRDefault="003A08CD" w:rsidP="003A08CD">
      <w:pPr>
        <w:spacing w:before="120"/>
        <w:rPr>
          <w:rFonts w:ascii="Calibri" w:hAnsi="Calibri"/>
        </w:rPr>
      </w:pPr>
      <w:r w:rsidRPr="005C3EC8">
        <w:rPr>
          <w:rFonts w:ascii="Calibri" w:hAnsi="Calibri"/>
        </w:rPr>
        <w:t xml:space="preserve">The report explains that companies were requested to unilaterally disclose the value of these “planning obligation payments”, due to </w:t>
      </w:r>
      <w:r w:rsidR="008A2C62" w:rsidRPr="005C3EC8">
        <w:rPr>
          <w:rFonts w:ascii="Calibri" w:hAnsi="Calibri"/>
        </w:rPr>
        <w:t xml:space="preserve">the lack of central record of </w:t>
      </w:r>
      <w:r w:rsidRPr="005C3EC8">
        <w:rPr>
          <w:rFonts w:ascii="Calibri" w:hAnsi="Calibri"/>
        </w:rPr>
        <w:t xml:space="preserve">such </w:t>
      </w:r>
      <w:r w:rsidR="008A2C62" w:rsidRPr="005C3EC8">
        <w:rPr>
          <w:rFonts w:ascii="Calibri" w:hAnsi="Calibri"/>
        </w:rPr>
        <w:t xml:space="preserve">payments and the low value of total payments in 2016 (p.70). </w:t>
      </w:r>
      <w:r w:rsidRPr="005C3EC8">
        <w:rPr>
          <w:rFonts w:ascii="Calibri" w:hAnsi="Calibri"/>
        </w:rPr>
        <w:t xml:space="preserve">The report provides the value of payments reported under this category, GBP 98,012 in 2016 (p.70), which can be calculated as representing </w:t>
      </w:r>
      <w:r w:rsidR="008A2C62" w:rsidRPr="005C3EC8">
        <w:rPr>
          <w:rFonts w:ascii="Calibri" w:hAnsi="Calibri"/>
        </w:rPr>
        <w:t xml:space="preserve">0.16% of total government revenues from mining and quarrying, based on </w:t>
      </w:r>
      <w:r w:rsidRPr="005C3EC8">
        <w:rPr>
          <w:rFonts w:ascii="Calibri" w:hAnsi="Calibri"/>
        </w:rPr>
        <w:t xml:space="preserve">the government’s full unilateral disclosure </w:t>
      </w:r>
      <w:r w:rsidR="008A2C62" w:rsidRPr="005C3EC8">
        <w:rPr>
          <w:rFonts w:ascii="Calibri" w:hAnsi="Calibri"/>
        </w:rPr>
        <w:t xml:space="preserve">(p.12). </w:t>
      </w:r>
      <w:r w:rsidRPr="005C3EC8">
        <w:rPr>
          <w:rFonts w:ascii="Calibri" w:hAnsi="Calibri"/>
        </w:rPr>
        <w:t xml:space="preserve">However, the report does not disaggregate the value of these mandatory social expenditures by company or project, nor provide the nature of such in-kind contributions nor define the identity of beneficiaries. </w:t>
      </w:r>
    </w:p>
    <w:p w14:paraId="69162D37" w14:textId="3696BB12" w:rsidR="006112C8" w:rsidRPr="005C3EC8" w:rsidRDefault="002051F4">
      <w:pPr>
        <w:pStyle w:val="Heading3"/>
      </w:pPr>
      <w:r w:rsidRPr="005C3EC8">
        <w:lastRenderedPageBreak/>
        <w:t xml:space="preserve">Stakeholder views </w:t>
      </w:r>
    </w:p>
    <w:p w14:paraId="016E609A" w14:textId="2C211AD4" w:rsidR="00532DA1" w:rsidRPr="005C3EC8" w:rsidRDefault="00D17CB2" w:rsidP="00D17CB2">
      <w:pPr>
        <w:spacing w:before="120"/>
        <w:rPr>
          <w:rFonts w:ascii="Calibri" w:hAnsi="Calibri"/>
        </w:rPr>
      </w:pPr>
      <w:r w:rsidRPr="005C3EC8">
        <w:rPr>
          <w:rFonts w:ascii="Calibri" w:hAnsi="Calibri"/>
        </w:rPr>
        <w:t xml:space="preserve">An independent industry expert explained that Section 106 agreements were negotiated directly between companies and local planning authorities, but were not specific to extractives activities and were required for all planning permissions for onshore activities. While confirming that these agreements specified the required expenditures under Section 106, the expert was not aware of whether these Section 106 agreements were publicly-accessible, even if he considered that these could not be considered confidential. </w:t>
      </w:r>
      <w:r w:rsidR="00532DA1" w:rsidRPr="005C3EC8">
        <w:rPr>
          <w:rFonts w:ascii="Calibri" w:hAnsi="Calibri"/>
        </w:rPr>
        <w:t xml:space="preserve">Several industry MSG members confirmed that the MSG had agreed to consider Section 106 payments for in-kind infrastructure works to represent mandatory social expenditures. They confirmed that Section 106 agreements were publicly accessible, given that they were part of planning agreements, but that there was no centralised register of planning agreements as these were held by the local planning authorities. </w:t>
      </w:r>
      <w:r w:rsidR="00A25A0E" w:rsidRPr="005C3EC8">
        <w:rPr>
          <w:rFonts w:ascii="Calibri" w:hAnsi="Calibri"/>
        </w:rPr>
        <w:t xml:space="preserve">An industry expert confirmed that Section 106 expenditures on infrastructure were usually provided in kind, rather than in cash. It was explained that the most common type of Section 106 in-kind infrastructure expenditures consisted of road improvement works. The expert considered that greater clarity on the deemed value of Section 106 in-kind infrastructure expenditures would be helpful for public debate at the local level. Several CSN representatives confirmed the lack of central database for planning agreements in the UK and confirmed that none of their constituents nor the MSG had sought to request either Section 106 agreements (as part of planning permits) or Section 106 payments from Local Planning Authorities hosting material companies. However, one CSN representative considered that Section 106 agreements were accessible from Local Planning Authorities, in some cases from their websites. </w:t>
      </w:r>
    </w:p>
    <w:p w14:paraId="5D98AD37" w14:textId="4AF01AA1" w:rsidR="00D17CB2" w:rsidRPr="005C3EC8" w:rsidRDefault="00D17CB2" w:rsidP="002051F4">
      <w:pPr>
        <w:spacing w:before="120"/>
        <w:rPr>
          <w:rFonts w:ascii="Calibri" w:hAnsi="Calibri"/>
        </w:rPr>
      </w:pPr>
      <w:r w:rsidRPr="005C3EC8">
        <w:rPr>
          <w:rFonts w:ascii="Calibri" w:hAnsi="Calibri"/>
        </w:rPr>
        <w:t xml:space="preserve">Several industry MSG members considered that a majority of annual payments for Section 106 in-kind infrastructure were below GBP 86,000 and thus noted that many companies may not have reported them, since the MSG considered that payments below the GBP 86,000 threshold were not required to be reported. The IA confirmed that data on “planning obligation payments” in the 2016 EITI Report (p.70) worth GBP 98,012 represented Section 106 off-site in-kind infrastructure payments reported by a single material company, Tarmac Holdings Ltd. However, the IA confirmed that it had not requested details on the identity of the beneficiary nor the nature of this in-kind infrastructure payment. </w:t>
      </w:r>
      <w:r w:rsidR="00A25A0E" w:rsidRPr="005C3EC8">
        <w:rPr>
          <w:rFonts w:ascii="Calibri" w:hAnsi="Calibri"/>
        </w:rPr>
        <w:t>Several industry MSG members confirmed that the EITI reporting templates had not required companies to report the deemed value of Section 106 in-kind infrastructure expenditures despite the MSG’s categorisation of these payments as mandatory social expenditures. A government official considered that, i</w:t>
      </w:r>
      <w:r w:rsidRPr="005C3EC8">
        <w:rPr>
          <w:rFonts w:ascii="Calibri" w:hAnsi="Calibri"/>
        </w:rPr>
        <w:t xml:space="preserve">n hindsight, </w:t>
      </w:r>
      <w:r w:rsidR="00A25A0E" w:rsidRPr="005C3EC8">
        <w:rPr>
          <w:rFonts w:ascii="Calibri" w:hAnsi="Calibri"/>
        </w:rPr>
        <w:t xml:space="preserve">Section 106 payments </w:t>
      </w:r>
      <w:r w:rsidRPr="005C3EC8">
        <w:rPr>
          <w:rFonts w:ascii="Calibri" w:hAnsi="Calibri"/>
        </w:rPr>
        <w:t xml:space="preserve">should probably be </w:t>
      </w:r>
      <w:r w:rsidR="00A25A0E" w:rsidRPr="005C3EC8">
        <w:rPr>
          <w:rFonts w:ascii="Calibri" w:hAnsi="Calibri"/>
        </w:rPr>
        <w:t xml:space="preserve">not have been </w:t>
      </w:r>
      <w:r w:rsidRPr="005C3EC8">
        <w:rPr>
          <w:rFonts w:ascii="Calibri" w:hAnsi="Calibri"/>
        </w:rPr>
        <w:t xml:space="preserve">deemed material. </w:t>
      </w:r>
    </w:p>
    <w:p w14:paraId="1E4AB79F" w14:textId="11222BD9" w:rsidR="00436407" w:rsidRPr="005C3EC8" w:rsidRDefault="00BA52AA">
      <w:pPr>
        <w:pStyle w:val="Heading3"/>
      </w:pPr>
      <w:bookmarkStart w:id="357" w:name="_Toc459133192"/>
      <w:bookmarkStart w:id="358" w:name="_Toc461803142"/>
      <w:r w:rsidRPr="005C3EC8">
        <w:t>Initial a</w:t>
      </w:r>
      <w:r w:rsidR="00436407" w:rsidRPr="005C3EC8">
        <w:t>ssessment</w:t>
      </w:r>
      <w:bookmarkEnd w:id="357"/>
      <w:bookmarkEnd w:id="358"/>
    </w:p>
    <w:p w14:paraId="5D8E8251" w14:textId="51BC40D1" w:rsidR="000722F1" w:rsidRPr="005C3EC8" w:rsidRDefault="002051F4" w:rsidP="00711D1A">
      <w:pPr>
        <w:rPr>
          <w:rFonts w:ascii="Calibri" w:hAnsi="Calibri"/>
        </w:rPr>
      </w:pPr>
      <w:r w:rsidRPr="005C3EC8">
        <w:rPr>
          <w:rFonts w:ascii="Calibri" w:hAnsi="Calibri"/>
        </w:rPr>
        <w:t xml:space="preserve">The International Secretariat’s initial assessment is that </w:t>
      </w:r>
      <w:r w:rsidR="002E21D0" w:rsidRPr="005C3EC8">
        <w:rPr>
          <w:rFonts w:ascii="Calibri" w:hAnsi="Calibri"/>
          <w:bCs/>
        </w:rPr>
        <w:t>the UK</w:t>
      </w:r>
      <w:r w:rsidR="00922ED3" w:rsidRPr="005C3EC8">
        <w:rPr>
          <w:rFonts w:ascii="Calibri" w:hAnsi="Calibri"/>
        </w:rPr>
        <w:t xml:space="preserve"> </w:t>
      </w:r>
      <w:r w:rsidRPr="005C3EC8">
        <w:rPr>
          <w:rFonts w:ascii="Calibri" w:hAnsi="Calibri"/>
        </w:rPr>
        <w:t xml:space="preserve">has made </w:t>
      </w:r>
      <w:r w:rsidR="0073286A" w:rsidRPr="003B7537">
        <w:rPr>
          <w:rFonts w:ascii="Calibri" w:hAnsi="Calibri"/>
          <w:b/>
          <w:bCs/>
        </w:rPr>
        <w:t>meaningful</w:t>
      </w:r>
      <w:r w:rsidR="002E21D0" w:rsidRPr="00A46237">
        <w:rPr>
          <w:rFonts w:ascii="Calibri" w:hAnsi="Calibri"/>
          <w:b/>
          <w:bCs/>
        </w:rPr>
        <w:t xml:space="preserve"> </w:t>
      </w:r>
      <w:r w:rsidRPr="003B7537">
        <w:rPr>
          <w:rFonts w:ascii="Calibri" w:hAnsi="Calibri"/>
          <w:b/>
        </w:rPr>
        <w:t>progress</w:t>
      </w:r>
      <w:r w:rsidRPr="005C3EC8">
        <w:rPr>
          <w:rFonts w:ascii="Calibri" w:hAnsi="Calibri"/>
        </w:rPr>
        <w:t xml:space="preserve"> towards meeting this requirement. </w:t>
      </w:r>
      <w:r w:rsidR="002E21D0" w:rsidRPr="005C3EC8">
        <w:rPr>
          <w:rFonts w:ascii="Calibri" w:hAnsi="Calibri"/>
        </w:rPr>
        <w:t>While t</w:t>
      </w:r>
      <w:r w:rsidR="00DE14DA" w:rsidRPr="005C3EC8">
        <w:rPr>
          <w:rFonts w:ascii="Calibri" w:hAnsi="Calibri"/>
        </w:rPr>
        <w:t>he 2016 EITI Report</w:t>
      </w:r>
      <w:r w:rsidR="002E21D0" w:rsidRPr="005C3EC8">
        <w:rPr>
          <w:rFonts w:ascii="Calibri" w:hAnsi="Calibri"/>
        </w:rPr>
        <w:t xml:space="preserve"> appears to confirm the MSG’s view that mining companies’ provisions of off-site </w:t>
      </w:r>
      <w:r w:rsidR="0073286A" w:rsidRPr="005C3EC8">
        <w:rPr>
          <w:rFonts w:ascii="Calibri" w:hAnsi="Calibri"/>
        </w:rPr>
        <w:t xml:space="preserve">in-kind </w:t>
      </w:r>
      <w:r w:rsidR="002E21D0" w:rsidRPr="005C3EC8">
        <w:rPr>
          <w:rFonts w:ascii="Calibri" w:hAnsi="Calibri"/>
        </w:rPr>
        <w:t xml:space="preserve">infrastructure, as part of </w:t>
      </w:r>
      <w:r w:rsidR="0073286A" w:rsidRPr="005C3EC8">
        <w:rPr>
          <w:rFonts w:ascii="Calibri" w:hAnsi="Calibri"/>
        </w:rPr>
        <w:t>local planning agreements</w:t>
      </w:r>
      <w:r w:rsidR="002E21D0" w:rsidRPr="005C3EC8">
        <w:rPr>
          <w:rFonts w:ascii="Calibri" w:hAnsi="Calibri"/>
        </w:rPr>
        <w:t xml:space="preserve">, constitute a form of mandatory social expenditures. However, </w:t>
      </w:r>
      <w:r w:rsidR="0073286A" w:rsidRPr="005C3EC8">
        <w:rPr>
          <w:rFonts w:ascii="Calibri" w:hAnsi="Calibri"/>
        </w:rPr>
        <w:t xml:space="preserve">while </w:t>
      </w:r>
      <w:r w:rsidR="002E21D0" w:rsidRPr="005C3EC8">
        <w:rPr>
          <w:rFonts w:ascii="Calibri" w:hAnsi="Calibri"/>
        </w:rPr>
        <w:t xml:space="preserve">the 2016 EITI Report </w:t>
      </w:r>
      <w:r w:rsidR="0073286A" w:rsidRPr="005C3EC8">
        <w:rPr>
          <w:rFonts w:ascii="Calibri" w:hAnsi="Calibri"/>
        </w:rPr>
        <w:t xml:space="preserve">provides the aggregate value of </w:t>
      </w:r>
      <w:r w:rsidR="002E21D0" w:rsidRPr="005C3EC8">
        <w:rPr>
          <w:rFonts w:ascii="Calibri" w:hAnsi="Calibri"/>
        </w:rPr>
        <w:t xml:space="preserve">mandatory social expenditures </w:t>
      </w:r>
      <w:r w:rsidR="0073286A" w:rsidRPr="005C3EC8">
        <w:rPr>
          <w:rFonts w:ascii="Calibri" w:hAnsi="Calibri"/>
        </w:rPr>
        <w:t>reported by one company, it does not provide the nature of in-kind mandatory social expenditures nor confirm the identity of the beneficiary(</w:t>
      </w:r>
      <w:proofErr w:type="spellStart"/>
      <w:r w:rsidR="0073286A" w:rsidRPr="005C3EC8">
        <w:rPr>
          <w:rFonts w:ascii="Calibri" w:hAnsi="Calibri"/>
        </w:rPr>
        <w:t>ies</w:t>
      </w:r>
      <w:proofErr w:type="spellEnd"/>
      <w:r w:rsidR="0073286A" w:rsidRPr="005C3EC8">
        <w:rPr>
          <w:rFonts w:ascii="Calibri" w:hAnsi="Calibri"/>
        </w:rPr>
        <w:t xml:space="preserve">). </w:t>
      </w:r>
    </w:p>
    <w:p w14:paraId="49BEEFE3" w14:textId="7A7CA95C" w:rsidR="007F563C" w:rsidRPr="005C3EC8" w:rsidRDefault="00B97C24" w:rsidP="00711D1A">
      <w:pPr>
        <w:rPr>
          <w:rFonts w:ascii="Calibri" w:hAnsi="Calibri"/>
        </w:rPr>
      </w:pPr>
      <w:r w:rsidRPr="005C3EC8">
        <w:rPr>
          <w:rFonts w:ascii="Calibri" w:hAnsi="Calibri"/>
        </w:rPr>
        <w:t xml:space="preserve">In accordance with Requirement 6.1, </w:t>
      </w:r>
      <w:r w:rsidR="007F563C" w:rsidRPr="005C3EC8">
        <w:rPr>
          <w:rFonts w:ascii="Calibri" w:hAnsi="Calibri"/>
        </w:rPr>
        <w:t xml:space="preserve">the UK should assess the materiality of mandatory social expenditures ahead of future EITI reporting and ensure that reporting of mandatory social expenditures </w:t>
      </w:r>
      <w:r w:rsidR="007F563C" w:rsidRPr="005C3EC8">
        <w:rPr>
          <w:rFonts w:ascii="Calibri" w:hAnsi="Calibri"/>
        </w:rPr>
        <w:lastRenderedPageBreak/>
        <w:t>be disaggregated by type of payment</w:t>
      </w:r>
      <w:r w:rsidR="0073286A" w:rsidRPr="005C3EC8">
        <w:rPr>
          <w:rFonts w:ascii="Calibri" w:hAnsi="Calibri"/>
        </w:rPr>
        <w:t xml:space="preserve">, nature of </w:t>
      </w:r>
      <w:r w:rsidR="003D49CF" w:rsidRPr="005C3EC8">
        <w:rPr>
          <w:rFonts w:ascii="Calibri" w:hAnsi="Calibri"/>
        </w:rPr>
        <w:t>in-kind contributions</w:t>
      </w:r>
      <w:r w:rsidR="007F563C" w:rsidRPr="005C3EC8">
        <w:rPr>
          <w:rFonts w:ascii="Calibri" w:hAnsi="Calibri"/>
        </w:rPr>
        <w:t xml:space="preserve"> and beneficiary</w:t>
      </w:r>
      <w:r w:rsidR="003D49CF" w:rsidRPr="005C3EC8">
        <w:rPr>
          <w:rFonts w:ascii="Calibri" w:hAnsi="Calibri"/>
        </w:rPr>
        <w:t>(</w:t>
      </w:r>
      <w:proofErr w:type="spellStart"/>
      <w:r w:rsidR="003D49CF" w:rsidRPr="005C3EC8">
        <w:rPr>
          <w:rFonts w:ascii="Calibri" w:hAnsi="Calibri"/>
        </w:rPr>
        <w:t>ies</w:t>
      </w:r>
      <w:proofErr w:type="spellEnd"/>
      <w:r w:rsidR="003D49CF" w:rsidRPr="005C3EC8">
        <w:rPr>
          <w:rFonts w:ascii="Calibri" w:hAnsi="Calibri"/>
        </w:rPr>
        <w:t>)</w:t>
      </w:r>
      <w:r w:rsidR="007F563C" w:rsidRPr="005C3EC8">
        <w:rPr>
          <w:rFonts w:ascii="Calibri" w:hAnsi="Calibri"/>
        </w:rPr>
        <w:t xml:space="preserve">, clarifying the name and function of any non-government (third-party) beneficiaries </w:t>
      </w:r>
      <w:r w:rsidR="009B5D92" w:rsidRPr="005C3EC8">
        <w:rPr>
          <w:rFonts w:ascii="Calibri" w:hAnsi="Calibri"/>
        </w:rPr>
        <w:t>where applicable</w:t>
      </w:r>
      <w:r w:rsidR="007F563C" w:rsidRPr="005C3EC8">
        <w:rPr>
          <w:rFonts w:ascii="Calibri" w:hAnsi="Calibri"/>
        </w:rPr>
        <w:t>.</w:t>
      </w:r>
    </w:p>
    <w:p w14:paraId="53B41843" w14:textId="77777777" w:rsidR="000722F1" w:rsidRPr="005C3EC8" w:rsidRDefault="000722F1" w:rsidP="0097728B">
      <w:pPr>
        <w:pStyle w:val="Heading2"/>
      </w:pPr>
      <w:bookmarkStart w:id="359" w:name="_Toc459133193"/>
      <w:bookmarkStart w:id="360" w:name="_Toc461803143"/>
      <w:bookmarkStart w:id="361" w:name="_Toc461787360"/>
      <w:bookmarkStart w:id="362" w:name="_Toc461795872"/>
      <w:bookmarkStart w:id="363" w:name="_Toc462149204"/>
      <w:bookmarkStart w:id="364" w:name="_Toc459133194"/>
      <w:r w:rsidRPr="005C3EC8">
        <w:t>SOE quasi fiscal expenditures (#</w:t>
      </w:r>
      <w:r w:rsidR="00436407" w:rsidRPr="005C3EC8">
        <w:t>6.2</w:t>
      </w:r>
      <w:r w:rsidRPr="005C3EC8">
        <w:t>)</w:t>
      </w:r>
      <w:bookmarkEnd w:id="359"/>
      <w:bookmarkEnd w:id="360"/>
      <w:bookmarkEnd w:id="361"/>
      <w:bookmarkEnd w:id="362"/>
      <w:bookmarkEnd w:id="363"/>
    </w:p>
    <w:bookmarkEnd w:id="364"/>
    <w:p w14:paraId="49F3ADA2" w14:textId="230B0A79" w:rsidR="008D3D27" w:rsidRPr="005C3EC8" w:rsidRDefault="002051F4" w:rsidP="0097728B">
      <w:pPr>
        <w:pStyle w:val="Heading3"/>
      </w:pPr>
      <w:r w:rsidRPr="005C3EC8">
        <w:t>Documentation of progress</w:t>
      </w:r>
    </w:p>
    <w:p w14:paraId="2BB00EFD" w14:textId="51E5213E" w:rsidR="00AE4116" w:rsidRPr="005C3EC8" w:rsidRDefault="00AE4116" w:rsidP="00AE4116">
      <w:pPr>
        <w:spacing w:before="120"/>
        <w:rPr>
          <w:rFonts w:ascii="Calibri" w:hAnsi="Calibri"/>
        </w:rPr>
      </w:pPr>
      <w:r w:rsidRPr="005C3EC8">
        <w:rPr>
          <w:rFonts w:ascii="Calibri" w:hAnsi="Calibri"/>
          <w:b/>
          <w:i/>
        </w:rPr>
        <w:t>Systematic disclosures</w:t>
      </w:r>
      <w:r w:rsidRPr="005C3EC8">
        <w:rPr>
          <w:rFonts w:ascii="Calibri" w:hAnsi="Calibri"/>
          <w:i/>
        </w:rPr>
        <w:t xml:space="preserve">: </w:t>
      </w:r>
      <w:r w:rsidRPr="005C3EC8">
        <w:rPr>
          <w:rFonts w:ascii="Calibri" w:hAnsi="Calibri"/>
        </w:rPr>
        <w:t>Not applicable.</w:t>
      </w:r>
    </w:p>
    <w:p w14:paraId="61F20E9D" w14:textId="3D7882CC" w:rsidR="002051F4" w:rsidRPr="005C3EC8" w:rsidRDefault="00AE4116" w:rsidP="002051F4">
      <w:pPr>
        <w:spacing w:before="120"/>
        <w:rPr>
          <w:rFonts w:ascii="Calibri" w:hAnsi="Calibri"/>
        </w:rPr>
      </w:pPr>
      <w:r w:rsidRPr="005C3EC8">
        <w:rPr>
          <w:rFonts w:ascii="Calibri" w:hAnsi="Calibri"/>
          <w:b/>
          <w:i/>
        </w:rPr>
        <w:t>2016 EITI Report</w:t>
      </w:r>
      <w:r w:rsidRPr="005C3EC8">
        <w:rPr>
          <w:rFonts w:ascii="Calibri" w:hAnsi="Calibri"/>
          <w:i/>
        </w:rPr>
        <w:t>:</w:t>
      </w:r>
      <w:r w:rsidRPr="005C3EC8">
        <w:rPr>
          <w:rFonts w:ascii="Calibri" w:hAnsi="Calibri"/>
        </w:rPr>
        <w:t xml:space="preserve"> </w:t>
      </w:r>
      <w:r w:rsidR="002A286A" w:rsidRPr="005C3EC8">
        <w:rPr>
          <w:rFonts w:ascii="Calibri" w:hAnsi="Calibri"/>
        </w:rPr>
        <w:t>The 2016 EITI Report does not comment on the existence of any quasi-fiscal expenditures by the OGA in 2016, aside from stating that there is no state participation in the extractive industries</w:t>
      </w:r>
      <w:r w:rsidR="0071531A" w:rsidRPr="005C3EC8">
        <w:rPr>
          <w:rFonts w:ascii="Calibri" w:hAnsi="Calibri"/>
        </w:rPr>
        <w:t xml:space="preserve"> (p.13). However, the report notes </w:t>
      </w:r>
      <w:r w:rsidR="002A286A" w:rsidRPr="005C3EC8">
        <w:rPr>
          <w:rFonts w:ascii="Calibri" w:hAnsi="Calibri"/>
        </w:rPr>
        <w:t xml:space="preserve">the OGA’s acquisition and interpretation of seismic data, described as a “benefit to industry” (p.13). </w:t>
      </w:r>
    </w:p>
    <w:p w14:paraId="7452B52E" w14:textId="2505FC3C" w:rsidR="00FC3899" w:rsidRPr="005C3EC8" w:rsidRDefault="002051F4">
      <w:pPr>
        <w:pStyle w:val="Heading3"/>
      </w:pPr>
      <w:r w:rsidRPr="005C3EC8">
        <w:t>Stakeholder views</w:t>
      </w:r>
    </w:p>
    <w:p w14:paraId="18D65FE3" w14:textId="64C16F71" w:rsidR="00D17CB2" w:rsidRPr="005C3EC8" w:rsidRDefault="00D17CB2" w:rsidP="002051F4">
      <w:pPr>
        <w:spacing w:before="120"/>
        <w:rPr>
          <w:rFonts w:ascii="Calibri" w:hAnsi="Calibri"/>
        </w:rPr>
      </w:pPr>
      <w:r w:rsidRPr="005C3EC8">
        <w:rPr>
          <w:rFonts w:ascii="Calibri" w:hAnsi="Calibri"/>
        </w:rPr>
        <w:t>An MSG member confirmed that the OGA did not undertake any quasi-fiscal expenditures, confirming that it was the Treasury that had paid for the OGA’s acquisition of seismic data</w:t>
      </w:r>
      <w:r w:rsidR="004318E9" w:rsidRPr="005C3EC8">
        <w:rPr>
          <w:rFonts w:ascii="Calibri" w:hAnsi="Calibri"/>
        </w:rPr>
        <w:t>, which was provided to all companies free of charge</w:t>
      </w:r>
      <w:r w:rsidRPr="005C3EC8">
        <w:rPr>
          <w:rFonts w:ascii="Calibri" w:hAnsi="Calibri"/>
        </w:rPr>
        <w:t>. The member highlighted that the 2016 EITI Report had stated that “the government” had funded this</w:t>
      </w:r>
      <w:r w:rsidR="008A3B69" w:rsidRPr="005C3EC8">
        <w:rPr>
          <w:rFonts w:ascii="Calibri" w:hAnsi="Calibri"/>
        </w:rPr>
        <w:t xml:space="preserve"> work</w:t>
      </w:r>
      <w:r w:rsidRPr="005C3EC8">
        <w:rPr>
          <w:rFonts w:ascii="Calibri" w:hAnsi="Calibri"/>
        </w:rPr>
        <w:t xml:space="preserve"> (p.13), pointing to press releases indicating the Treasury’s funding of two GBP 20m seismic studies</w:t>
      </w:r>
      <w:r w:rsidRPr="005C3EC8">
        <w:rPr>
          <w:rFonts w:ascii="Calibri" w:hAnsi="Calibri"/>
          <w:vertAlign w:val="superscript"/>
        </w:rPr>
        <w:footnoteReference w:id="365"/>
      </w:r>
      <w:r w:rsidRPr="005C3EC8">
        <w:rPr>
          <w:rFonts w:ascii="Calibri" w:hAnsi="Calibri"/>
        </w:rPr>
        <w:t xml:space="preserve"> and a GBP 5m exploration fund.</w:t>
      </w:r>
      <w:r w:rsidRPr="005C3EC8">
        <w:rPr>
          <w:rFonts w:ascii="Calibri" w:hAnsi="Calibri"/>
          <w:vertAlign w:val="superscript"/>
        </w:rPr>
        <w:footnoteReference w:id="366"/>
      </w:r>
    </w:p>
    <w:p w14:paraId="5C34796C" w14:textId="5C2BB958" w:rsidR="002051F4" w:rsidRPr="005C3EC8" w:rsidRDefault="002051F4">
      <w:pPr>
        <w:pStyle w:val="Heading3"/>
      </w:pPr>
      <w:bookmarkStart w:id="365" w:name="_Toc459133196"/>
      <w:bookmarkStart w:id="366" w:name="_Toc461803146"/>
      <w:r w:rsidRPr="005C3EC8">
        <w:t>Initial assessment</w:t>
      </w:r>
      <w:bookmarkEnd w:id="365"/>
      <w:bookmarkEnd w:id="366"/>
    </w:p>
    <w:p w14:paraId="64230BC9" w14:textId="2B21E343" w:rsidR="005D5BAE" w:rsidRPr="005C3EC8" w:rsidRDefault="002051F4" w:rsidP="00D24BEC">
      <w:pPr>
        <w:spacing w:before="120"/>
        <w:rPr>
          <w:rFonts w:ascii="Calibri" w:hAnsi="Calibri"/>
          <w:color w:val="000000" w:themeColor="text1"/>
          <w:lang w:eastAsia="x-none"/>
        </w:rPr>
      </w:pPr>
      <w:r w:rsidRPr="005C3EC8">
        <w:rPr>
          <w:rFonts w:ascii="Calibri" w:hAnsi="Calibri"/>
          <w:color w:val="000000" w:themeColor="text1"/>
          <w:lang w:eastAsia="x-none"/>
        </w:rPr>
        <w:t xml:space="preserve">The International Secretariat’s initial assessment is that </w:t>
      </w:r>
      <w:r w:rsidR="000D1042" w:rsidRPr="005C3EC8">
        <w:rPr>
          <w:rFonts w:ascii="Calibri" w:hAnsi="Calibri"/>
          <w:color w:val="000000" w:themeColor="text1"/>
          <w:lang w:eastAsia="x-none"/>
        </w:rPr>
        <w:t>R</w:t>
      </w:r>
      <w:r w:rsidR="0071531A" w:rsidRPr="005C3EC8">
        <w:rPr>
          <w:rFonts w:ascii="Calibri" w:hAnsi="Calibri"/>
          <w:color w:val="000000" w:themeColor="text1"/>
          <w:lang w:eastAsia="x-none"/>
        </w:rPr>
        <w:t xml:space="preserve">equirement </w:t>
      </w:r>
      <w:r w:rsidR="000D1042" w:rsidRPr="005C3EC8">
        <w:rPr>
          <w:rFonts w:ascii="Calibri" w:hAnsi="Calibri"/>
          <w:color w:val="000000" w:themeColor="text1"/>
          <w:lang w:eastAsia="x-none"/>
        </w:rPr>
        <w:t xml:space="preserve">6.2 is </w:t>
      </w:r>
      <w:r w:rsidR="0071531A" w:rsidRPr="005C3EC8">
        <w:rPr>
          <w:rFonts w:ascii="Calibri" w:hAnsi="Calibri"/>
          <w:color w:val="000000" w:themeColor="text1"/>
          <w:lang w:eastAsia="x-none"/>
        </w:rPr>
        <w:t xml:space="preserve">not applicable to </w:t>
      </w:r>
      <w:r w:rsidR="00DE14DA" w:rsidRPr="005C3EC8">
        <w:rPr>
          <w:rFonts w:ascii="Calibri" w:hAnsi="Calibri"/>
          <w:bCs/>
        </w:rPr>
        <w:t>the UK</w:t>
      </w:r>
      <w:r w:rsidR="00DE14DA" w:rsidRPr="005C3EC8">
        <w:rPr>
          <w:rFonts w:ascii="Calibri" w:hAnsi="Calibri"/>
          <w:color w:val="000000" w:themeColor="text1"/>
          <w:lang w:eastAsia="x-none"/>
        </w:rPr>
        <w:t xml:space="preserve"> </w:t>
      </w:r>
      <w:r w:rsidR="0071531A" w:rsidRPr="005C3EC8">
        <w:rPr>
          <w:rFonts w:ascii="Calibri" w:hAnsi="Calibri"/>
          <w:color w:val="000000" w:themeColor="text1"/>
          <w:lang w:eastAsia="x-none"/>
        </w:rPr>
        <w:t>in the period under review (2016)</w:t>
      </w:r>
      <w:r w:rsidRPr="005C3EC8">
        <w:rPr>
          <w:rFonts w:ascii="Calibri" w:hAnsi="Calibri"/>
          <w:color w:val="000000" w:themeColor="text1"/>
          <w:lang w:eastAsia="x-none"/>
        </w:rPr>
        <w:t xml:space="preserve">. </w:t>
      </w:r>
      <w:r w:rsidR="0071531A" w:rsidRPr="005C3EC8">
        <w:rPr>
          <w:rFonts w:ascii="Calibri" w:hAnsi="Calibri"/>
        </w:rPr>
        <w:t>While t</w:t>
      </w:r>
      <w:r w:rsidR="00DE14DA" w:rsidRPr="005C3EC8">
        <w:rPr>
          <w:rFonts w:ascii="Calibri" w:hAnsi="Calibri"/>
        </w:rPr>
        <w:t>he 2016 EITI Report</w:t>
      </w:r>
      <w:r w:rsidR="0071531A" w:rsidRPr="005C3EC8">
        <w:rPr>
          <w:rFonts w:ascii="Calibri" w:hAnsi="Calibri"/>
        </w:rPr>
        <w:t xml:space="preserve"> does not explicitly comment on the </w:t>
      </w:r>
      <w:r w:rsidR="000D1042" w:rsidRPr="005C3EC8">
        <w:rPr>
          <w:rFonts w:ascii="Calibri" w:hAnsi="Calibri"/>
        </w:rPr>
        <w:t xml:space="preserve">lack </w:t>
      </w:r>
      <w:r w:rsidR="0071531A" w:rsidRPr="005C3EC8">
        <w:rPr>
          <w:rFonts w:ascii="Calibri" w:hAnsi="Calibri"/>
        </w:rPr>
        <w:t xml:space="preserve">of quasi-fiscal expenditures linked to extractives revenues, it clarifies the lack of state participation in the extractive industries. Although </w:t>
      </w:r>
      <w:r w:rsidR="00A73812" w:rsidRPr="005C3EC8">
        <w:rPr>
          <w:rFonts w:ascii="Calibri" w:hAnsi="Calibri"/>
        </w:rPr>
        <w:t xml:space="preserve">the report refers to </w:t>
      </w:r>
      <w:r w:rsidR="0071531A" w:rsidRPr="005C3EC8">
        <w:rPr>
          <w:rFonts w:ascii="Calibri" w:hAnsi="Calibri"/>
        </w:rPr>
        <w:t xml:space="preserve">the OGA’s acquisition </w:t>
      </w:r>
      <w:r w:rsidR="00B64A60" w:rsidRPr="005C3EC8">
        <w:rPr>
          <w:rFonts w:ascii="Calibri" w:hAnsi="Calibri"/>
        </w:rPr>
        <w:t xml:space="preserve">and interpretation </w:t>
      </w:r>
      <w:r w:rsidR="0071531A" w:rsidRPr="005C3EC8">
        <w:rPr>
          <w:rFonts w:ascii="Calibri" w:hAnsi="Calibri"/>
        </w:rPr>
        <w:t xml:space="preserve">of </w:t>
      </w:r>
      <w:r w:rsidR="00B64A60" w:rsidRPr="005C3EC8">
        <w:rPr>
          <w:rFonts w:ascii="Calibri" w:hAnsi="Calibri"/>
        </w:rPr>
        <w:t xml:space="preserve">seismic data for the benefit of industry, </w:t>
      </w:r>
      <w:r w:rsidR="00940424" w:rsidRPr="005C3EC8">
        <w:rPr>
          <w:rFonts w:ascii="Calibri" w:hAnsi="Calibri"/>
        </w:rPr>
        <w:t xml:space="preserve">these expenditures were funded by the government and recorded in the national budget. </w:t>
      </w:r>
    </w:p>
    <w:p w14:paraId="036A8720" w14:textId="77777777" w:rsidR="000722F1" w:rsidRPr="005C3EC8" w:rsidRDefault="000722F1" w:rsidP="0097728B">
      <w:pPr>
        <w:pStyle w:val="Heading2"/>
      </w:pPr>
      <w:bookmarkStart w:id="367" w:name="_Toc459133197"/>
      <w:bookmarkStart w:id="368" w:name="_Toc461803147"/>
      <w:bookmarkStart w:id="369" w:name="_Toc461787361"/>
      <w:bookmarkStart w:id="370" w:name="_Toc461795873"/>
      <w:bookmarkStart w:id="371" w:name="_Toc462149205"/>
      <w:bookmarkStart w:id="372" w:name="_Toc459133198"/>
      <w:r w:rsidRPr="005C3EC8">
        <w:t>Contribution of the extractive sector to the economy (#</w:t>
      </w:r>
      <w:r w:rsidR="00436407" w:rsidRPr="005C3EC8">
        <w:t>6.3</w:t>
      </w:r>
      <w:r w:rsidRPr="005C3EC8">
        <w:t>)</w:t>
      </w:r>
      <w:bookmarkEnd w:id="367"/>
      <w:bookmarkEnd w:id="368"/>
      <w:bookmarkEnd w:id="369"/>
      <w:bookmarkEnd w:id="370"/>
      <w:bookmarkEnd w:id="371"/>
    </w:p>
    <w:bookmarkEnd w:id="372"/>
    <w:p w14:paraId="1A2C27DE" w14:textId="77777777" w:rsidR="008D3D27" w:rsidRPr="005C3EC8" w:rsidRDefault="002051F4" w:rsidP="0097728B">
      <w:pPr>
        <w:pStyle w:val="Heading3"/>
      </w:pPr>
      <w:r w:rsidRPr="005C3EC8">
        <w:t>Documentation of progress</w:t>
      </w:r>
    </w:p>
    <w:p w14:paraId="2AD11890" w14:textId="4F138E15" w:rsidR="00106EFB" w:rsidRPr="005C3EC8" w:rsidRDefault="00106EFB" w:rsidP="00106EFB">
      <w:pPr>
        <w:spacing w:before="120"/>
        <w:rPr>
          <w:rFonts w:ascii="Calibri" w:hAnsi="Calibri"/>
        </w:rPr>
      </w:pPr>
      <w:r w:rsidRPr="005C3EC8">
        <w:rPr>
          <w:rFonts w:ascii="Calibri" w:hAnsi="Calibri"/>
          <w:b/>
          <w:i/>
        </w:rPr>
        <w:t>Systematic disclosures</w:t>
      </w:r>
      <w:r w:rsidRPr="005C3EC8">
        <w:rPr>
          <w:rFonts w:ascii="Calibri" w:hAnsi="Calibri"/>
          <w:i/>
        </w:rPr>
        <w:t xml:space="preserve">: </w:t>
      </w:r>
      <w:r w:rsidR="00947169" w:rsidRPr="005C3EC8">
        <w:rPr>
          <w:rFonts w:ascii="Calibri" w:hAnsi="Calibri"/>
        </w:rPr>
        <w:t xml:space="preserve">In terms of </w:t>
      </w:r>
      <w:r w:rsidR="00947169" w:rsidRPr="005C3EC8">
        <w:rPr>
          <w:rFonts w:ascii="Calibri" w:hAnsi="Calibri"/>
          <w:i/>
        </w:rPr>
        <w:t>GDP</w:t>
      </w:r>
      <w:r w:rsidR="00947169" w:rsidRPr="005C3EC8">
        <w:rPr>
          <w:rFonts w:ascii="Calibri" w:hAnsi="Calibri"/>
        </w:rPr>
        <w:t xml:space="preserve"> contribution, t</w:t>
      </w:r>
      <w:r w:rsidR="00306A56" w:rsidRPr="005C3EC8">
        <w:rPr>
          <w:rFonts w:ascii="Calibri" w:hAnsi="Calibri"/>
        </w:rPr>
        <w:t xml:space="preserve">he Office for National Statistics (ONS) publishes quarterly and annual </w:t>
      </w:r>
      <w:r w:rsidR="00947169" w:rsidRPr="005C3EC8">
        <w:rPr>
          <w:rFonts w:ascii="Calibri" w:hAnsi="Calibri"/>
        </w:rPr>
        <w:t>low-level aggregates of UK output gross value added (GVA)</w:t>
      </w:r>
      <w:r w:rsidR="00947169" w:rsidRPr="005C3EC8">
        <w:rPr>
          <w:rStyle w:val="FootnoteReference"/>
          <w:rFonts w:ascii="Calibri" w:hAnsi="Calibri"/>
        </w:rPr>
        <w:footnoteReference w:id="367"/>
      </w:r>
      <w:r w:rsidR="00947169" w:rsidRPr="005C3EC8">
        <w:rPr>
          <w:rFonts w:ascii="Calibri" w:hAnsi="Calibri"/>
        </w:rPr>
        <w:t xml:space="preserve"> on a constant and current price basis, which include the absolute and relative contribution of the mining and quarrying sector (including fossil fuels). </w:t>
      </w:r>
    </w:p>
    <w:p w14:paraId="32A8051D" w14:textId="4D769CC3" w:rsidR="00106EFB" w:rsidRPr="005C3EC8" w:rsidRDefault="00F704F6" w:rsidP="00106EFB">
      <w:pPr>
        <w:spacing w:before="120"/>
        <w:rPr>
          <w:rFonts w:ascii="Calibri" w:hAnsi="Calibri"/>
        </w:rPr>
      </w:pPr>
      <w:r w:rsidRPr="005C3EC8">
        <w:rPr>
          <w:rFonts w:ascii="Calibri" w:hAnsi="Calibri"/>
        </w:rPr>
        <w:lastRenderedPageBreak/>
        <w:t xml:space="preserve">In terms of </w:t>
      </w:r>
      <w:r w:rsidRPr="005C3EC8">
        <w:rPr>
          <w:rFonts w:ascii="Calibri" w:hAnsi="Calibri"/>
          <w:i/>
        </w:rPr>
        <w:t>government revenues</w:t>
      </w:r>
      <w:r w:rsidRPr="005C3EC8">
        <w:rPr>
          <w:rFonts w:ascii="Calibri" w:hAnsi="Calibri"/>
        </w:rPr>
        <w:t xml:space="preserve"> contribution, HMRC publishes monthly tax revenue information</w:t>
      </w:r>
      <w:r w:rsidRPr="005C3EC8">
        <w:rPr>
          <w:rStyle w:val="FootnoteReference"/>
          <w:rFonts w:ascii="Calibri" w:hAnsi="Calibri"/>
        </w:rPr>
        <w:footnoteReference w:id="368"/>
      </w:r>
      <w:r w:rsidRPr="005C3EC8">
        <w:rPr>
          <w:rFonts w:ascii="Calibri" w:hAnsi="Calibri"/>
        </w:rPr>
        <w:t xml:space="preserve"> on a cash basis, while the ONS publishes tax revenue information</w:t>
      </w:r>
      <w:r w:rsidRPr="005C3EC8">
        <w:rPr>
          <w:rStyle w:val="FootnoteReference"/>
          <w:rFonts w:ascii="Calibri" w:hAnsi="Calibri"/>
        </w:rPr>
        <w:footnoteReference w:id="369"/>
      </w:r>
      <w:r w:rsidRPr="005C3EC8">
        <w:rPr>
          <w:rFonts w:ascii="Calibri" w:hAnsi="Calibri"/>
        </w:rPr>
        <w:t xml:space="preserve"> on an accruals basis for the UK fiscal year. </w:t>
      </w:r>
    </w:p>
    <w:p w14:paraId="510780A5" w14:textId="167540C7" w:rsidR="00F704F6" w:rsidRPr="005C3EC8" w:rsidRDefault="00F704F6" w:rsidP="00106EFB">
      <w:pPr>
        <w:spacing w:before="120"/>
        <w:rPr>
          <w:rFonts w:ascii="Calibri" w:hAnsi="Calibri"/>
        </w:rPr>
      </w:pPr>
      <w:r w:rsidRPr="005C3EC8">
        <w:rPr>
          <w:rFonts w:ascii="Calibri" w:hAnsi="Calibri"/>
        </w:rPr>
        <w:t xml:space="preserve">In terms of </w:t>
      </w:r>
      <w:r w:rsidRPr="005C3EC8">
        <w:rPr>
          <w:rFonts w:ascii="Calibri" w:hAnsi="Calibri"/>
          <w:i/>
        </w:rPr>
        <w:t>export</w:t>
      </w:r>
      <w:r w:rsidRPr="005C3EC8">
        <w:rPr>
          <w:rFonts w:ascii="Calibri" w:hAnsi="Calibri"/>
        </w:rPr>
        <w:t xml:space="preserve"> contribution, the ONS publishes monthly balance of payments data for trade in goods</w:t>
      </w:r>
      <w:r w:rsidRPr="005C3EC8">
        <w:rPr>
          <w:rStyle w:val="FootnoteReference"/>
          <w:rFonts w:ascii="Calibri" w:hAnsi="Calibri"/>
        </w:rPr>
        <w:footnoteReference w:id="370"/>
      </w:r>
      <w:r w:rsidRPr="005C3EC8">
        <w:rPr>
          <w:rFonts w:ascii="Calibri" w:hAnsi="Calibri"/>
        </w:rPr>
        <w:t>, which provide the value of extractives exports</w:t>
      </w:r>
      <w:r w:rsidR="00564B98" w:rsidRPr="005C3EC8">
        <w:rPr>
          <w:rFonts w:ascii="Calibri" w:hAnsi="Calibri"/>
        </w:rPr>
        <w:t xml:space="preserve"> annually for the 1998-2018 period. It is possible to calculate the relative contribution of the extractives to exports using the value of total exports provided in the ONS charts. </w:t>
      </w:r>
    </w:p>
    <w:p w14:paraId="42C62FCD" w14:textId="50B8F286" w:rsidR="00F704F6" w:rsidRPr="005C3EC8" w:rsidRDefault="007B4EDD" w:rsidP="00106EFB">
      <w:pPr>
        <w:spacing w:before="120"/>
        <w:rPr>
          <w:rFonts w:ascii="Calibri" w:hAnsi="Calibri"/>
        </w:rPr>
      </w:pPr>
      <w:r w:rsidRPr="005C3EC8">
        <w:rPr>
          <w:rFonts w:ascii="Calibri" w:hAnsi="Calibri"/>
        </w:rPr>
        <w:t xml:space="preserve">In terms of </w:t>
      </w:r>
      <w:r w:rsidRPr="005C3EC8">
        <w:rPr>
          <w:rFonts w:ascii="Calibri" w:hAnsi="Calibri"/>
          <w:i/>
        </w:rPr>
        <w:t>employment</w:t>
      </w:r>
      <w:r w:rsidRPr="005C3EC8">
        <w:rPr>
          <w:rFonts w:ascii="Calibri" w:hAnsi="Calibri"/>
        </w:rPr>
        <w:t xml:space="preserve"> contribution, the ONS publishes quarterly national and regional labour market statistics</w:t>
      </w:r>
      <w:r w:rsidRPr="005C3EC8">
        <w:rPr>
          <w:rStyle w:val="FootnoteReference"/>
          <w:rFonts w:ascii="Calibri" w:hAnsi="Calibri"/>
        </w:rPr>
        <w:footnoteReference w:id="371"/>
      </w:r>
      <w:r w:rsidR="00620FD1" w:rsidRPr="005C3EC8">
        <w:rPr>
          <w:rFonts w:ascii="Calibri" w:hAnsi="Calibri"/>
        </w:rPr>
        <w:t xml:space="preserve"> and the Business Register and Employment Survey (BRES)</w:t>
      </w:r>
      <w:r w:rsidR="00620FD1" w:rsidRPr="005C3EC8">
        <w:rPr>
          <w:rStyle w:val="FootnoteReference"/>
          <w:rFonts w:ascii="Calibri" w:hAnsi="Calibri"/>
        </w:rPr>
        <w:footnoteReference w:id="372"/>
      </w:r>
      <w:r w:rsidR="001B0564" w:rsidRPr="005C3EC8">
        <w:rPr>
          <w:rFonts w:ascii="Calibri" w:hAnsi="Calibri"/>
        </w:rPr>
        <w:t xml:space="preserve">, which include information on the mining and quarrying sectors, including their major sub-sectors. </w:t>
      </w:r>
    </w:p>
    <w:p w14:paraId="575A0362" w14:textId="7C71B300" w:rsidR="00853429" w:rsidRPr="005C3EC8" w:rsidRDefault="00620FD1" w:rsidP="00106EFB">
      <w:pPr>
        <w:spacing w:before="120"/>
        <w:rPr>
          <w:rFonts w:ascii="Calibri" w:hAnsi="Calibri"/>
        </w:rPr>
      </w:pPr>
      <w:r w:rsidRPr="005C3EC8">
        <w:rPr>
          <w:rFonts w:ascii="Calibri" w:hAnsi="Calibri"/>
        </w:rPr>
        <w:t>There is information in the public domain about the location of extractives activities in the UK. The OGA provides interactive online maps and portals of oil and gas developments.</w:t>
      </w:r>
      <w:r w:rsidR="00EE0EA7" w:rsidRPr="005C3EC8">
        <w:rPr>
          <w:rStyle w:val="FootnoteReference"/>
          <w:rFonts w:ascii="Calibri" w:hAnsi="Calibri"/>
        </w:rPr>
        <w:footnoteReference w:id="373"/>
      </w:r>
      <w:r w:rsidRPr="005C3EC8">
        <w:rPr>
          <w:rFonts w:ascii="Calibri" w:hAnsi="Calibri"/>
        </w:rPr>
        <w:t xml:space="preserve"> </w:t>
      </w:r>
      <w:r w:rsidR="00853429" w:rsidRPr="005C3EC8">
        <w:rPr>
          <w:rFonts w:ascii="Calibri" w:hAnsi="Calibri"/>
        </w:rPr>
        <w:t>The BGS provides online interactive maps for minerals in the UK.</w:t>
      </w:r>
      <w:r w:rsidR="00853429" w:rsidRPr="005C3EC8">
        <w:rPr>
          <w:rStyle w:val="FootnoteReference"/>
          <w:rFonts w:ascii="Calibri" w:hAnsi="Calibri"/>
        </w:rPr>
        <w:footnoteReference w:id="374"/>
      </w:r>
    </w:p>
    <w:p w14:paraId="232F71B0" w14:textId="72D8E7DF" w:rsidR="003616B2" w:rsidRPr="005C3EC8" w:rsidRDefault="00106EFB" w:rsidP="00106EFB">
      <w:pPr>
        <w:spacing w:before="120"/>
        <w:rPr>
          <w:rFonts w:ascii="Calibri" w:hAnsi="Calibri"/>
        </w:rPr>
      </w:pPr>
      <w:r w:rsidRPr="005C3EC8">
        <w:rPr>
          <w:rFonts w:ascii="Calibri" w:hAnsi="Calibri"/>
          <w:b/>
          <w:i/>
        </w:rPr>
        <w:t>2016 EITI Report</w:t>
      </w:r>
      <w:r w:rsidRPr="005C3EC8">
        <w:rPr>
          <w:rFonts w:ascii="Calibri" w:hAnsi="Calibri"/>
          <w:i/>
        </w:rPr>
        <w:t>:</w:t>
      </w:r>
      <w:r w:rsidRPr="005C3EC8">
        <w:rPr>
          <w:rFonts w:ascii="Calibri" w:hAnsi="Calibri"/>
        </w:rPr>
        <w:t xml:space="preserve"> </w:t>
      </w:r>
      <w:r w:rsidR="00B64A60" w:rsidRPr="005C3EC8">
        <w:rPr>
          <w:rFonts w:ascii="Calibri" w:hAnsi="Calibri"/>
        </w:rPr>
        <w:t>The 2016 EITI R</w:t>
      </w:r>
      <w:r w:rsidR="003616B2" w:rsidRPr="005C3EC8">
        <w:rPr>
          <w:rFonts w:ascii="Calibri" w:hAnsi="Calibri"/>
        </w:rPr>
        <w:t xml:space="preserve">eport states that UK statistics </w:t>
      </w:r>
      <w:r w:rsidR="00B64A60" w:rsidRPr="005C3EC8">
        <w:rPr>
          <w:rFonts w:ascii="Calibri" w:hAnsi="Calibri"/>
        </w:rPr>
        <w:t>cover</w:t>
      </w:r>
      <w:r w:rsidR="003616B2" w:rsidRPr="005C3EC8">
        <w:rPr>
          <w:rFonts w:ascii="Calibri" w:hAnsi="Calibri"/>
        </w:rPr>
        <w:t xml:space="preserve"> all extractives activities, including mining support services, in the categorisation of “mining and quarrying” (p.14). </w:t>
      </w:r>
      <w:r w:rsidR="00B64A60" w:rsidRPr="005C3EC8">
        <w:rPr>
          <w:rFonts w:ascii="Calibri" w:hAnsi="Calibri"/>
        </w:rPr>
        <w:t>It is noted</w:t>
      </w:r>
      <w:r w:rsidR="003616B2" w:rsidRPr="005C3EC8">
        <w:rPr>
          <w:rFonts w:ascii="Calibri" w:hAnsi="Calibri"/>
        </w:rPr>
        <w:t xml:space="preserve"> that mining support services relate almost entirely to extraction of petroleum and natural gas, in value terms (p.15). </w:t>
      </w:r>
    </w:p>
    <w:p w14:paraId="3E40A18C" w14:textId="319D3D9B" w:rsidR="0023741B" w:rsidRPr="005C3EC8" w:rsidRDefault="009862C2" w:rsidP="00AE6A07">
      <w:pPr>
        <w:spacing w:before="120"/>
        <w:rPr>
          <w:rFonts w:ascii="Calibri" w:hAnsi="Calibri"/>
          <w:bCs/>
        </w:rPr>
      </w:pPr>
      <w:r w:rsidRPr="005C3EC8">
        <w:rPr>
          <w:rFonts w:ascii="Calibri" w:hAnsi="Calibri"/>
          <w:i/>
          <w:u w:val="single"/>
        </w:rPr>
        <w:t>S</w:t>
      </w:r>
      <w:r w:rsidR="002051F4" w:rsidRPr="005C3EC8">
        <w:rPr>
          <w:rFonts w:ascii="Calibri" w:hAnsi="Calibri"/>
          <w:i/>
          <w:u w:val="single"/>
        </w:rPr>
        <w:t>hare of GDP</w:t>
      </w:r>
      <w:r w:rsidR="001B0470" w:rsidRPr="005C3EC8">
        <w:rPr>
          <w:rFonts w:ascii="Calibri" w:hAnsi="Calibri"/>
          <w:i/>
          <w:u w:val="single"/>
        </w:rPr>
        <w:t>:</w:t>
      </w:r>
      <w:r w:rsidR="00B64A60" w:rsidRPr="005C3EC8">
        <w:rPr>
          <w:rFonts w:ascii="Calibri" w:hAnsi="Calibri"/>
          <w:bCs/>
        </w:rPr>
        <w:t xml:space="preserve"> </w:t>
      </w:r>
      <w:r w:rsidR="0023741B" w:rsidRPr="005C3EC8">
        <w:rPr>
          <w:rFonts w:ascii="Calibri" w:hAnsi="Calibri"/>
        </w:rPr>
        <w:t>The report provides the gross value-added of the extractive industries in nominal terms and relative to total GDP for each year in the 2012-16 period (p.14).</w:t>
      </w:r>
    </w:p>
    <w:p w14:paraId="5EF08A16" w14:textId="79B089FD" w:rsidR="00A419F9" w:rsidRPr="005C3EC8" w:rsidRDefault="009862C2" w:rsidP="002051F4">
      <w:pPr>
        <w:spacing w:before="120"/>
        <w:rPr>
          <w:rFonts w:ascii="Calibri" w:hAnsi="Calibri"/>
          <w:bCs/>
        </w:rPr>
      </w:pPr>
      <w:r w:rsidRPr="005C3EC8">
        <w:rPr>
          <w:rFonts w:ascii="Calibri" w:hAnsi="Calibri"/>
          <w:i/>
          <w:u w:val="single"/>
        </w:rPr>
        <w:t>G</w:t>
      </w:r>
      <w:r w:rsidR="002051F4" w:rsidRPr="005C3EC8">
        <w:rPr>
          <w:rFonts w:ascii="Calibri" w:hAnsi="Calibri"/>
          <w:i/>
          <w:u w:val="single"/>
        </w:rPr>
        <w:t>overnment revenues</w:t>
      </w:r>
      <w:r w:rsidR="001B0470" w:rsidRPr="005C3EC8">
        <w:rPr>
          <w:rFonts w:ascii="Calibri" w:hAnsi="Calibri"/>
          <w:i/>
          <w:u w:val="single"/>
        </w:rPr>
        <w:t>:</w:t>
      </w:r>
      <w:r w:rsidR="002051F4" w:rsidRPr="005C3EC8">
        <w:rPr>
          <w:rFonts w:ascii="Calibri" w:hAnsi="Calibri"/>
        </w:rPr>
        <w:t xml:space="preserve"> </w:t>
      </w:r>
      <w:r w:rsidR="00A419F9" w:rsidRPr="005C3EC8">
        <w:rPr>
          <w:rFonts w:ascii="Calibri" w:hAnsi="Calibri"/>
        </w:rPr>
        <w:t xml:space="preserve">Noting that some government revenue data is presented on a financial year basis by necessity, since the UK fiscal calendar is April-March (p.15), the report provides the contribution of extractives to total government revenues in nominal and relative terms (pp.17,21). This includes cash-based receipts for HMRC and accrual-based revenues for ONS. The report provides an overview of the reasons for net negative income from the oil and gas sector, taking RFCT/SC and PRT together (pp.18-19). The report also provides an explanation for discrepancies between values reported by EITI and HMRC for RFCT/SC and PRT revenues, noting that HMRC data is published on a preliminary basis (pp.19-21). </w:t>
      </w:r>
    </w:p>
    <w:p w14:paraId="5757235D" w14:textId="58A8544B" w:rsidR="00A419F9" w:rsidRPr="005C3EC8" w:rsidRDefault="009862C2" w:rsidP="002051F4">
      <w:pPr>
        <w:spacing w:before="120"/>
        <w:rPr>
          <w:rFonts w:ascii="Calibri" w:hAnsi="Calibri"/>
          <w:bCs/>
        </w:rPr>
      </w:pPr>
      <w:r w:rsidRPr="005C3EC8">
        <w:rPr>
          <w:rFonts w:ascii="Calibri" w:hAnsi="Calibri"/>
          <w:i/>
          <w:u w:val="single"/>
        </w:rPr>
        <w:t>Exports</w:t>
      </w:r>
      <w:r w:rsidR="001B0470" w:rsidRPr="005C3EC8">
        <w:rPr>
          <w:rFonts w:ascii="Calibri" w:hAnsi="Calibri"/>
        </w:rPr>
        <w:t>:</w:t>
      </w:r>
      <w:r w:rsidR="00B64A60" w:rsidRPr="005C3EC8">
        <w:rPr>
          <w:rFonts w:ascii="Calibri" w:hAnsi="Calibri"/>
          <w:bCs/>
        </w:rPr>
        <w:t xml:space="preserve"> </w:t>
      </w:r>
      <w:r w:rsidR="00A419F9" w:rsidRPr="005C3EC8">
        <w:rPr>
          <w:rFonts w:ascii="Calibri" w:hAnsi="Calibri"/>
        </w:rPr>
        <w:t xml:space="preserve">The report provides the value of total mining and quarrying exports (including oil and gas) for each year in the 2012-16 period, in both nominal terms and relative to total exports (p.21). </w:t>
      </w:r>
    </w:p>
    <w:p w14:paraId="301699AA" w14:textId="75D2CEDB" w:rsidR="00A419F9" w:rsidRPr="005C3EC8" w:rsidRDefault="009862C2" w:rsidP="00A419F9">
      <w:pPr>
        <w:spacing w:before="120"/>
        <w:rPr>
          <w:rFonts w:ascii="Calibri" w:hAnsi="Calibri"/>
          <w:bCs/>
        </w:rPr>
      </w:pPr>
      <w:r w:rsidRPr="005C3EC8">
        <w:rPr>
          <w:rFonts w:ascii="Calibri" w:hAnsi="Calibri"/>
          <w:i/>
          <w:u w:val="single"/>
        </w:rPr>
        <w:t>Employment</w:t>
      </w:r>
      <w:r w:rsidR="001B0470" w:rsidRPr="005C3EC8">
        <w:rPr>
          <w:rFonts w:ascii="Calibri" w:hAnsi="Calibri"/>
          <w:i/>
          <w:u w:val="single"/>
        </w:rPr>
        <w:t>:</w:t>
      </w:r>
      <w:r w:rsidRPr="005C3EC8">
        <w:rPr>
          <w:rFonts w:ascii="Calibri" w:hAnsi="Calibri"/>
        </w:rPr>
        <w:t xml:space="preserve"> </w:t>
      </w:r>
      <w:r w:rsidR="00A419F9" w:rsidRPr="005C3EC8">
        <w:rPr>
          <w:rFonts w:ascii="Calibri" w:hAnsi="Calibri"/>
        </w:rPr>
        <w:t>The report provides estimates of employment in the extractive industries in nominal terms and relative to total employment, sourced from the ONS and UK labou</w:t>
      </w:r>
      <w:r w:rsidR="00B64A60" w:rsidRPr="005C3EC8">
        <w:rPr>
          <w:rFonts w:ascii="Calibri" w:hAnsi="Calibri"/>
        </w:rPr>
        <w:t xml:space="preserve">r market statistics (pp.24-25). </w:t>
      </w:r>
      <w:r w:rsidR="00A419F9" w:rsidRPr="005C3EC8">
        <w:rPr>
          <w:rFonts w:ascii="Calibri" w:hAnsi="Calibri"/>
        </w:rPr>
        <w:t xml:space="preserve">Additional figures are provided for the contribution of the oil and gas sector, including support services, to </w:t>
      </w:r>
      <w:r w:rsidR="00A419F9" w:rsidRPr="005C3EC8">
        <w:rPr>
          <w:rFonts w:ascii="Calibri" w:hAnsi="Calibri"/>
        </w:rPr>
        <w:lastRenderedPageBreak/>
        <w:t>total employment, in nominal terms and as a share of total employment (pp.38-39).</w:t>
      </w:r>
    </w:p>
    <w:p w14:paraId="67AC38D2" w14:textId="35DB5EA4" w:rsidR="00A419F9" w:rsidRPr="005C3EC8" w:rsidRDefault="009862C2" w:rsidP="00922ED3">
      <w:pPr>
        <w:spacing w:before="120"/>
        <w:rPr>
          <w:rFonts w:ascii="Calibri" w:hAnsi="Calibri"/>
          <w:bCs/>
        </w:rPr>
      </w:pPr>
      <w:r w:rsidRPr="005C3EC8">
        <w:rPr>
          <w:rFonts w:ascii="Calibri" w:hAnsi="Calibri"/>
          <w:i/>
          <w:u w:val="single"/>
        </w:rPr>
        <w:t>Location</w:t>
      </w:r>
      <w:r w:rsidR="001B0470" w:rsidRPr="005C3EC8">
        <w:rPr>
          <w:rFonts w:ascii="Calibri" w:hAnsi="Calibri"/>
          <w:i/>
          <w:u w:val="single"/>
        </w:rPr>
        <w:t>:</w:t>
      </w:r>
      <w:r w:rsidRPr="005C3EC8">
        <w:rPr>
          <w:rFonts w:ascii="Calibri" w:hAnsi="Calibri"/>
        </w:rPr>
        <w:t xml:space="preserve"> </w:t>
      </w:r>
      <w:r w:rsidR="00A419F9" w:rsidRPr="005C3EC8">
        <w:rPr>
          <w:rFonts w:ascii="Calibri" w:hAnsi="Calibri"/>
        </w:rPr>
        <w:t>The report provides an overview of the location of the extractive industries in the UK based on three indicators (gross value-added, gross trading profits and employee compensation) (pp.25-27).</w:t>
      </w:r>
    </w:p>
    <w:p w14:paraId="1DA968AE" w14:textId="6FEE0FFB" w:rsidR="006112C8" w:rsidRPr="005C3EC8" w:rsidRDefault="008D3D27">
      <w:pPr>
        <w:pStyle w:val="Heading3"/>
      </w:pPr>
      <w:r w:rsidRPr="005C3EC8">
        <w:t>Stakeholder views</w:t>
      </w:r>
    </w:p>
    <w:p w14:paraId="15D27E2A" w14:textId="5B122212" w:rsidR="002321C6" w:rsidRPr="005C3EC8" w:rsidRDefault="002321C6" w:rsidP="002051F4">
      <w:pPr>
        <w:spacing w:before="120"/>
        <w:rPr>
          <w:rFonts w:ascii="Calibri" w:hAnsi="Calibri"/>
        </w:rPr>
      </w:pPr>
      <w:r w:rsidRPr="005C3EC8">
        <w:rPr>
          <w:rFonts w:ascii="Calibri" w:hAnsi="Calibri"/>
        </w:rPr>
        <w:t xml:space="preserve">A government representative noted that the oil and gas GVA graph </w:t>
      </w:r>
      <w:r w:rsidR="008E4196" w:rsidRPr="005C3EC8">
        <w:rPr>
          <w:rFonts w:ascii="Calibri" w:hAnsi="Calibri"/>
        </w:rPr>
        <w:t xml:space="preserve">in the 2016 EITI Report </w:t>
      </w:r>
      <w:r w:rsidRPr="005C3EC8">
        <w:rPr>
          <w:rFonts w:ascii="Calibri" w:hAnsi="Calibri"/>
        </w:rPr>
        <w:t>(p.13) had included estimates for 2016 production that were subsequently revised downwards, and noted that the OGA had published an updated graph and data on its website.</w:t>
      </w:r>
      <w:r w:rsidRPr="005C3EC8">
        <w:rPr>
          <w:rFonts w:ascii="Calibri" w:hAnsi="Calibri"/>
          <w:vertAlign w:val="superscript"/>
        </w:rPr>
        <w:footnoteReference w:id="375"/>
      </w:r>
      <w:r w:rsidR="008E4196" w:rsidRPr="005C3EC8">
        <w:rPr>
          <w:rFonts w:ascii="Calibri" w:hAnsi="Calibri"/>
        </w:rPr>
        <w:t xml:space="preserve"> Several</w:t>
      </w:r>
      <w:r w:rsidR="008E4196" w:rsidRPr="005C3EC8">
        <w:rPr>
          <w:rFonts w:ascii="Calibri" w:hAnsi="Calibri"/>
          <w:i/>
        </w:rPr>
        <w:t xml:space="preserve"> </w:t>
      </w:r>
      <w:r w:rsidRPr="005C3EC8">
        <w:rPr>
          <w:rFonts w:ascii="Calibri" w:hAnsi="Calibri"/>
        </w:rPr>
        <w:t>government representative</w:t>
      </w:r>
      <w:r w:rsidR="008E4196" w:rsidRPr="005C3EC8">
        <w:rPr>
          <w:rFonts w:ascii="Calibri" w:hAnsi="Calibri"/>
        </w:rPr>
        <w:t>s</w:t>
      </w:r>
      <w:r w:rsidRPr="005C3EC8">
        <w:rPr>
          <w:rFonts w:ascii="Calibri" w:hAnsi="Calibri"/>
        </w:rPr>
        <w:t xml:space="preserve"> expressed scepticism over the accuracy of certain ONS statistics, such as employment data. </w:t>
      </w:r>
    </w:p>
    <w:p w14:paraId="4EF6B804" w14:textId="47DAD7DB" w:rsidR="00416ABB" w:rsidRPr="005C3EC8" w:rsidRDefault="00F75BAA">
      <w:pPr>
        <w:pStyle w:val="Heading3"/>
      </w:pPr>
      <w:bookmarkStart w:id="373" w:name="_Toc459133200"/>
      <w:bookmarkStart w:id="374" w:name="_Toc461803150"/>
      <w:r w:rsidRPr="005C3EC8">
        <w:t>Initial a</w:t>
      </w:r>
      <w:r w:rsidR="00416ABB" w:rsidRPr="005C3EC8">
        <w:t>ssessment</w:t>
      </w:r>
      <w:bookmarkEnd w:id="373"/>
      <w:bookmarkEnd w:id="374"/>
    </w:p>
    <w:p w14:paraId="470D0E05" w14:textId="3D77220E" w:rsidR="00922ED3" w:rsidRPr="005C3EC8" w:rsidRDefault="002051F4" w:rsidP="00AE6A07">
      <w:pPr>
        <w:spacing w:before="120"/>
        <w:rPr>
          <w:rFonts w:ascii="Calibri" w:hAnsi="Calibri"/>
          <w:color w:val="000000" w:themeColor="text1"/>
          <w:lang w:eastAsia="x-none"/>
        </w:rPr>
      </w:pPr>
      <w:r w:rsidRPr="005C3EC8">
        <w:rPr>
          <w:rFonts w:ascii="Calibri" w:hAnsi="Calibri"/>
          <w:color w:val="000000" w:themeColor="text1"/>
          <w:lang w:eastAsia="x-none"/>
        </w:rPr>
        <w:t xml:space="preserve">The International Secretariat’s initial assessment is that </w:t>
      </w:r>
      <w:r w:rsidR="00DE14DA" w:rsidRPr="005C3EC8">
        <w:rPr>
          <w:rFonts w:ascii="Calibri" w:hAnsi="Calibri"/>
          <w:bCs/>
        </w:rPr>
        <w:t>the UK</w:t>
      </w:r>
      <w:r w:rsidR="00922ED3" w:rsidRPr="005C3EC8">
        <w:rPr>
          <w:rFonts w:ascii="Calibri" w:hAnsi="Calibri"/>
          <w:color w:val="000000" w:themeColor="text1"/>
          <w:lang w:eastAsia="x-none"/>
        </w:rPr>
        <w:t xml:space="preserve"> </w:t>
      </w:r>
      <w:r w:rsidRPr="005C3EC8">
        <w:rPr>
          <w:rFonts w:ascii="Calibri" w:hAnsi="Calibri"/>
          <w:color w:val="000000" w:themeColor="text1"/>
          <w:lang w:eastAsia="x-none"/>
        </w:rPr>
        <w:t xml:space="preserve">has made </w:t>
      </w:r>
      <w:r w:rsidR="00DE14DA" w:rsidRPr="003B7537">
        <w:rPr>
          <w:rFonts w:ascii="Calibri" w:hAnsi="Calibri"/>
          <w:b/>
          <w:bCs/>
        </w:rPr>
        <w:t>satisfactory</w:t>
      </w:r>
      <w:r w:rsidR="00922ED3" w:rsidRPr="003B7537">
        <w:rPr>
          <w:rFonts w:ascii="Calibri" w:hAnsi="Calibri"/>
          <w:b/>
          <w:color w:val="000000" w:themeColor="text1"/>
          <w:lang w:eastAsia="x-none"/>
        </w:rPr>
        <w:t xml:space="preserve"> </w:t>
      </w:r>
      <w:r w:rsidRPr="003B7537">
        <w:rPr>
          <w:rFonts w:ascii="Calibri" w:hAnsi="Calibri"/>
          <w:b/>
          <w:color w:val="000000" w:themeColor="text1"/>
          <w:lang w:eastAsia="x-none"/>
        </w:rPr>
        <w:t>progress</w:t>
      </w:r>
      <w:r w:rsidRPr="005C3EC8">
        <w:rPr>
          <w:rFonts w:ascii="Calibri" w:hAnsi="Calibri"/>
          <w:color w:val="000000" w:themeColor="text1"/>
          <w:lang w:eastAsia="x-none"/>
        </w:rPr>
        <w:t xml:space="preserve"> towards meeting this requirement. </w:t>
      </w:r>
      <w:r w:rsidR="00DE14DA" w:rsidRPr="005C3EC8">
        <w:rPr>
          <w:rFonts w:ascii="Calibri" w:hAnsi="Calibri"/>
        </w:rPr>
        <w:t>The 2016 EITI Report</w:t>
      </w:r>
      <w:r w:rsidR="007140BD" w:rsidRPr="005C3EC8">
        <w:rPr>
          <w:rFonts w:ascii="Calibri" w:hAnsi="Calibri"/>
        </w:rPr>
        <w:t xml:space="preserve"> provides estimates of the extractive industries’ contribution, in absolute and relative terms, to GDP, government revenues, exports and employment, identifying the location of production.</w:t>
      </w:r>
    </w:p>
    <w:p w14:paraId="69B73CC7" w14:textId="5E3FB434" w:rsidR="000722F1" w:rsidRPr="005C3EC8" w:rsidRDefault="009862C2" w:rsidP="007906D4">
      <w:pPr>
        <w:pStyle w:val="Caption"/>
        <w:rPr>
          <w:rFonts w:ascii="Calibri" w:hAnsi="Calibri"/>
          <w:i/>
          <w:color w:val="000000"/>
        </w:rPr>
      </w:pPr>
      <w:bookmarkStart w:id="375" w:name="_Toc463537779"/>
      <w:bookmarkStart w:id="376" w:name="_Toc485385507"/>
      <w:r w:rsidRPr="005C3EC8">
        <w:t xml:space="preserve">Table </w:t>
      </w:r>
      <w:r w:rsidR="000047B5">
        <w:fldChar w:fldCharType="begin"/>
      </w:r>
      <w:r w:rsidR="000047B5">
        <w:instrText xml:space="preserve"> SEQ Table \* ARABIC </w:instrText>
      </w:r>
      <w:r w:rsidR="000047B5">
        <w:fldChar w:fldCharType="separate"/>
      </w:r>
      <w:r w:rsidR="0083320D" w:rsidRPr="005C3EC8">
        <w:t>6</w:t>
      </w:r>
      <w:r w:rsidR="000047B5">
        <w:fldChar w:fldCharType="end"/>
      </w:r>
      <w:r w:rsidR="000722F1" w:rsidRPr="005C3EC8">
        <w:rPr>
          <w:color w:val="000000"/>
        </w:rPr>
        <w:t xml:space="preserve">- </w:t>
      </w:r>
      <w:r w:rsidR="000722F1" w:rsidRPr="005C3EC8">
        <w:rPr>
          <w:rFonts w:eastAsia="Calibri"/>
        </w:rPr>
        <w:t xml:space="preserve">Summary </w:t>
      </w:r>
      <w:r w:rsidR="00D45A31" w:rsidRPr="005C3EC8">
        <w:rPr>
          <w:rFonts w:eastAsia="Calibri"/>
        </w:rPr>
        <w:t xml:space="preserve">initial </w:t>
      </w:r>
      <w:r w:rsidR="000722F1" w:rsidRPr="005C3EC8">
        <w:rPr>
          <w:rFonts w:eastAsia="Calibri"/>
        </w:rPr>
        <w:t xml:space="preserve">assessment table: </w:t>
      </w:r>
      <w:r w:rsidR="00AE51FA" w:rsidRPr="005C3EC8">
        <w:rPr>
          <w:rFonts w:eastAsia="Calibri"/>
        </w:rPr>
        <w:t>Social and economic spending</w:t>
      </w:r>
      <w:bookmarkEnd w:id="375"/>
      <w:bookmarkEnd w:id="37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9"/>
        <w:gridCol w:w="4074"/>
        <w:gridCol w:w="2454"/>
      </w:tblGrid>
      <w:tr w:rsidR="00FC3899" w:rsidRPr="005C3EC8" w14:paraId="60B02F14" w14:textId="77777777" w:rsidTr="00A73812">
        <w:trPr>
          <w:trHeight w:val="675"/>
        </w:trPr>
        <w:tc>
          <w:tcPr>
            <w:tcW w:w="2799" w:type="dxa"/>
            <w:shd w:val="clear" w:color="auto" w:fill="D9D9D9"/>
            <w:vAlign w:val="center"/>
          </w:tcPr>
          <w:p w14:paraId="5A81AB86" w14:textId="77777777" w:rsidR="00FC3899" w:rsidRPr="005C3EC8" w:rsidRDefault="00FC3899" w:rsidP="00E03D03">
            <w:pPr>
              <w:pStyle w:val="Tabletext"/>
              <w:rPr>
                <w:b/>
                <w:lang w:val="en-GB"/>
              </w:rPr>
            </w:pPr>
            <w:r w:rsidRPr="005C3EC8">
              <w:rPr>
                <w:b/>
                <w:lang w:val="en-GB"/>
              </w:rPr>
              <w:t>EITI provisions</w:t>
            </w:r>
          </w:p>
        </w:tc>
        <w:tc>
          <w:tcPr>
            <w:tcW w:w="4459" w:type="dxa"/>
            <w:shd w:val="clear" w:color="auto" w:fill="D9D9D9"/>
            <w:vAlign w:val="center"/>
          </w:tcPr>
          <w:p w14:paraId="3B9E0DAB" w14:textId="77777777" w:rsidR="00FC3899" w:rsidRPr="005C3EC8" w:rsidRDefault="00FC3899" w:rsidP="00E03D03">
            <w:pPr>
              <w:pStyle w:val="Tabletext"/>
              <w:rPr>
                <w:b/>
                <w:lang w:val="en-GB"/>
              </w:rPr>
            </w:pPr>
            <w:r w:rsidRPr="005C3EC8">
              <w:rPr>
                <w:b/>
                <w:lang w:val="en-GB"/>
              </w:rPr>
              <w:t>Summary of main findings</w:t>
            </w:r>
          </w:p>
        </w:tc>
        <w:tc>
          <w:tcPr>
            <w:tcW w:w="2119" w:type="dxa"/>
            <w:shd w:val="clear" w:color="auto" w:fill="D9D9D9"/>
            <w:vAlign w:val="center"/>
          </w:tcPr>
          <w:p w14:paraId="397F38BB" w14:textId="3C867474" w:rsidR="00FC3899" w:rsidRPr="005C3EC8" w:rsidRDefault="00FC3899" w:rsidP="00E03D03">
            <w:pPr>
              <w:pStyle w:val="Tabletext"/>
              <w:rPr>
                <w:b/>
                <w:color w:val="000000"/>
                <w:lang w:val="en-GB"/>
              </w:rPr>
            </w:pPr>
            <w:r w:rsidRPr="005C3EC8">
              <w:rPr>
                <w:b/>
                <w:color w:val="000000"/>
                <w:lang w:val="en-GB"/>
              </w:rPr>
              <w:t>International Secretariat’s initial assessment of pr</w:t>
            </w:r>
            <w:r w:rsidR="00A73812" w:rsidRPr="005C3EC8">
              <w:rPr>
                <w:b/>
                <w:color w:val="000000"/>
                <w:lang w:val="en-GB"/>
              </w:rPr>
              <w:t>ogress with the EITI provisions</w:t>
            </w:r>
          </w:p>
        </w:tc>
      </w:tr>
      <w:tr w:rsidR="002051F4" w:rsidRPr="005C3EC8" w14:paraId="6180EA8B" w14:textId="77777777" w:rsidTr="00A73812">
        <w:tc>
          <w:tcPr>
            <w:tcW w:w="2799" w:type="dxa"/>
            <w:shd w:val="clear" w:color="auto" w:fill="auto"/>
          </w:tcPr>
          <w:p w14:paraId="620B079A" w14:textId="77777777" w:rsidR="002051F4" w:rsidRPr="005C3EC8" w:rsidRDefault="002051F4" w:rsidP="00E03D03">
            <w:pPr>
              <w:pStyle w:val="Tabletext"/>
              <w:rPr>
                <w:lang w:val="en-GB" w:eastAsia="x-none"/>
              </w:rPr>
            </w:pPr>
            <w:r w:rsidRPr="005C3EC8">
              <w:rPr>
                <w:lang w:val="en-GB" w:eastAsia="x-none"/>
              </w:rPr>
              <w:t>Social expenditures (#6.1)</w:t>
            </w:r>
          </w:p>
        </w:tc>
        <w:tc>
          <w:tcPr>
            <w:tcW w:w="4459" w:type="dxa"/>
            <w:shd w:val="clear" w:color="auto" w:fill="auto"/>
          </w:tcPr>
          <w:p w14:paraId="5C2F8A04" w14:textId="7C581CBD" w:rsidR="002051F4" w:rsidRPr="005C3EC8" w:rsidRDefault="002D7A86" w:rsidP="00E03D03">
            <w:pPr>
              <w:pStyle w:val="Tabletext"/>
              <w:rPr>
                <w:lang w:val="en-GB"/>
              </w:rPr>
            </w:pPr>
            <w:r>
              <w:rPr>
                <w:lang w:val="en-GB"/>
              </w:rPr>
              <w:t>T</w:t>
            </w:r>
            <w:r w:rsidR="00A73812" w:rsidRPr="005C3EC8">
              <w:rPr>
                <w:lang w:val="en-GB"/>
              </w:rPr>
              <w:t xml:space="preserve">he 2016 EITI Report appears to confirm the MSG’s view that mining companies’ provisions of off-site in-kind infrastructure, as part of local planning agreements, constitute a form of mandatory social expenditures. </w:t>
            </w:r>
            <w:r>
              <w:rPr>
                <w:lang w:val="en-GB"/>
              </w:rPr>
              <w:t>T</w:t>
            </w:r>
            <w:r w:rsidR="00A73812" w:rsidRPr="005C3EC8">
              <w:rPr>
                <w:lang w:val="en-GB"/>
              </w:rPr>
              <w:t xml:space="preserve">he 2016 EITI Report provides the aggregate value of mandatory social expenditures reported by one company, </w:t>
            </w:r>
            <w:r>
              <w:rPr>
                <w:lang w:val="en-GB"/>
              </w:rPr>
              <w:t xml:space="preserve">but </w:t>
            </w:r>
            <w:r w:rsidR="00A73812" w:rsidRPr="005C3EC8">
              <w:rPr>
                <w:lang w:val="en-GB"/>
              </w:rPr>
              <w:t>it does not provide the nature of in-kind mandatory social expenditures nor confirm the identity of the beneficiary(</w:t>
            </w:r>
            <w:proofErr w:type="spellStart"/>
            <w:r w:rsidR="00A73812" w:rsidRPr="005C3EC8">
              <w:rPr>
                <w:lang w:val="en-GB"/>
              </w:rPr>
              <w:t>ies</w:t>
            </w:r>
            <w:proofErr w:type="spellEnd"/>
            <w:r w:rsidR="00A73812" w:rsidRPr="005C3EC8">
              <w:rPr>
                <w:lang w:val="en-GB"/>
              </w:rPr>
              <w:t>).</w:t>
            </w:r>
          </w:p>
        </w:tc>
        <w:tc>
          <w:tcPr>
            <w:tcW w:w="2119" w:type="dxa"/>
          </w:tcPr>
          <w:p w14:paraId="26CEAAF3" w14:textId="2566DEFD" w:rsidR="002051F4" w:rsidRPr="005C3EC8" w:rsidRDefault="00A73812" w:rsidP="00A73812">
            <w:pPr>
              <w:pStyle w:val="Tabletext"/>
              <w:jc w:val="center"/>
              <w:rPr>
                <w:lang w:val="en-GB"/>
              </w:rPr>
            </w:pPr>
            <w:r w:rsidRPr="005C3EC8">
              <w:rPr>
                <w:lang w:val="en-GB"/>
              </w:rPr>
              <w:t>Meaningful progress</w:t>
            </w:r>
          </w:p>
        </w:tc>
      </w:tr>
      <w:tr w:rsidR="002051F4" w:rsidRPr="005C3EC8" w14:paraId="3FAAC766" w14:textId="77777777" w:rsidTr="00A73812">
        <w:tc>
          <w:tcPr>
            <w:tcW w:w="2799" w:type="dxa"/>
            <w:shd w:val="clear" w:color="auto" w:fill="auto"/>
          </w:tcPr>
          <w:p w14:paraId="29B2AE2A" w14:textId="77777777" w:rsidR="002051F4" w:rsidRPr="005C3EC8" w:rsidRDefault="002051F4" w:rsidP="00E03D03">
            <w:pPr>
              <w:pStyle w:val="Tabletext"/>
              <w:rPr>
                <w:lang w:val="en-GB"/>
              </w:rPr>
            </w:pPr>
            <w:r w:rsidRPr="005C3EC8">
              <w:rPr>
                <w:lang w:val="en-GB" w:eastAsia="x-none"/>
              </w:rPr>
              <w:t>SOE quasi fiscal expenditures (#6.2)</w:t>
            </w:r>
          </w:p>
        </w:tc>
        <w:tc>
          <w:tcPr>
            <w:tcW w:w="4459" w:type="dxa"/>
            <w:shd w:val="clear" w:color="auto" w:fill="auto"/>
          </w:tcPr>
          <w:p w14:paraId="46D048AA" w14:textId="34124E03" w:rsidR="002051F4" w:rsidRPr="005C3EC8" w:rsidRDefault="00A73812" w:rsidP="00E03D03">
            <w:pPr>
              <w:pStyle w:val="Tabletext"/>
              <w:rPr>
                <w:lang w:val="en-GB"/>
              </w:rPr>
            </w:pPr>
            <w:r w:rsidRPr="005C3EC8">
              <w:rPr>
                <w:lang w:val="en-GB"/>
              </w:rPr>
              <w:t xml:space="preserve">While the 2016 EITI Report does not explicitly comment on the lack of quasi-fiscal expenditures linked to extractives revenues, it clarifies the lack of state participation in the extractive industries. Although the report refers to the OGA’s </w:t>
            </w:r>
            <w:r w:rsidRPr="005C3EC8">
              <w:rPr>
                <w:lang w:val="en-GB"/>
              </w:rPr>
              <w:lastRenderedPageBreak/>
              <w:t>acquisition and interpretation of seismic data for the benefit of industry, these expenditures were funded by the government and recorded in the national budget.</w:t>
            </w:r>
          </w:p>
        </w:tc>
        <w:tc>
          <w:tcPr>
            <w:tcW w:w="2119" w:type="dxa"/>
          </w:tcPr>
          <w:p w14:paraId="3F807F92" w14:textId="37FD23B1" w:rsidR="002051F4" w:rsidRPr="005C3EC8" w:rsidRDefault="00A73812" w:rsidP="00A73812">
            <w:pPr>
              <w:pStyle w:val="Tabletext"/>
              <w:jc w:val="center"/>
              <w:rPr>
                <w:lang w:val="en-GB"/>
              </w:rPr>
            </w:pPr>
            <w:r w:rsidRPr="005C3EC8">
              <w:rPr>
                <w:lang w:val="en-GB"/>
              </w:rPr>
              <w:lastRenderedPageBreak/>
              <w:t>Not applicable</w:t>
            </w:r>
          </w:p>
        </w:tc>
      </w:tr>
      <w:tr w:rsidR="002051F4" w:rsidRPr="005C3EC8" w14:paraId="6194325F" w14:textId="77777777" w:rsidTr="00A73812">
        <w:tc>
          <w:tcPr>
            <w:tcW w:w="2799" w:type="dxa"/>
            <w:shd w:val="clear" w:color="auto" w:fill="auto"/>
          </w:tcPr>
          <w:p w14:paraId="15B07936" w14:textId="77777777" w:rsidR="002051F4" w:rsidRPr="005C3EC8" w:rsidRDefault="002051F4" w:rsidP="00E03D03">
            <w:pPr>
              <w:pStyle w:val="Tabletext"/>
              <w:rPr>
                <w:lang w:val="en-GB"/>
              </w:rPr>
            </w:pPr>
            <w:r w:rsidRPr="005C3EC8">
              <w:rPr>
                <w:lang w:val="en-GB" w:eastAsia="x-none"/>
              </w:rPr>
              <w:t>Contribution of the extractive sector to the economy (#6.3)</w:t>
            </w:r>
          </w:p>
        </w:tc>
        <w:tc>
          <w:tcPr>
            <w:tcW w:w="4459" w:type="dxa"/>
            <w:shd w:val="clear" w:color="auto" w:fill="auto"/>
          </w:tcPr>
          <w:p w14:paraId="20E05C2B" w14:textId="60ACA911" w:rsidR="002051F4" w:rsidRPr="005C3EC8" w:rsidRDefault="00A73812" w:rsidP="00E03D03">
            <w:pPr>
              <w:pStyle w:val="Tabletext"/>
              <w:rPr>
                <w:lang w:val="en-GB"/>
              </w:rPr>
            </w:pPr>
            <w:r w:rsidRPr="005C3EC8">
              <w:rPr>
                <w:lang w:val="en-GB"/>
              </w:rPr>
              <w:t>The 2016 EITI Report provides estimates of the extractive industries’ contribution, in absolute and relative terms, to GDP, government revenues, exports and employment, identifying the location of production.</w:t>
            </w:r>
          </w:p>
        </w:tc>
        <w:tc>
          <w:tcPr>
            <w:tcW w:w="2119" w:type="dxa"/>
            <w:shd w:val="clear" w:color="auto" w:fill="FFFFFF"/>
          </w:tcPr>
          <w:p w14:paraId="5A3C97B0" w14:textId="3A674997" w:rsidR="002051F4" w:rsidRPr="005C3EC8" w:rsidRDefault="00A73812" w:rsidP="00A73812">
            <w:pPr>
              <w:pStyle w:val="Tabletext"/>
              <w:jc w:val="center"/>
              <w:rPr>
                <w:lang w:val="en-GB"/>
              </w:rPr>
            </w:pPr>
            <w:r w:rsidRPr="005C3EC8">
              <w:rPr>
                <w:lang w:val="en-GB"/>
              </w:rPr>
              <w:t>Satisfactory progress</w:t>
            </w:r>
          </w:p>
        </w:tc>
      </w:tr>
      <w:tr w:rsidR="002051F4" w:rsidRPr="005C3EC8" w14:paraId="4EC0916E" w14:textId="77777777" w:rsidTr="00874197">
        <w:tc>
          <w:tcPr>
            <w:tcW w:w="0" w:type="auto"/>
            <w:gridSpan w:val="3"/>
            <w:shd w:val="clear" w:color="auto" w:fill="FFFFFF"/>
          </w:tcPr>
          <w:p w14:paraId="0D5D54E2" w14:textId="2D7E0C1F" w:rsidR="002051F4" w:rsidRPr="005C3EC8" w:rsidRDefault="00A73812" w:rsidP="00E03D03">
            <w:pPr>
              <w:pStyle w:val="Tabletext"/>
              <w:rPr>
                <w:lang w:val="en-GB"/>
              </w:rPr>
            </w:pPr>
            <w:r w:rsidRPr="005C3EC8">
              <w:rPr>
                <w:b/>
                <w:lang w:val="en-GB"/>
              </w:rPr>
              <w:t>Secretariat’s</w:t>
            </w:r>
            <w:r w:rsidR="002051F4" w:rsidRPr="005C3EC8">
              <w:rPr>
                <w:b/>
                <w:lang w:val="en-GB"/>
              </w:rPr>
              <w:t xml:space="preserve"> recommendations</w:t>
            </w:r>
            <w:r w:rsidR="002051F4" w:rsidRPr="005C3EC8">
              <w:rPr>
                <w:lang w:val="en-GB"/>
              </w:rPr>
              <w:t>:</w:t>
            </w:r>
          </w:p>
          <w:p w14:paraId="3D21A4EB" w14:textId="0E2311E3" w:rsidR="002051F4" w:rsidRPr="005C3EC8" w:rsidRDefault="00A73812" w:rsidP="008200F5">
            <w:pPr>
              <w:pStyle w:val="ListParagraph"/>
              <w:rPr>
                <w:rFonts w:eastAsia="Calibri"/>
              </w:rPr>
            </w:pPr>
            <w:r w:rsidRPr="005C3EC8">
              <w:t>In accordance with Requirement 6.1, the UK should assess the materiality of mandatory social expenditures ahead of future EITI reporting and ensure that reporting of mandatory social expenditures be disaggregated by type of payment, nature of in-kind contributions and beneficiary(</w:t>
            </w:r>
            <w:proofErr w:type="spellStart"/>
            <w:r w:rsidRPr="005C3EC8">
              <w:t>ies</w:t>
            </w:r>
            <w:proofErr w:type="spellEnd"/>
            <w:r w:rsidRPr="005C3EC8">
              <w:t>), clarifying the name and function of any non-government (third-party) beneficiaries where applicable.</w:t>
            </w:r>
          </w:p>
        </w:tc>
      </w:tr>
    </w:tbl>
    <w:p w14:paraId="0E43E7ED" w14:textId="7FA4A532" w:rsidR="00D44C4F" w:rsidRPr="005C3EC8" w:rsidRDefault="00D44C4F">
      <w:pPr>
        <w:widowControl/>
        <w:suppressAutoHyphens w:val="0"/>
        <w:spacing w:after="0" w:line="240" w:lineRule="auto"/>
        <w:rPr>
          <w:rFonts w:ascii="Calibri" w:hAnsi="Calibri"/>
          <w:b/>
          <w:bCs/>
          <w:color w:val="365F91"/>
        </w:rPr>
      </w:pPr>
    </w:p>
    <w:p w14:paraId="58DCD579" w14:textId="777C548F" w:rsidR="00601017" w:rsidRPr="005C3EC8" w:rsidRDefault="009862C2" w:rsidP="00764C60">
      <w:pPr>
        <w:pStyle w:val="Heading1"/>
      </w:pPr>
      <w:bookmarkStart w:id="377" w:name="_Toc461803151"/>
      <w:bookmarkStart w:id="378" w:name="_Toc461787362"/>
      <w:bookmarkStart w:id="379" w:name="_Toc461795874"/>
      <w:bookmarkStart w:id="380" w:name="_Toc462149206"/>
      <w:bookmarkStart w:id="381" w:name="_Toc458773260"/>
      <w:bookmarkStart w:id="382" w:name="_Toc458780357"/>
      <w:bookmarkStart w:id="383" w:name="_Toc458972777"/>
      <w:bookmarkStart w:id="384" w:name="_Toc452707650"/>
      <w:bookmarkStart w:id="385" w:name="_Toc459133201"/>
      <w:r w:rsidRPr="005C3EC8">
        <w:br w:type="column"/>
      </w:r>
      <w:r w:rsidR="00601017" w:rsidRPr="005C3EC8">
        <w:lastRenderedPageBreak/>
        <w:t>Part III – Outcomes and Impact</w:t>
      </w:r>
      <w:bookmarkEnd w:id="377"/>
      <w:bookmarkEnd w:id="378"/>
      <w:bookmarkEnd w:id="379"/>
      <w:bookmarkEnd w:id="380"/>
    </w:p>
    <w:p w14:paraId="2AF67021" w14:textId="24C21181" w:rsidR="00601017" w:rsidRPr="005C3EC8" w:rsidRDefault="000C662A">
      <w:pPr>
        <w:pStyle w:val="Heading2"/>
      </w:pPr>
      <w:bookmarkStart w:id="386" w:name="_Toc461803152"/>
      <w:bookmarkStart w:id="387" w:name="_Toc461787363"/>
      <w:bookmarkStart w:id="388" w:name="_Toc461795875"/>
      <w:bookmarkStart w:id="389" w:name="_Toc462149207"/>
      <w:r w:rsidRPr="005C3EC8">
        <w:t xml:space="preserve">7. </w:t>
      </w:r>
      <w:r w:rsidR="00601017" w:rsidRPr="005C3EC8">
        <w:t>Outcomes and Impact</w:t>
      </w:r>
      <w:bookmarkEnd w:id="386"/>
      <w:bookmarkEnd w:id="387"/>
      <w:bookmarkEnd w:id="388"/>
      <w:bookmarkEnd w:id="389"/>
    </w:p>
    <w:p w14:paraId="1DB197D4" w14:textId="45C74C11" w:rsidR="00D65D74" w:rsidRPr="005C3EC8" w:rsidRDefault="00D65D74">
      <w:pPr>
        <w:pStyle w:val="Heading2notindexed"/>
      </w:pPr>
      <w:r w:rsidRPr="005C3EC8">
        <w:t>7.1 Overview</w:t>
      </w:r>
    </w:p>
    <w:bookmarkEnd w:id="381"/>
    <w:bookmarkEnd w:id="382"/>
    <w:bookmarkEnd w:id="383"/>
    <w:p w14:paraId="4B386E6A" w14:textId="740AF0B4" w:rsidR="00601017" w:rsidRPr="005C3EC8" w:rsidRDefault="00601017" w:rsidP="00601017">
      <w:pPr>
        <w:spacing w:before="120"/>
        <w:rPr>
          <w:rFonts w:ascii="Calibri" w:hAnsi="Calibri"/>
        </w:rPr>
      </w:pPr>
      <w:r w:rsidRPr="005C3EC8">
        <w:rPr>
          <w:rFonts w:ascii="Calibri" w:hAnsi="Calibri"/>
        </w:rPr>
        <w:t>This section assesses implementation of the EITI Requirements related to the outcomes and impact of the EITI process.</w:t>
      </w:r>
    </w:p>
    <w:p w14:paraId="167760FA" w14:textId="7229A1BF" w:rsidR="008D3D27" w:rsidRPr="005C3EC8" w:rsidRDefault="00D65D74">
      <w:pPr>
        <w:pStyle w:val="Heading2notindexed"/>
      </w:pPr>
      <w:r w:rsidRPr="005C3EC8">
        <w:t>7.2</w:t>
      </w:r>
      <w:r w:rsidR="008D3D27" w:rsidRPr="005C3EC8">
        <w:t xml:space="preserve"> </w:t>
      </w:r>
      <w:r w:rsidRPr="005C3EC8">
        <w:t>Assessment</w:t>
      </w:r>
    </w:p>
    <w:p w14:paraId="4EF0BCD6" w14:textId="428EBA40" w:rsidR="00601017" w:rsidRPr="005C3EC8" w:rsidRDefault="00601017" w:rsidP="0097728B">
      <w:pPr>
        <w:pStyle w:val="Heading2"/>
      </w:pPr>
      <w:bookmarkStart w:id="390" w:name="_Toc458773262"/>
      <w:bookmarkStart w:id="391" w:name="_Toc458780359"/>
      <w:bookmarkStart w:id="392" w:name="_Toc461803153"/>
      <w:bookmarkStart w:id="393" w:name="_Toc461787364"/>
      <w:bookmarkStart w:id="394" w:name="_Toc461795876"/>
      <w:bookmarkStart w:id="395" w:name="_Toc462149208"/>
      <w:r w:rsidRPr="005C3EC8">
        <w:t>Public debate (#7.1)</w:t>
      </w:r>
      <w:bookmarkEnd w:id="390"/>
      <w:bookmarkEnd w:id="391"/>
      <w:bookmarkEnd w:id="392"/>
      <w:bookmarkEnd w:id="393"/>
      <w:bookmarkEnd w:id="394"/>
      <w:bookmarkEnd w:id="395"/>
    </w:p>
    <w:bookmarkEnd w:id="384"/>
    <w:bookmarkEnd w:id="385"/>
    <w:p w14:paraId="3440518D" w14:textId="045790EE" w:rsidR="00C06C51" w:rsidRPr="005C3EC8" w:rsidRDefault="00D41A8E" w:rsidP="0097728B">
      <w:pPr>
        <w:pStyle w:val="Heading3"/>
      </w:pPr>
      <w:r w:rsidRPr="005C3EC8">
        <w:t>Documentation of progress</w:t>
      </w:r>
    </w:p>
    <w:p w14:paraId="1C09A521" w14:textId="5449CA13" w:rsidR="00192674" w:rsidRDefault="001F1AD9" w:rsidP="00192674">
      <w:pPr>
        <w:spacing w:before="120"/>
        <w:rPr>
          <w:rFonts w:ascii="Calibri" w:hAnsi="Calibri"/>
        </w:rPr>
      </w:pPr>
      <w:r>
        <w:rPr>
          <w:rFonts w:ascii="Calibri" w:hAnsi="Calibri"/>
        </w:rPr>
        <w:t>From the outset, one of the MSG’s key objectives was to “</w:t>
      </w:r>
      <w:r w:rsidR="00192674">
        <w:rPr>
          <w:rFonts w:ascii="Calibri" w:hAnsi="Calibri"/>
        </w:rPr>
        <w:t>e</w:t>
      </w:r>
      <w:r w:rsidRPr="001F1AD9">
        <w:rPr>
          <w:rFonts w:ascii="Calibri" w:hAnsi="Calibri"/>
        </w:rPr>
        <w:t>nsure information is readily accessible and presented to the public in a clear manner</w:t>
      </w:r>
      <w:r>
        <w:rPr>
          <w:rFonts w:ascii="Calibri" w:hAnsi="Calibri"/>
        </w:rPr>
        <w:t xml:space="preserve">”. </w:t>
      </w:r>
      <w:r w:rsidR="00192674">
        <w:rPr>
          <w:rFonts w:ascii="Calibri" w:hAnsi="Calibri"/>
        </w:rPr>
        <w:t>In December 2015, the MSG agreed a Communications Plan</w:t>
      </w:r>
      <w:r w:rsidR="00192674">
        <w:rPr>
          <w:rStyle w:val="FootnoteReference"/>
          <w:rFonts w:ascii="Calibri" w:hAnsi="Calibri"/>
        </w:rPr>
        <w:footnoteReference w:id="376"/>
      </w:r>
      <w:r w:rsidR="00192674">
        <w:rPr>
          <w:rFonts w:ascii="Calibri" w:hAnsi="Calibri"/>
        </w:rPr>
        <w:t xml:space="preserve">. </w:t>
      </w:r>
      <w:r w:rsidR="00192674" w:rsidRPr="00192674">
        <w:rPr>
          <w:rFonts w:ascii="Calibri" w:hAnsi="Calibri"/>
        </w:rPr>
        <w:t>The communications objectives are:</w:t>
      </w:r>
    </w:p>
    <w:p w14:paraId="1CFE7141" w14:textId="77777777" w:rsidR="00192674" w:rsidRDefault="00192674" w:rsidP="008200F5">
      <w:pPr>
        <w:pStyle w:val="ListParagraph"/>
      </w:pPr>
      <w:r w:rsidRPr="00192674">
        <w:t>To raise the profile of UK EITI using a range of communication channels.</w:t>
      </w:r>
    </w:p>
    <w:p w14:paraId="3BF0A2A5" w14:textId="77777777" w:rsidR="00192674" w:rsidRDefault="00192674" w:rsidP="008200F5">
      <w:pPr>
        <w:pStyle w:val="ListParagraph"/>
      </w:pPr>
      <w:r w:rsidRPr="00192674">
        <w:t>To inform and increase public understanding of the impact of the extractives industry on the UK.</w:t>
      </w:r>
    </w:p>
    <w:p w14:paraId="23903F5F" w14:textId="77777777" w:rsidR="00192674" w:rsidRDefault="00192674" w:rsidP="008200F5">
      <w:pPr>
        <w:pStyle w:val="ListParagraph"/>
      </w:pPr>
      <w:r w:rsidRPr="00192674">
        <w:t xml:space="preserve">To present information in a useful way taking advantage of existing data to encourage debate and enhance accountability.  </w:t>
      </w:r>
    </w:p>
    <w:p w14:paraId="1C32ABE7" w14:textId="77777777" w:rsidR="00192674" w:rsidRDefault="00192674" w:rsidP="008200F5">
      <w:pPr>
        <w:pStyle w:val="ListParagraph"/>
      </w:pPr>
      <w:r w:rsidRPr="00192674">
        <w:t>To coordinate and document consultations that MSG members have with their wider constituencies on promoting EITI.</w:t>
      </w:r>
    </w:p>
    <w:p w14:paraId="12828A75" w14:textId="77777777" w:rsidR="00192674" w:rsidRDefault="00192674" w:rsidP="008200F5">
      <w:pPr>
        <w:pStyle w:val="ListParagraph"/>
      </w:pPr>
      <w:r w:rsidRPr="00192674">
        <w:t>To develop the communications plan which will be agreed by the MSG and detail how the MSG will communicate with stakeholders and members of the public.</w:t>
      </w:r>
    </w:p>
    <w:p w14:paraId="4CDB0978" w14:textId="35067881" w:rsidR="00192674" w:rsidRPr="00192674" w:rsidRDefault="00192674" w:rsidP="008200F5">
      <w:pPr>
        <w:pStyle w:val="ListParagraph"/>
      </w:pPr>
      <w:r w:rsidRPr="00192674">
        <w:t>To raise awareness within industry, civil society and government of the UK EITI and the role they play.</w:t>
      </w:r>
    </w:p>
    <w:p w14:paraId="04B4F650" w14:textId="1B73CAD9" w:rsidR="008E21A8" w:rsidRDefault="008E21A8" w:rsidP="00DF212A">
      <w:pPr>
        <w:spacing w:before="120"/>
        <w:rPr>
          <w:rFonts w:ascii="Calibri" w:hAnsi="Calibri"/>
        </w:rPr>
      </w:pPr>
      <w:r>
        <w:rPr>
          <w:rFonts w:ascii="Calibri" w:hAnsi="Calibri"/>
        </w:rPr>
        <w:t xml:space="preserve">The EITI Reports that have been published to date are clear and comprehensive. </w:t>
      </w:r>
      <w:r w:rsidR="00D33410" w:rsidRPr="00D33410">
        <w:rPr>
          <w:rFonts w:ascii="Calibri" w:hAnsi="Calibri"/>
        </w:rPr>
        <w:t>The 3</w:t>
      </w:r>
      <w:r w:rsidR="00D33410" w:rsidRPr="00D33410">
        <w:rPr>
          <w:rFonts w:ascii="Calibri" w:hAnsi="Calibri"/>
          <w:vertAlign w:val="superscript"/>
        </w:rPr>
        <w:t>rd</w:t>
      </w:r>
      <w:r w:rsidR="00D33410">
        <w:rPr>
          <w:rFonts w:ascii="Calibri" w:hAnsi="Calibri"/>
        </w:rPr>
        <w:t xml:space="preserve"> EITI R</w:t>
      </w:r>
      <w:r w:rsidR="00D33410" w:rsidRPr="00D33410">
        <w:rPr>
          <w:rFonts w:ascii="Calibri" w:hAnsi="Calibri"/>
        </w:rPr>
        <w:t>eport provided an expanded narrative on the social and economic aspects of the extractives sector in the UK.</w:t>
      </w:r>
      <w:r w:rsidR="00D33410">
        <w:rPr>
          <w:rFonts w:ascii="Calibri" w:hAnsi="Calibri"/>
        </w:rPr>
        <w:t xml:space="preserve"> </w:t>
      </w:r>
      <w:r>
        <w:rPr>
          <w:rFonts w:ascii="Calibri" w:hAnsi="Calibri"/>
        </w:rPr>
        <w:t xml:space="preserve">There are been some efforts to </w:t>
      </w:r>
      <w:r w:rsidR="00192674" w:rsidRPr="00192674">
        <w:rPr>
          <w:rFonts w:ascii="Calibri" w:hAnsi="Calibri"/>
        </w:rPr>
        <w:t>promote</w:t>
      </w:r>
      <w:r>
        <w:rPr>
          <w:rFonts w:ascii="Calibri" w:hAnsi="Calibri"/>
        </w:rPr>
        <w:t xml:space="preserve"> the reports (especially through launch events). </w:t>
      </w:r>
      <w:r w:rsidR="00D33410">
        <w:rPr>
          <w:rFonts w:ascii="Calibri" w:hAnsi="Calibri"/>
        </w:rPr>
        <w:t xml:space="preserve">Otherwise, communication efforts appear to be limited to making </w:t>
      </w:r>
      <w:r>
        <w:rPr>
          <w:rFonts w:ascii="Calibri" w:hAnsi="Calibri"/>
        </w:rPr>
        <w:t>information publicly accessible on well-</w:t>
      </w:r>
      <w:r w:rsidR="00D33410">
        <w:rPr>
          <w:rFonts w:ascii="Calibri" w:hAnsi="Calibri"/>
        </w:rPr>
        <w:t xml:space="preserve">functioning </w:t>
      </w:r>
      <w:r>
        <w:rPr>
          <w:rFonts w:ascii="Calibri" w:hAnsi="Calibri"/>
        </w:rPr>
        <w:t>website</w:t>
      </w:r>
      <w:r w:rsidR="00D33410">
        <w:rPr>
          <w:rFonts w:ascii="Calibri" w:hAnsi="Calibri"/>
        </w:rPr>
        <w:t>s</w:t>
      </w:r>
      <w:r>
        <w:rPr>
          <w:rFonts w:ascii="Calibri" w:hAnsi="Calibri"/>
        </w:rPr>
        <w:t xml:space="preserve">. </w:t>
      </w:r>
    </w:p>
    <w:p w14:paraId="41E259CA" w14:textId="341CE896" w:rsidR="00192674" w:rsidRPr="005C3EC8" w:rsidRDefault="00D33410" w:rsidP="00DF212A">
      <w:pPr>
        <w:spacing w:before="120"/>
        <w:rPr>
          <w:rFonts w:ascii="Calibri" w:hAnsi="Calibri"/>
        </w:rPr>
      </w:pPr>
      <w:r>
        <w:rPr>
          <w:rFonts w:ascii="Calibri" w:hAnsi="Calibri"/>
        </w:rPr>
        <w:t>T</w:t>
      </w:r>
      <w:r w:rsidR="00192674" w:rsidRPr="00192674">
        <w:rPr>
          <w:rFonts w:ascii="Calibri" w:hAnsi="Calibri"/>
        </w:rPr>
        <w:t>he MSG has agreed a policy on the access, release and reuse of EITI data.</w:t>
      </w:r>
      <w:r w:rsidR="00774E21">
        <w:rPr>
          <w:rFonts w:ascii="Calibri" w:hAnsi="Calibri"/>
        </w:rPr>
        <w:t xml:space="preserve"> I</w:t>
      </w:r>
      <w:r w:rsidR="00774E21" w:rsidRPr="00774E21">
        <w:rPr>
          <w:rFonts w:ascii="Calibri" w:hAnsi="Calibri"/>
        </w:rPr>
        <w:t>n January 2017,</w:t>
      </w:r>
      <w:r>
        <w:rPr>
          <w:rFonts w:ascii="Calibri" w:hAnsi="Calibri"/>
        </w:rPr>
        <w:t xml:space="preserve"> </w:t>
      </w:r>
      <w:r w:rsidR="00774E21" w:rsidRPr="00774E21">
        <w:rPr>
          <w:rFonts w:ascii="Calibri" w:hAnsi="Calibri"/>
        </w:rPr>
        <w:t>the MSG approved an open data policy for UK EITI</w:t>
      </w:r>
      <w:r w:rsidR="00774E21">
        <w:rPr>
          <w:rStyle w:val="FootnoteReference"/>
          <w:rFonts w:ascii="Calibri" w:hAnsi="Calibri"/>
        </w:rPr>
        <w:footnoteReference w:id="377"/>
      </w:r>
      <w:r w:rsidR="00774E21" w:rsidRPr="00774E21">
        <w:rPr>
          <w:rFonts w:ascii="Calibri" w:hAnsi="Calibri"/>
        </w:rPr>
        <w:t xml:space="preserve">. The MSG agreed that each UK EITI report and associated data </w:t>
      </w:r>
      <w:r w:rsidR="00774E21" w:rsidRPr="00774E21">
        <w:rPr>
          <w:rFonts w:ascii="Calibri" w:hAnsi="Calibri"/>
        </w:rPr>
        <w:lastRenderedPageBreak/>
        <w:t>should be published on UK Government websites. Th</w:t>
      </w:r>
      <w:r>
        <w:rPr>
          <w:rFonts w:ascii="Calibri" w:hAnsi="Calibri"/>
        </w:rPr>
        <w:t xml:space="preserve">e policy aims to ensure that </w:t>
      </w:r>
      <w:r w:rsidR="00774E21" w:rsidRPr="00774E21">
        <w:rPr>
          <w:rFonts w:ascii="Calibri" w:hAnsi="Calibri"/>
        </w:rPr>
        <w:t xml:space="preserve">that all UK EITI data </w:t>
      </w:r>
      <w:r>
        <w:rPr>
          <w:rFonts w:ascii="Calibri" w:hAnsi="Calibri"/>
        </w:rPr>
        <w:t xml:space="preserve">is </w:t>
      </w:r>
      <w:r w:rsidR="00774E21" w:rsidRPr="00774E21">
        <w:rPr>
          <w:rFonts w:ascii="Calibri" w:hAnsi="Calibri"/>
        </w:rPr>
        <w:t>published in a standardised, open format, which is machine-readable and can be accessed by all through the data.gov website.</w:t>
      </w:r>
      <w:r>
        <w:rPr>
          <w:rFonts w:ascii="Calibri" w:hAnsi="Calibri"/>
        </w:rPr>
        <w:t xml:space="preserve"> </w:t>
      </w:r>
      <w:r w:rsidR="00774E21" w:rsidRPr="00774E21">
        <w:rPr>
          <w:rFonts w:ascii="Calibri" w:hAnsi="Calibri"/>
        </w:rPr>
        <w:t xml:space="preserve">UK EITI data </w:t>
      </w:r>
      <w:r w:rsidR="00C36A59">
        <w:rPr>
          <w:rFonts w:ascii="Calibri" w:hAnsi="Calibri"/>
        </w:rPr>
        <w:t>was</w:t>
      </w:r>
      <w:r>
        <w:rPr>
          <w:rFonts w:ascii="Calibri" w:hAnsi="Calibri"/>
        </w:rPr>
        <w:t xml:space="preserve"> </w:t>
      </w:r>
      <w:r w:rsidR="00774E21" w:rsidRPr="00774E21">
        <w:rPr>
          <w:rFonts w:ascii="Calibri" w:hAnsi="Calibri"/>
        </w:rPr>
        <w:t>published on data.gov.uk</w:t>
      </w:r>
      <w:r w:rsidR="00C36A59">
        <w:rPr>
          <w:rStyle w:val="FootnoteReference"/>
          <w:rFonts w:ascii="Calibri" w:hAnsi="Calibri"/>
        </w:rPr>
        <w:footnoteReference w:id="378"/>
      </w:r>
      <w:r>
        <w:rPr>
          <w:rFonts w:ascii="Calibri" w:hAnsi="Calibri"/>
        </w:rPr>
        <w:t>.</w:t>
      </w:r>
    </w:p>
    <w:p w14:paraId="42EC68D5" w14:textId="4CBE160C" w:rsidR="00CF5F5D" w:rsidRPr="005C3EC8" w:rsidRDefault="00D41A8E">
      <w:pPr>
        <w:pStyle w:val="Heading3"/>
      </w:pPr>
      <w:r w:rsidRPr="005C3EC8">
        <w:t>Sta</w:t>
      </w:r>
      <w:bookmarkStart w:id="396" w:name="outcomesstakeholderviews"/>
      <w:bookmarkEnd w:id="396"/>
      <w:r w:rsidRPr="005C3EC8">
        <w:t>keholder views</w:t>
      </w:r>
    </w:p>
    <w:p w14:paraId="37D7089A" w14:textId="1ADD6B3E" w:rsidR="00D33410" w:rsidRPr="005C3EC8" w:rsidRDefault="00D33410" w:rsidP="00C61629">
      <w:pPr>
        <w:rPr>
          <w:rFonts w:ascii="Calibri" w:hAnsi="Calibri"/>
        </w:rPr>
      </w:pPr>
      <w:r w:rsidRPr="005C3EC8">
        <w:rPr>
          <w:rFonts w:ascii="Calibri" w:hAnsi="Calibri"/>
        </w:rPr>
        <w:t xml:space="preserve">The majority of stakeholders </w:t>
      </w:r>
      <w:r>
        <w:rPr>
          <w:rFonts w:ascii="Calibri" w:hAnsi="Calibri"/>
        </w:rPr>
        <w:t xml:space="preserve">noted that the EITI </w:t>
      </w:r>
      <w:r w:rsidRPr="005C3EC8">
        <w:rPr>
          <w:rFonts w:ascii="Calibri" w:hAnsi="Calibri"/>
        </w:rPr>
        <w:t>had not had a</w:t>
      </w:r>
      <w:r>
        <w:rPr>
          <w:rFonts w:ascii="Calibri" w:hAnsi="Calibri"/>
        </w:rPr>
        <w:t xml:space="preserve"> significant</w:t>
      </w:r>
      <w:r w:rsidRPr="005C3EC8">
        <w:rPr>
          <w:rFonts w:ascii="Calibri" w:hAnsi="Calibri"/>
        </w:rPr>
        <w:t xml:space="preserve"> impact on the public’s understanding of the extractives. Most stakeholders considered that the timeliness of EITI reporting, with data published a year and a half after government figures, was a concern. However, several government and industry representatives highlighted the value of ‘final’ EITI figures, given that government (e.g. HMRC) figures tended to be revised up to 18-24 months after the end of the fiscal period. </w:t>
      </w:r>
    </w:p>
    <w:p w14:paraId="4F71DE67" w14:textId="77777777" w:rsidR="00D33410" w:rsidRPr="005C3EC8" w:rsidRDefault="00D33410" w:rsidP="00D33410">
      <w:pPr>
        <w:rPr>
          <w:rFonts w:ascii="Calibri" w:hAnsi="Calibri"/>
        </w:rPr>
      </w:pPr>
      <w:r w:rsidRPr="005C3EC8">
        <w:rPr>
          <w:rFonts w:ascii="Calibri" w:hAnsi="Calibri"/>
        </w:rPr>
        <w:t>There has been some use of EITI data, primarily by industry and civil society. Oil and Gas UK has drawn on EITI figures in its submissions to Parliament. Several articles in the British press (e.g. BBC, Financial Times) have also used specific EITI data points. There is less evidence of use of EITI data from the mining industry. Civil society has drawn on EITI data, most recently in comparing company reporting to UKEITI with mandatory payments to governments reports.</w:t>
      </w:r>
      <w:r w:rsidRPr="005C3EC8">
        <w:rPr>
          <w:rFonts w:ascii="Calibri" w:hAnsi="Calibri"/>
          <w:vertAlign w:val="superscript"/>
        </w:rPr>
        <w:footnoteReference w:id="379"/>
      </w:r>
      <w:r w:rsidRPr="005C3EC8">
        <w:rPr>
          <w:rFonts w:ascii="Calibri" w:hAnsi="Calibri"/>
        </w:rPr>
        <w:t xml:space="preserve"> Yet the UK’s EITI reporting has not yet established itself as a key gateway to information on the extractive industries. </w:t>
      </w:r>
    </w:p>
    <w:p w14:paraId="2FCCD897" w14:textId="5A0995CE" w:rsidR="00E56111" w:rsidRPr="005C3EC8" w:rsidRDefault="00D33410" w:rsidP="00D33410">
      <w:pPr>
        <w:rPr>
          <w:rFonts w:ascii="Calibri" w:hAnsi="Calibri"/>
        </w:rPr>
      </w:pPr>
      <w:r w:rsidRPr="005C3EC8">
        <w:rPr>
          <w:rFonts w:ascii="Calibri" w:hAnsi="Calibri"/>
        </w:rPr>
        <w:t xml:space="preserve">There is scope for the EITI to contribute more to the public’s understanding in key areas such as oil and gas decommissioning, prospects for shale gas, mining and quarrying companies’ Section 106 payments. </w:t>
      </w:r>
    </w:p>
    <w:p w14:paraId="4A6F2D69" w14:textId="1B27860E" w:rsidR="00601017" w:rsidRPr="005C3EC8" w:rsidRDefault="00601017">
      <w:pPr>
        <w:pStyle w:val="Heading3"/>
      </w:pPr>
      <w:r w:rsidRPr="005C3EC8">
        <w:t xml:space="preserve">Initial </w:t>
      </w:r>
      <w:r w:rsidR="0073607A" w:rsidRPr="005C3EC8">
        <w:t>a</w:t>
      </w:r>
      <w:r w:rsidR="00D41A8E" w:rsidRPr="005C3EC8">
        <w:t>ssessment</w:t>
      </w:r>
    </w:p>
    <w:p w14:paraId="1BFAC689" w14:textId="7CCBC565" w:rsidR="00896EF9" w:rsidRDefault="000625E3" w:rsidP="00896EF9">
      <w:pPr>
        <w:spacing w:before="120"/>
      </w:pPr>
      <w:r w:rsidRPr="005C3EC8">
        <w:rPr>
          <w:rFonts w:ascii="Calibri" w:hAnsi="Calibri"/>
          <w:color w:val="000000" w:themeColor="text1"/>
          <w:lang w:eastAsia="x-none"/>
        </w:rPr>
        <w:t xml:space="preserve">The International Secretariat’s initial assessment is that </w:t>
      </w:r>
      <w:r w:rsidR="00896EF9" w:rsidRPr="00896EF9">
        <w:rPr>
          <w:rFonts w:ascii="Calibri" w:hAnsi="Calibri"/>
        </w:rPr>
        <w:t>the UK</w:t>
      </w:r>
      <w:r w:rsidR="00112D9C" w:rsidRPr="005C3EC8">
        <w:rPr>
          <w:rFonts w:ascii="Calibri" w:hAnsi="Calibri"/>
          <w:color w:val="000000" w:themeColor="text1"/>
          <w:lang w:eastAsia="x-none"/>
        </w:rPr>
        <w:t xml:space="preserve"> </w:t>
      </w:r>
      <w:r w:rsidRPr="005C3EC8">
        <w:rPr>
          <w:rFonts w:ascii="Calibri" w:hAnsi="Calibri"/>
          <w:color w:val="000000" w:themeColor="text1"/>
          <w:lang w:eastAsia="x-none"/>
        </w:rPr>
        <w:t xml:space="preserve">has made </w:t>
      </w:r>
      <w:r w:rsidR="00896EF9" w:rsidRPr="003B7537">
        <w:rPr>
          <w:rFonts w:ascii="Calibri" w:hAnsi="Calibri"/>
          <w:bCs/>
        </w:rPr>
        <w:t>satisfactory progress</w:t>
      </w:r>
      <w:r w:rsidR="00112D9C" w:rsidRPr="005C3EC8">
        <w:rPr>
          <w:rFonts w:ascii="Calibri" w:hAnsi="Calibri"/>
          <w:color w:val="000000" w:themeColor="text1"/>
          <w:lang w:eastAsia="x-none"/>
        </w:rPr>
        <w:t xml:space="preserve"> </w:t>
      </w:r>
      <w:r w:rsidRPr="005C3EC8">
        <w:rPr>
          <w:rFonts w:ascii="Calibri" w:hAnsi="Calibri"/>
          <w:color w:val="000000" w:themeColor="text1"/>
          <w:lang w:eastAsia="x-none"/>
        </w:rPr>
        <w:t>in</w:t>
      </w:r>
      <w:r w:rsidR="007C7298">
        <w:rPr>
          <w:rFonts w:ascii="Calibri" w:hAnsi="Calibri"/>
          <w:color w:val="000000" w:themeColor="text1"/>
          <w:lang w:eastAsia="x-none"/>
        </w:rPr>
        <w:t xml:space="preserve"> </w:t>
      </w:r>
      <w:r w:rsidRPr="005C3EC8">
        <w:rPr>
          <w:rFonts w:ascii="Calibri" w:hAnsi="Calibri"/>
          <w:color w:val="000000" w:themeColor="text1"/>
          <w:lang w:eastAsia="x-none"/>
        </w:rPr>
        <w:t>meeting this requirement.</w:t>
      </w:r>
      <w:r w:rsidR="00901E68" w:rsidRPr="005C3EC8">
        <w:rPr>
          <w:rFonts w:ascii="Calibri" w:hAnsi="Calibri"/>
          <w:color w:val="000000" w:themeColor="text1"/>
          <w:lang w:eastAsia="x-none"/>
        </w:rPr>
        <w:t xml:space="preserve"> </w:t>
      </w:r>
      <w:r w:rsidR="00896EF9">
        <w:t xml:space="preserve">UK </w:t>
      </w:r>
      <w:r w:rsidR="00896EF9" w:rsidRPr="005446C0">
        <w:t xml:space="preserve">EITI has </w:t>
      </w:r>
      <w:r w:rsidR="00896EF9">
        <w:t xml:space="preserve">ensured that the </w:t>
      </w:r>
      <w:r w:rsidR="00896EF9" w:rsidRPr="00D33410">
        <w:t>EITI Report</w:t>
      </w:r>
      <w:r w:rsidR="00896EF9">
        <w:t xml:space="preserve"> is </w:t>
      </w:r>
      <w:r w:rsidR="00896EF9" w:rsidRPr="00D33410">
        <w:t>comprehensible</w:t>
      </w:r>
      <w:r w:rsidR="00896EF9">
        <w:t xml:space="preserve"> and </w:t>
      </w:r>
      <w:r w:rsidR="00896EF9" w:rsidRPr="005446C0">
        <w:t xml:space="preserve">accessible to the general public. </w:t>
      </w:r>
      <w:r w:rsidR="00896EF9">
        <w:t xml:space="preserve">The reports have </w:t>
      </w:r>
      <w:r w:rsidR="00896EF9" w:rsidRPr="005446C0">
        <w:t xml:space="preserve">brought together information on the regulation and governance of the sector that is otherwise </w:t>
      </w:r>
      <w:r w:rsidR="00896EF9">
        <w:t>scattered</w:t>
      </w:r>
      <w:r w:rsidR="00896EF9" w:rsidRPr="005446C0">
        <w:t>.</w:t>
      </w:r>
      <w:r w:rsidR="00896EF9">
        <w:t xml:space="preserve"> There have been limited efforts to promote this work beyond Report launch events, and there is limited evidence to suggest that the EITI has contributed to </w:t>
      </w:r>
      <w:r w:rsidR="00896EF9" w:rsidRPr="00D33410">
        <w:t>public debate</w:t>
      </w:r>
      <w:r w:rsidR="00896EF9">
        <w:t>.</w:t>
      </w:r>
    </w:p>
    <w:p w14:paraId="3060BF5C" w14:textId="3A059BB6" w:rsidR="007C7298" w:rsidRPr="00B77E72" w:rsidRDefault="007C7298" w:rsidP="00B77E72">
      <w:pPr>
        <w:rPr>
          <w:rFonts w:ascii="Calibri" w:hAnsi="Calibri"/>
        </w:rPr>
      </w:pPr>
      <w:r>
        <w:rPr>
          <w:rFonts w:ascii="Calibri" w:hAnsi="Calibri"/>
          <w:color w:val="000000" w:themeColor="text1"/>
          <w:lang w:eastAsia="x-none"/>
        </w:rPr>
        <w:t xml:space="preserve">The controversy regarding civil society engagement on the MSG has undoubtedly detracted from efforts to explore opportunities to increase the use of EITI data. </w:t>
      </w:r>
      <w:r w:rsidR="00B77E72">
        <w:rPr>
          <w:rFonts w:ascii="Calibri" w:hAnsi="Calibri"/>
          <w:color w:val="000000" w:themeColor="text1"/>
          <w:lang w:eastAsia="x-none"/>
        </w:rPr>
        <w:t xml:space="preserve">It is recommended that </w:t>
      </w:r>
      <w:r w:rsidR="00B77E72">
        <w:rPr>
          <w:rFonts w:ascii="Calibri" w:hAnsi="Calibri"/>
        </w:rPr>
        <w:t>a</w:t>
      </w:r>
      <w:r w:rsidR="00B77E72" w:rsidRPr="005C3EC8">
        <w:rPr>
          <w:rFonts w:ascii="Calibri" w:hAnsi="Calibri"/>
        </w:rPr>
        <w:t xml:space="preserve"> reconstituted MSG, with the full, active and effective engagement of civil society</w:t>
      </w:r>
      <w:r w:rsidR="00B77E72">
        <w:rPr>
          <w:rFonts w:ascii="Calibri" w:hAnsi="Calibri"/>
        </w:rPr>
        <w:t xml:space="preserve">, </w:t>
      </w:r>
      <w:r w:rsidR="00B77E72" w:rsidRPr="005C3EC8">
        <w:rPr>
          <w:rFonts w:ascii="Calibri" w:hAnsi="Calibri"/>
        </w:rPr>
        <w:t>should review the impact of the first five years of EITI implementation and explore the opportunities to further leverage the EITI platform to enrich public debate on the governance and stewardship of the UK's oil, gas and mineral resources.</w:t>
      </w:r>
    </w:p>
    <w:p w14:paraId="42A27FBD" w14:textId="77777777" w:rsidR="00601017" w:rsidRPr="005C3EC8" w:rsidRDefault="00601017" w:rsidP="0097728B">
      <w:pPr>
        <w:pStyle w:val="Heading2"/>
      </w:pPr>
      <w:bookmarkStart w:id="397" w:name="_Toc458773263"/>
      <w:bookmarkStart w:id="398" w:name="_Toc458780360"/>
      <w:bookmarkStart w:id="399" w:name="_Toc461803154"/>
      <w:bookmarkStart w:id="400" w:name="_Toc461787365"/>
      <w:bookmarkStart w:id="401" w:name="_Toc461795877"/>
      <w:bookmarkStart w:id="402" w:name="_Toc462149209"/>
      <w:bookmarkStart w:id="403" w:name="_Toc459133205"/>
      <w:r w:rsidRPr="005C3EC8">
        <w:t>Data Accessibility (#7.2)</w:t>
      </w:r>
      <w:bookmarkEnd w:id="397"/>
      <w:bookmarkEnd w:id="398"/>
      <w:bookmarkEnd w:id="399"/>
      <w:bookmarkEnd w:id="400"/>
      <w:bookmarkEnd w:id="401"/>
      <w:bookmarkEnd w:id="402"/>
    </w:p>
    <w:bookmarkEnd w:id="403"/>
    <w:p w14:paraId="11A1F092" w14:textId="77777777" w:rsidR="00601017" w:rsidRPr="005C3EC8" w:rsidRDefault="00D41A8E" w:rsidP="0097728B">
      <w:pPr>
        <w:pStyle w:val="Heading3"/>
      </w:pPr>
      <w:r w:rsidRPr="005C3EC8">
        <w:t>Documentation of progress</w:t>
      </w:r>
    </w:p>
    <w:p w14:paraId="300FF85E" w14:textId="0BF7EAB0" w:rsidR="00C36A59" w:rsidRPr="005C3EC8" w:rsidRDefault="00C61629" w:rsidP="0058647A">
      <w:pPr>
        <w:spacing w:before="120"/>
        <w:rPr>
          <w:rFonts w:ascii="Calibri" w:hAnsi="Calibri"/>
        </w:rPr>
      </w:pPr>
      <w:r>
        <w:rPr>
          <w:rFonts w:ascii="Calibri" w:hAnsi="Calibri"/>
        </w:rPr>
        <w:t xml:space="preserve">In accordance with the MSG’s open data policy, the </w:t>
      </w:r>
      <w:r w:rsidR="00C36A59" w:rsidRPr="00774E21">
        <w:rPr>
          <w:rFonts w:ascii="Calibri" w:hAnsi="Calibri"/>
        </w:rPr>
        <w:t xml:space="preserve">EITI data </w:t>
      </w:r>
      <w:r w:rsidR="00C36A59">
        <w:rPr>
          <w:rFonts w:ascii="Calibri" w:hAnsi="Calibri"/>
        </w:rPr>
        <w:t xml:space="preserve">is </w:t>
      </w:r>
      <w:r w:rsidR="00C36A59" w:rsidRPr="00774E21">
        <w:rPr>
          <w:rFonts w:ascii="Calibri" w:hAnsi="Calibri"/>
        </w:rPr>
        <w:t>published on data.gov.uk</w:t>
      </w:r>
      <w:r>
        <w:rPr>
          <w:rFonts w:ascii="Calibri" w:hAnsi="Calibri"/>
        </w:rPr>
        <w:t xml:space="preserve"> in a range of file formats</w:t>
      </w:r>
      <w:r w:rsidR="00C36A59">
        <w:rPr>
          <w:rFonts w:ascii="Calibri" w:hAnsi="Calibri"/>
        </w:rPr>
        <w:t xml:space="preserve">. The UK EITI has </w:t>
      </w:r>
      <w:r>
        <w:rPr>
          <w:rFonts w:ascii="Calibri" w:hAnsi="Calibri"/>
        </w:rPr>
        <w:t xml:space="preserve">also </w:t>
      </w:r>
      <w:r w:rsidR="00C36A59">
        <w:rPr>
          <w:rFonts w:ascii="Calibri" w:hAnsi="Calibri"/>
        </w:rPr>
        <w:t xml:space="preserve">completed summary data files </w:t>
      </w:r>
      <w:r>
        <w:rPr>
          <w:rFonts w:ascii="Calibri" w:hAnsi="Calibri"/>
        </w:rPr>
        <w:t xml:space="preserve">for the four EITI Reports that have been </w:t>
      </w:r>
      <w:r>
        <w:rPr>
          <w:rFonts w:ascii="Calibri" w:hAnsi="Calibri"/>
        </w:rPr>
        <w:lastRenderedPageBreak/>
        <w:t>published to date</w:t>
      </w:r>
      <w:r w:rsidR="00C36A59">
        <w:rPr>
          <w:rStyle w:val="FootnoteReference"/>
          <w:rFonts w:ascii="Calibri" w:hAnsi="Calibri"/>
        </w:rPr>
        <w:footnoteReference w:id="380"/>
      </w:r>
      <w:r w:rsidR="00C36A59">
        <w:rPr>
          <w:rFonts w:ascii="Calibri" w:hAnsi="Calibri"/>
        </w:rPr>
        <w:t xml:space="preserve">. </w:t>
      </w:r>
    </w:p>
    <w:p w14:paraId="37EF6906" w14:textId="77777777" w:rsidR="00601017" w:rsidRPr="005C3EC8" w:rsidRDefault="00D41A8E">
      <w:pPr>
        <w:pStyle w:val="Heading3"/>
      </w:pPr>
      <w:r w:rsidRPr="005C3EC8">
        <w:t>Stakeholder views</w:t>
      </w:r>
    </w:p>
    <w:p w14:paraId="016A6CAF" w14:textId="78DE9AD0" w:rsidR="00AE017B" w:rsidRPr="005C3EC8" w:rsidRDefault="00C61629" w:rsidP="00805B01">
      <w:pPr>
        <w:spacing w:before="120"/>
        <w:rPr>
          <w:rFonts w:ascii="Calibri" w:hAnsi="Calibri"/>
        </w:rPr>
      </w:pPr>
      <w:r w:rsidRPr="005C3EC8">
        <w:rPr>
          <w:rFonts w:ascii="Calibri" w:hAnsi="Calibri"/>
        </w:rPr>
        <w:t>There is limited demand for EITI data, not least since a considerable amount of information is already publicly available. Oil, gas and mining companies incorporated in the United Kingdom or listed on the London Stock Exchange (LSE) publish reports on payments to governments each year under UK law. Payment reporting covers payment types as published under the EITI. While these are not</w:t>
      </w:r>
      <w:r w:rsidRPr="005C3EC8">
        <w:t xml:space="preserve"> </w:t>
      </w:r>
      <w:r w:rsidRPr="005C3EC8">
        <w:rPr>
          <w:rFonts w:ascii="Calibri" w:hAnsi="Calibri"/>
        </w:rPr>
        <w:t>disaggregated to the levels required by the EITI Standard, they are more up to date and cover every country where each company operates. The UK EITI Reports collate a wide range of information relating to the UK. In accordance with the 2016 EITI Standard, they reconcile company and government disclosures. The resulting information is of interest to relatively small and specialised audiences.</w:t>
      </w:r>
    </w:p>
    <w:p w14:paraId="1EAA5C96" w14:textId="6E0B3E9A" w:rsidR="00601017" w:rsidRPr="005C3EC8" w:rsidRDefault="0073607A">
      <w:pPr>
        <w:pStyle w:val="Heading3"/>
      </w:pPr>
      <w:r w:rsidRPr="005C3EC8">
        <w:t>Initial a</w:t>
      </w:r>
      <w:r w:rsidR="00D41A8E" w:rsidRPr="005C3EC8">
        <w:t>ssessment</w:t>
      </w:r>
      <w:r w:rsidR="008855A4" w:rsidRPr="005C3EC8">
        <w:t xml:space="preserve"> </w:t>
      </w:r>
    </w:p>
    <w:p w14:paraId="7A4D9116" w14:textId="5B53871A" w:rsidR="00D41A8E" w:rsidRPr="007A1029" w:rsidRDefault="007A1029" w:rsidP="007A1029">
      <w:pPr>
        <w:rPr>
          <w:rFonts w:ascii="Calibri" w:hAnsi="Calibri"/>
        </w:rPr>
      </w:pPr>
      <w:r w:rsidRPr="0000070D">
        <w:rPr>
          <w:rFonts w:ascii="Calibri" w:hAnsi="Calibri"/>
        </w:rPr>
        <w:t xml:space="preserve">The provisions of Requirement 7.2 are encouraged and </w:t>
      </w:r>
      <w:r>
        <w:rPr>
          <w:rFonts w:ascii="Calibri" w:hAnsi="Calibri"/>
        </w:rPr>
        <w:t xml:space="preserve">are </w:t>
      </w:r>
      <w:r w:rsidRPr="0000070D">
        <w:rPr>
          <w:rFonts w:ascii="Calibri" w:hAnsi="Calibri"/>
        </w:rPr>
        <w:t xml:space="preserve">not considered when assessing compliance with the EITI Standard. </w:t>
      </w:r>
    </w:p>
    <w:p w14:paraId="7D4D6E4A" w14:textId="77777777" w:rsidR="00601017" w:rsidRPr="005C3EC8" w:rsidRDefault="00601017" w:rsidP="0097728B">
      <w:pPr>
        <w:pStyle w:val="Heading2"/>
      </w:pPr>
      <w:bookmarkStart w:id="404" w:name="_Toc461796701"/>
      <w:bookmarkStart w:id="405" w:name="_Toc458773264"/>
      <w:bookmarkStart w:id="406" w:name="_Toc458780361"/>
      <w:bookmarkStart w:id="407" w:name="_Toc461803155"/>
      <w:bookmarkStart w:id="408" w:name="_Toc461787366"/>
      <w:bookmarkStart w:id="409" w:name="_Toc461795878"/>
      <w:bookmarkStart w:id="410" w:name="_Toc462149210"/>
      <w:bookmarkStart w:id="411" w:name="_Toc459133206"/>
      <w:bookmarkEnd w:id="404"/>
      <w:r w:rsidRPr="005C3EC8">
        <w:t>Lessons Learned and follow-up on recommendations (#7.3)</w:t>
      </w:r>
      <w:bookmarkEnd w:id="405"/>
      <w:bookmarkEnd w:id="406"/>
      <w:bookmarkEnd w:id="407"/>
      <w:bookmarkEnd w:id="408"/>
      <w:bookmarkEnd w:id="409"/>
      <w:bookmarkEnd w:id="410"/>
    </w:p>
    <w:bookmarkEnd w:id="411"/>
    <w:p w14:paraId="02104D10" w14:textId="77777777" w:rsidR="00D40D00" w:rsidRPr="005C3EC8" w:rsidRDefault="00D41A8E" w:rsidP="0097728B">
      <w:pPr>
        <w:pStyle w:val="Heading3"/>
      </w:pPr>
      <w:r w:rsidRPr="005C3EC8">
        <w:t>Documentation of progress</w:t>
      </w:r>
      <w:r w:rsidR="00556655" w:rsidRPr="005C3EC8">
        <w:t xml:space="preserve"> </w:t>
      </w:r>
    </w:p>
    <w:p w14:paraId="0B5EA1C7" w14:textId="349A4AAE" w:rsidR="008200F5" w:rsidRDefault="004005B6" w:rsidP="00224680">
      <w:pPr>
        <w:spacing w:before="120"/>
        <w:rPr>
          <w:rFonts w:ascii="Calibri" w:hAnsi="Calibri"/>
          <w:bCs/>
          <w:iCs/>
        </w:rPr>
      </w:pPr>
      <w:r w:rsidRPr="004005B6">
        <w:rPr>
          <w:rFonts w:ascii="Calibri" w:hAnsi="Calibri"/>
          <w:bCs/>
          <w:iCs/>
        </w:rPr>
        <w:t xml:space="preserve">The MSG </w:t>
      </w:r>
      <w:r>
        <w:rPr>
          <w:rFonts w:ascii="Calibri" w:hAnsi="Calibri"/>
          <w:bCs/>
          <w:iCs/>
        </w:rPr>
        <w:t>has considered the</w:t>
      </w:r>
      <w:r w:rsidRPr="004005B6">
        <w:rPr>
          <w:rFonts w:ascii="Calibri" w:hAnsi="Calibri"/>
          <w:bCs/>
          <w:iCs/>
        </w:rPr>
        <w:t xml:space="preserve"> recommendations from the IA</w:t>
      </w:r>
      <w:r>
        <w:rPr>
          <w:rFonts w:ascii="Calibri" w:hAnsi="Calibri"/>
          <w:bCs/>
          <w:iCs/>
        </w:rPr>
        <w:t xml:space="preserve"> from each EITI Report. The 2017 </w:t>
      </w:r>
      <w:r w:rsidR="00AF553A">
        <w:rPr>
          <w:rFonts w:ascii="Calibri" w:hAnsi="Calibri"/>
          <w:bCs/>
          <w:iCs/>
        </w:rPr>
        <w:t>a</w:t>
      </w:r>
      <w:r>
        <w:rPr>
          <w:rFonts w:ascii="Calibri" w:hAnsi="Calibri"/>
          <w:bCs/>
          <w:iCs/>
        </w:rPr>
        <w:t xml:space="preserve">nnual </w:t>
      </w:r>
      <w:r w:rsidR="00AF553A">
        <w:rPr>
          <w:rFonts w:ascii="Calibri" w:hAnsi="Calibri"/>
          <w:bCs/>
          <w:iCs/>
        </w:rPr>
        <w:t>p</w:t>
      </w:r>
      <w:r>
        <w:rPr>
          <w:rFonts w:ascii="Calibri" w:hAnsi="Calibri"/>
          <w:bCs/>
          <w:iCs/>
        </w:rPr>
        <w:t xml:space="preserve">rogress </w:t>
      </w:r>
      <w:r w:rsidR="00AF553A">
        <w:rPr>
          <w:rFonts w:ascii="Calibri" w:hAnsi="Calibri"/>
          <w:bCs/>
          <w:iCs/>
        </w:rPr>
        <w:t>r</w:t>
      </w:r>
      <w:r>
        <w:rPr>
          <w:rFonts w:ascii="Calibri" w:hAnsi="Calibri"/>
          <w:bCs/>
          <w:iCs/>
        </w:rPr>
        <w:t>eport</w:t>
      </w:r>
      <w:r>
        <w:rPr>
          <w:rStyle w:val="FootnoteReference"/>
          <w:rFonts w:ascii="Calibri" w:hAnsi="Calibri"/>
          <w:bCs/>
          <w:iCs/>
        </w:rPr>
        <w:footnoteReference w:id="381"/>
      </w:r>
      <w:r>
        <w:rPr>
          <w:rFonts w:ascii="Calibri" w:hAnsi="Calibri"/>
          <w:bCs/>
          <w:iCs/>
        </w:rPr>
        <w:t xml:space="preserve"> provides an overview of the MSG’s </w:t>
      </w:r>
      <w:r w:rsidRPr="004005B6">
        <w:rPr>
          <w:rFonts w:ascii="Calibri" w:hAnsi="Calibri"/>
          <w:bCs/>
          <w:iCs/>
        </w:rPr>
        <w:t xml:space="preserve">responses to the recommendations from </w:t>
      </w:r>
      <w:r w:rsidR="008200F5">
        <w:rPr>
          <w:rFonts w:ascii="Calibri" w:hAnsi="Calibri"/>
          <w:bCs/>
          <w:iCs/>
        </w:rPr>
        <w:t>the 3</w:t>
      </w:r>
      <w:r w:rsidR="008200F5" w:rsidRPr="008200F5">
        <w:rPr>
          <w:rFonts w:ascii="Calibri" w:hAnsi="Calibri"/>
          <w:bCs/>
          <w:iCs/>
          <w:vertAlign w:val="superscript"/>
        </w:rPr>
        <w:t>rd</w:t>
      </w:r>
      <w:r w:rsidR="008200F5">
        <w:rPr>
          <w:rFonts w:ascii="Calibri" w:hAnsi="Calibri"/>
          <w:bCs/>
          <w:iCs/>
        </w:rPr>
        <w:t xml:space="preserve"> EITI Report. </w:t>
      </w:r>
      <w:r>
        <w:rPr>
          <w:rFonts w:ascii="Calibri" w:hAnsi="Calibri"/>
          <w:bCs/>
          <w:iCs/>
        </w:rPr>
        <w:t xml:space="preserve">These focus on the reporting and reconciliation process. Specifically, the MSG noted that </w:t>
      </w:r>
      <w:r w:rsidRPr="004005B6">
        <w:rPr>
          <w:rFonts w:ascii="Calibri" w:hAnsi="Calibri"/>
          <w:bCs/>
          <w:iCs/>
        </w:rPr>
        <w:t>a number of discrepancies arose due to</w:t>
      </w:r>
      <w:r w:rsidR="008200F5">
        <w:rPr>
          <w:rFonts w:ascii="Calibri" w:hAnsi="Calibri"/>
          <w:bCs/>
          <w:iCs/>
        </w:rPr>
        <w:t>:</w:t>
      </w:r>
    </w:p>
    <w:p w14:paraId="24507EE5" w14:textId="77777777" w:rsidR="008200F5" w:rsidRDefault="008200F5" w:rsidP="008200F5">
      <w:pPr>
        <w:pStyle w:val="ListParagraph"/>
      </w:pPr>
      <w:r>
        <w:t xml:space="preserve">Some </w:t>
      </w:r>
      <w:r w:rsidR="004005B6" w:rsidRPr="004005B6">
        <w:t>licensees reported payments that were not licence fees or the OGA levy;</w:t>
      </w:r>
    </w:p>
    <w:p w14:paraId="14914B29" w14:textId="77777777" w:rsidR="008200F5" w:rsidRDefault="008200F5" w:rsidP="008200F5">
      <w:pPr>
        <w:pStyle w:val="ListParagraph"/>
      </w:pPr>
      <w:r>
        <w:t>S</w:t>
      </w:r>
      <w:r w:rsidR="004005B6" w:rsidRPr="004005B6">
        <w:t>ome participants incorrectly reported payments related to Research and Development Expenditure payments, which fall outside the reconciliation scope;</w:t>
      </w:r>
    </w:p>
    <w:p w14:paraId="20985099" w14:textId="77777777" w:rsidR="008200F5" w:rsidRDefault="004005B6" w:rsidP="008200F5">
      <w:pPr>
        <w:pStyle w:val="ListParagraph"/>
      </w:pPr>
      <w:r w:rsidRPr="004005B6">
        <w:t>some payments and repayments of interest and APRT were omitted.</w:t>
      </w:r>
    </w:p>
    <w:p w14:paraId="0FB29E86" w14:textId="5ADE3F52" w:rsidR="004005B6" w:rsidRDefault="008200F5" w:rsidP="008200F5">
      <w:r>
        <w:t xml:space="preserve">The MSG subsequently reviewed the reporting templates and </w:t>
      </w:r>
      <w:r w:rsidR="004005B6" w:rsidRPr="004005B6">
        <w:t xml:space="preserve">guidance notes </w:t>
      </w:r>
      <w:r>
        <w:t>for the 4</w:t>
      </w:r>
      <w:r w:rsidRPr="008200F5">
        <w:rPr>
          <w:vertAlign w:val="superscript"/>
        </w:rPr>
        <w:t>th</w:t>
      </w:r>
      <w:r>
        <w:t xml:space="preserve"> EITI Report. The MSG also considered instances of l</w:t>
      </w:r>
      <w:r w:rsidRPr="008200F5">
        <w:t>ate</w:t>
      </w:r>
      <w:r>
        <w:t xml:space="preserve"> </w:t>
      </w:r>
      <w:r w:rsidRPr="008200F5">
        <w:t>and no</w:t>
      </w:r>
      <w:r>
        <w:t>n</w:t>
      </w:r>
      <w:r w:rsidR="00FE06B7">
        <w:t>-</w:t>
      </w:r>
      <w:r w:rsidRPr="008200F5">
        <w:t>submission of templates</w:t>
      </w:r>
      <w:r>
        <w:t xml:space="preserve"> from companies, and the cost of EITI implementation. The discussions are well documented in the MSG minutes. </w:t>
      </w:r>
    </w:p>
    <w:p w14:paraId="3912187B" w14:textId="60D0F26D" w:rsidR="008200F5" w:rsidRDefault="00FE06B7" w:rsidP="00AF0D2D">
      <w:pPr>
        <w:rPr>
          <w:rFonts w:ascii="Calibri" w:hAnsi="Calibri"/>
        </w:rPr>
      </w:pPr>
      <w:r>
        <w:rPr>
          <w:rFonts w:ascii="Calibri" w:hAnsi="Calibri"/>
        </w:rPr>
        <w:t>In</w:t>
      </w:r>
      <w:r w:rsidR="00AF0D2D">
        <w:rPr>
          <w:rFonts w:ascii="Calibri" w:hAnsi="Calibri"/>
        </w:rPr>
        <w:t xml:space="preserve"> July</w:t>
      </w:r>
      <w:r>
        <w:rPr>
          <w:rFonts w:ascii="Calibri" w:hAnsi="Calibri"/>
        </w:rPr>
        <w:t xml:space="preserve"> 2018 the MSG commenced discussions regarding </w:t>
      </w:r>
      <w:r w:rsidR="00AF0D2D">
        <w:rPr>
          <w:rFonts w:ascii="Calibri" w:hAnsi="Calibri"/>
        </w:rPr>
        <w:t>EITI mainstreaming</w:t>
      </w:r>
      <w:r w:rsidR="00AF0D2D">
        <w:rPr>
          <w:rStyle w:val="FootnoteReference"/>
          <w:rFonts w:ascii="Calibri" w:hAnsi="Calibri"/>
        </w:rPr>
        <w:footnoteReference w:id="382"/>
      </w:r>
      <w:r w:rsidR="00AF0D2D">
        <w:rPr>
          <w:rFonts w:ascii="Calibri" w:hAnsi="Calibri"/>
        </w:rPr>
        <w:t>. The annual progress noted: “w</w:t>
      </w:r>
      <w:r w:rsidR="00AF0D2D" w:rsidRPr="00AF0D2D">
        <w:rPr>
          <w:rFonts w:ascii="Calibri" w:hAnsi="Calibri"/>
        </w:rPr>
        <w:t>e will be looking at ways to make better use of digital formats when publishing that next report and reviewing the scope to ‘mainstream’ more of the data in future years</w:t>
      </w:r>
      <w:r w:rsidR="00AF0D2D">
        <w:rPr>
          <w:rFonts w:ascii="Calibri" w:hAnsi="Calibri"/>
        </w:rPr>
        <w:t>”. Otherwise, t</w:t>
      </w:r>
      <w:r w:rsidR="008200F5">
        <w:t xml:space="preserve">here is limited </w:t>
      </w:r>
      <w:r w:rsidR="008200F5">
        <w:lastRenderedPageBreak/>
        <w:t xml:space="preserve">evidence to suggest that the MSG has discussed wider issues relating to the outlook for the </w:t>
      </w:r>
      <w:r w:rsidR="008200F5" w:rsidRPr="005C3EC8">
        <w:rPr>
          <w:rFonts w:ascii="Calibri" w:hAnsi="Calibri"/>
        </w:rPr>
        <w:t xml:space="preserve">UK's oil, gas and mineral </w:t>
      </w:r>
      <w:r w:rsidR="008200F5">
        <w:rPr>
          <w:rFonts w:ascii="Calibri" w:hAnsi="Calibri"/>
        </w:rPr>
        <w:t xml:space="preserve">industries, and the opportunities to </w:t>
      </w:r>
      <w:r>
        <w:rPr>
          <w:rFonts w:ascii="Calibri" w:hAnsi="Calibri"/>
        </w:rPr>
        <w:t xml:space="preserve">use the EITI process and platform to </w:t>
      </w:r>
      <w:r w:rsidR="008200F5">
        <w:rPr>
          <w:rFonts w:ascii="Calibri" w:hAnsi="Calibri"/>
        </w:rPr>
        <w:t xml:space="preserve">strengthen governance. </w:t>
      </w:r>
    </w:p>
    <w:p w14:paraId="1AD354E7" w14:textId="77777777" w:rsidR="00EC1FBA" w:rsidRPr="005C3EC8" w:rsidRDefault="00D41A8E">
      <w:pPr>
        <w:pStyle w:val="Heading3"/>
      </w:pPr>
      <w:r w:rsidRPr="005C3EC8">
        <w:t>Stakeholder views</w:t>
      </w:r>
      <w:r w:rsidR="00EB28CA" w:rsidRPr="005C3EC8">
        <w:t xml:space="preserve"> </w:t>
      </w:r>
    </w:p>
    <w:p w14:paraId="21B0F144" w14:textId="319CD5F5" w:rsidR="00016390" w:rsidRPr="00B77E72" w:rsidRDefault="00016390" w:rsidP="00016390">
      <w:pPr>
        <w:spacing w:before="120"/>
        <w:rPr>
          <w:rFonts w:ascii="Calibri" w:hAnsi="Calibri"/>
        </w:rPr>
      </w:pPr>
      <w:r>
        <w:rPr>
          <w:rFonts w:ascii="Calibri" w:hAnsi="Calibri"/>
        </w:rPr>
        <w:t xml:space="preserve">As noted previously, stakeholders noted that there </w:t>
      </w:r>
      <w:r w:rsidRPr="005C3EC8">
        <w:rPr>
          <w:rFonts w:ascii="Calibri" w:hAnsi="Calibri"/>
        </w:rPr>
        <w:t>is</w:t>
      </w:r>
      <w:r>
        <w:rPr>
          <w:rFonts w:ascii="Calibri" w:hAnsi="Calibri"/>
        </w:rPr>
        <w:t xml:space="preserve"> </w:t>
      </w:r>
      <w:r w:rsidRPr="005C3EC8">
        <w:rPr>
          <w:rFonts w:ascii="Calibri" w:hAnsi="Calibri"/>
        </w:rPr>
        <w:t>limited demand for EITI data, not least since a considerable amount of information is already publicly available</w:t>
      </w:r>
      <w:r w:rsidR="00AF0D2D">
        <w:rPr>
          <w:rFonts w:ascii="Calibri" w:hAnsi="Calibri"/>
        </w:rPr>
        <w:t xml:space="preserve"> prior to the publication of the EITI Reports</w:t>
      </w:r>
      <w:r w:rsidRPr="005C3EC8">
        <w:rPr>
          <w:rFonts w:ascii="Calibri" w:hAnsi="Calibri"/>
        </w:rPr>
        <w:t>.</w:t>
      </w:r>
      <w:r>
        <w:rPr>
          <w:rFonts w:ascii="Calibri" w:hAnsi="Calibri"/>
        </w:rPr>
        <w:t xml:space="preserve"> Stakeholders </w:t>
      </w:r>
      <w:r w:rsidR="00AF0D2D">
        <w:rPr>
          <w:rFonts w:ascii="Calibri" w:hAnsi="Calibri"/>
        </w:rPr>
        <w:t xml:space="preserve">also </w:t>
      </w:r>
      <w:r>
        <w:rPr>
          <w:rFonts w:ascii="Calibri" w:hAnsi="Calibri"/>
        </w:rPr>
        <w:t xml:space="preserve">noted that the </w:t>
      </w:r>
      <w:r>
        <w:rPr>
          <w:rFonts w:ascii="Calibri" w:hAnsi="Calibri"/>
          <w:color w:val="000000" w:themeColor="text1"/>
          <w:lang w:eastAsia="x-none"/>
        </w:rPr>
        <w:t xml:space="preserve">controversy regarding civil society engagement on the MSG had detracted from efforts to explore opportunities </w:t>
      </w:r>
      <w:r w:rsidR="00AF553A">
        <w:rPr>
          <w:rFonts w:ascii="Calibri" w:hAnsi="Calibri"/>
          <w:color w:val="000000" w:themeColor="text1"/>
          <w:lang w:eastAsia="x-none"/>
        </w:rPr>
        <w:t xml:space="preserve">to </w:t>
      </w:r>
      <w:r>
        <w:rPr>
          <w:rFonts w:ascii="Calibri" w:hAnsi="Calibri"/>
          <w:color w:val="000000" w:themeColor="text1"/>
          <w:lang w:eastAsia="x-none"/>
        </w:rPr>
        <w:t xml:space="preserve">discuss the outlook for EITI implementation. </w:t>
      </w:r>
    </w:p>
    <w:p w14:paraId="4026BA96" w14:textId="77777777" w:rsidR="00EC1FBA" w:rsidRPr="005C3EC8" w:rsidRDefault="0073607A">
      <w:pPr>
        <w:pStyle w:val="Heading3"/>
      </w:pPr>
      <w:r w:rsidRPr="005C3EC8">
        <w:t>Initial a</w:t>
      </w:r>
      <w:r w:rsidR="00D41A8E" w:rsidRPr="005C3EC8">
        <w:t>ssessment</w:t>
      </w:r>
      <w:r w:rsidR="004E70A8" w:rsidRPr="005C3EC8">
        <w:t xml:space="preserve"> </w:t>
      </w:r>
    </w:p>
    <w:p w14:paraId="7AFB59A4" w14:textId="0241F196" w:rsidR="00D41A8E" w:rsidRDefault="004005B6" w:rsidP="00DD152D">
      <w:pPr>
        <w:spacing w:before="120"/>
        <w:rPr>
          <w:rFonts w:ascii="Calibri" w:hAnsi="Calibri"/>
          <w:color w:val="000000" w:themeColor="text1"/>
          <w:lang w:eastAsia="x-none"/>
        </w:rPr>
      </w:pPr>
      <w:r w:rsidRPr="005C3EC8">
        <w:rPr>
          <w:rFonts w:ascii="Calibri" w:hAnsi="Calibri"/>
          <w:color w:val="000000" w:themeColor="text1"/>
          <w:lang w:eastAsia="x-none"/>
        </w:rPr>
        <w:t xml:space="preserve">The International Secretariat’s initial assessment is that </w:t>
      </w:r>
      <w:r w:rsidRPr="00896EF9">
        <w:rPr>
          <w:rFonts w:ascii="Calibri" w:hAnsi="Calibri"/>
        </w:rPr>
        <w:t>the UK</w:t>
      </w:r>
      <w:r w:rsidRPr="005C3EC8">
        <w:rPr>
          <w:rFonts w:ascii="Calibri" w:hAnsi="Calibri"/>
          <w:color w:val="000000" w:themeColor="text1"/>
          <w:lang w:eastAsia="x-none"/>
        </w:rPr>
        <w:t xml:space="preserve"> has made </w:t>
      </w:r>
      <w:r w:rsidRPr="003B7537">
        <w:rPr>
          <w:rFonts w:ascii="Calibri" w:hAnsi="Calibri"/>
          <w:bCs/>
        </w:rPr>
        <w:t>satisfactory progress</w:t>
      </w:r>
      <w:r w:rsidRPr="005C3EC8">
        <w:rPr>
          <w:rFonts w:ascii="Calibri" w:hAnsi="Calibri"/>
          <w:color w:val="000000" w:themeColor="text1"/>
          <w:lang w:eastAsia="x-none"/>
        </w:rPr>
        <w:t xml:space="preserve"> in</w:t>
      </w:r>
      <w:r>
        <w:rPr>
          <w:rFonts w:ascii="Calibri" w:hAnsi="Calibri"/>
          <w:color w:val="000000" w:themeColor="text1"/>
          <w:lang w:eastAsia="x-none"/>
        </w:rPr>
        <w:t xml:space="preserve"> </w:t>
      </w:r>
      <w:r w:rsidRPr="005C3EC8">
        <w:rPr>
          <w:rFonts w:ascii="Calibri" w:hAnsi="Calibri"/>
          <w:color w:val="000000" w:themeColor="text1"/>
          <w:lang w:eastAsia="x-none"/>
        </w:rPr>
        <w:t>meeting this requirement.</w:t>
      </w:r>
      <w:r w:rsidR="00016390">
        <w:rPr>
          <w:rFonts w:ascii="Calibri" w:hAnsi="Calibri"/>
          <w:color w:val="000000" w:themeColor="text1"/>
          <w:lang w:eastAsia="x-none"/>
        </w:rPr>
        <w:t xml:space="preserve"> The MSG has ensured that there has been </w:t>
      </w:r>
      <w:r w:rsidR="00AF0D2D">
        <w:rPr>
          <w:rFonts w:ascii="Calibri" w:hAnsi="Calibri"/>
          <w:color w:val="000000" w:themeColor="text1"/>
          <w:lang w:eastAsia="x-none"/>
        </w:rPr>
        <w:t xml:space="preserve">adequate follow up of the recommendations form EITI Reporting, including </w:t>
      </w:r>
      <w:r w:rsidR="00016390" w:rsidRPr="00016390">
        <w:rPr>
          <w:rFonts w:ascii="Calibri" w:hAnsi="Calibri"/>
          <w:color w:val="000000" w:themeColor="text1"/>
          <w:lang w:eastAsia="x-none"/>
        </w:rPr>
        <w:t>identifying, investigating and addressing the causes of discrepanc</w:t>
      </w:r>
      <w:r w:rsidR="00AF0D2D">
        <w:rPr>
          <w:rFonts w:ascii="Calibri" w:hAnsi="Calibri"/>
          <w:color w:val="000000" w:themeColor="text1"/>
          <w:lang w:eastAsia="x-none"/>
        </w:rPr>
        <w:t>ies.</w:t>
      </w:r>
      <w:r w:rsidR="00A86012">
        <w:rPr>
          <w:rFonts w:ascii="Calibri" w:hAnsi="Calibri"/>
          <w:color w:val="000000" w:themeColor="text1"/>
          <w:lang w:eastAsia="x-none"/>
        </w:rPr>
        <w:t xml:space="preserve"> The MSG discussions on EITI mainstreaming </w:t>
      </w:r>
      <w:r w:rsidR="00E46A59">
        <w:rPr>
          <w:rFonts w:ascii="Calibri" w:hAnsi="Calibri"/>
          <w:color w:val="000000" w:themeColor="text1"/>
          <w:lang w:eastAsia="x-none"/>
        </w:rPr>
        <w:t xml:space="preserve">are timely, and should inform future discussions about the future of EITI implementation. </w:t>
      </w:r>
    </w:p>
    <w:p w14:paraId="0DACFA7F" w14:textId="77777777" w:rsidR="00D17336" w:rsidRPr="005C3EC8" w:rsidRDefault="00D17336" w:rsidP="0097728B">
      <w:pPr>
        <w:pStyle w:val="Heading2"/>
      </w:pPr>
      <w:bookmarkStart w:id="412" w:name="_Toc461796703"/>
      <w:bookmarkStart w:id="413" w:name="_Toc458773265"/>
      <w:bookmarkStart w:id="414" w:name="_Toc458780362"/>
      <w:bookmarkStart w:id="415" w:name="_Toc461803156"/>
      <w:bookmarkStart w:id="416" w:name="_Toc461787367"/>
      <w:bookmarkStart w:id="417" w:name="_Toc461795879"/>
      <w:bookmarkStart w:id="418" w:name="_Toc462149211"/>
      <w:bookmarkStart w:id="419" w:name="_Toc459133207"/>
      <w:bookmarkEnd w:id="412"/>
      <w:r w:rsidRPr="005C3EC8">
        <w:t>Outcomes and impact of implementation (#7.4)</w:t>
      </w:r>
      <w:bookmarkEnd w:id="413"/>
      <w:bookmarkEnd w:id="414"/>
      <w:bookmarkEnd w:id="415"/>
      <w:bookmarkEnd w:id="416"/>
      <w:bookmarkEnd w:id="417"/>
      <w:bookmarkEnd w:id="418"/>
    </w:p>
    <w:bookmarkEnd w:id="419"/>
    <w:p w14:paraId="7C32DE43" w14:textId="77777777" w:rsidR="00EC1FBA" w:rsidRPr="005C3EC8" w:rsidRDefault="00423839" w:rsidP="0097728B">
      <w:pPr>
        <w:pStyle w:val="Heading3"/>
      </w:pPr>
      <w:r w:rsidRPr="005C3EC8">
        <w:t>Documentation of progress</w:t>
      </w:r>
      <w:r w:rsidR="00A140F1" w:rsidRPr="005C3EC8">
        <w:t xml:space="preserve"> </w:t>
      </w:r>
    </w:p>
    <w:p w14:paraId="529B53B1" w14:textId="1E2FCFBA" w:rsidR="005E57DC" w:rsidRPr="00E46A59" w:rsidRDefault="00E46A59" w:rsidP="00E46A59">
      <w:pPr>
        <w:spacing w:before="120"/>
        <w:rPr>
          <w:rFonts w:ascii="Calibri" w:hAnsi="Calibri"/>
          <w:bCs/>
        </w:rPr>
      </w:pPr>
      <w:r>
        <w:rPr>
          <w:rFonts w:ascii="Calibri" w:hAnsi="Calibri"/>
          <w:bCs/>
        </w:rPr>
        <w:t xml:space="preserve">The MSG has published a series of annual progress reports documenting the MSG’s activities and progress is preparing EITI Reports. These address the majority of the requirements as outlined in </w:t>
      </w:r>
      <w:r w:rsidR="00AF553A">
        <w:rPr>
          <w:rFonts w:ascii="Calibri" w:hAnsi="Calibri"/>
          <w:bCs/>
        </w:rPr>
        <w:t>R</w:t>
      </w:r>
      <w:r>
        <w:rPr>
          <w:rFonts w:ascii="Calibri" w:hAnsi="Calibri"/>
          <w:bCs/>
        </w:rPr>
        <w:t>equirement 7.4. The most recent report includes a section on the “s</w:t>
      </w:r>
      <w:r w:rsidRPr="00E46A59">
        <w:rPr>
          <w:rFonts w:ascii="Calibri" w:hAnsi="Calibri"/>
          <w:bCs/>
        </w:rPr>
        <w:t>trengths or weaknesses identified in the EITI process</w:t>
      </w:r>
      <w:r>
        <w:rPr>
          <w:rFonts w:ascii="Calibri" w:hAnsi="Calibri"/>
          <w:bCs/>
        </w:rPr>
        <w:t xml:space="preserve">”, although this section focusses exclusively on the follow-up from EITI Reporting (see above). There is limited evidence to suggest that the MSG has </w:t>
      </w:r>
      <w:r w:rsidRPr="00AF0D2D">
        <w:rPr>
          <w:rFonts w:ascii="Calibri" w:hAnsi="Calibri"/>
          <w:bCs/>
        </w:rPr>
        <w:t>review</w:t>
      </w:r>
      <w:r>
        <w:rPr>
          <w:rFonts w:ascii="Calibri" w:hAnsi="Calibri"/>
          <w:bCs/>
        </w:rPr>
        <w:t>ed the</w:t>
      </w:r>
      <w:r w:rsidRPr="00AF0D2D">
        <w:rPr>
          <w:rFonts w:ascii="Calibri" w:hAnsi="Calibri"/>
          <w:bCs/>
        </w:rPr>
        <w:t xml:space="preserve"> outcomes and impact of EITI implementation on natural resource governance</w:t>
      </w:r>
      <w:r>
        <w:rPr>
          <w:rFonts w:ascii="Calibri" w:hAnsi="Calibri"/>
          <w:bCs/>
        </w:rPr>
        <w:t>. In fact, a pre-validation assessment conducted in 2018 acknowledges</w:t>
      </w:r>
      <w:r w:rsidR="00AF0D2D">
        <w:rPr>
          <w:rFonts w:ascii="Calibri" w:hAnsi="Calibri"/>
          <w:bCs/>
        </w:rPr>
        <w:t xml:space="preserve"> that “n</w:t>
      </w:r>
      <w:r w:rsidR="00AF0D2D" w:rsidRPr="00AF0D2D">
        <w:rPr>
          <w:rFonts w:ascii="Calibri" w:hAnsi="Calibri"/>
          <w:bCs/>
        </w:rPr>
        <w:t>o substantial work carried out on this as yet</w:t>
      </w:r>
      <w:r w:rsidR="00AF0D2D">
        <w:rPr>
          <w:rFonts w:ascii="Calibri" w:hAnsi="Calibri"/>
          <w:bCs/>
        </w:rPr>
        <w:t>”</w:t>
      </w:r>
      <w:r w:rsidR="00AF0D2D" w:rsidRPr="00AF0D2D">
        <w:rPr>
          <w:rFonts w:ascii="Calibri" w:hAnsi="Calibri"/>
          <w:bCs/>
        </w:rPr>
        <w:t>.</w:t>
      </w:r>
    </w:p>
    <w:p w14:paraId="37D72A38" w14:textId="77777777" w:rsidR="00857149" w:rsidRPr="005C3EC8" w:rsidRDefault="00423839">
      <w:pPr>
        <w:pStyle w:val="Heading3"/>
      </w:pPr>
      <w:r w:rsidRPr="005C3EC8">
        <w:t>Stakeholder views</w:t>
      </w:r>
      <w:r w:rsidR="00251A6C" w:rsidRPr="005C3EC8">
        <w:t xml:space="preserve"> </w:t>
      </w:r>
    </w:p>
    <w:p w14:paraId="61D07B97" w14:textId="0D276781" w:rsidR="005F5E1F" w:rsidRPr="00E46A59" w:rsidRDefault="00E46A59" w:rsidP="00E46A59">
      <w:pPr>
        <w:spacing w:before="120"/>
        <w:rPr>
          <w:rFonts w:ascii="Calibri" w:hAnsi="Calibri"/>
          <w:bCs/>
        </w:rPr>
      </w:pPr>
      <w:r>
        <w:rPr>
          <w:rFonts w:ascii="Calibri" w:hAnsi="Calibri"/>
          <w:bCs/>
        </w:rPr>
        <w:t xml:space="preserve">The </w:t>
      </w:r>
      <w:r w:rsidRPr="00AF0D2D">
        <w:rPr>
          <w:rFonts w:ascii="Calibri" w:hAnsi="Calibri"/>
          <w:bCs/>
        </w:rPr>
        <w:t xml:space="preserve">Validation </w:t>
      </w:r>
      <w:r>
        <w:rPr>
          <w:rFonts w:ascii="Calibri" w:hAnsi="Calibri"/>
          <w:bCs/>
        </w:rPr>
        <w:t>Guide notes that Validation should “</w:t>
      </w:r>
      <w:r w:rsidRPr="00AF0D2D">
        <w:rPr>
          <w:rFonts w:ascii="Calibri" w:hAnsi="Calibri"/>
          <w:bCs/>
        </w:rPr>
        <w:t>comment on any consultations undertaken by the MSG toward giving all stakeholders an opportunity to provide feedback on the EITI process and the impact of the EITI, and have their view reflected in the annual activity report</w:t>
      </w:r>
      <w:r>
        <w:rPr>
          <w:rFonts w:ascii="Calibri" w:hAnsi="Calibri"/>
          <w:bCs/>
        </w:rPr>
        <w:t>”</w:t>
      </w:r>
      <w:r w:rsidRPr="00AF0D2D">
        <w:rPr>
          <w:rFonts w:ascii="Calibri" w:hAnsi="Calibri"/>
          <w:bCs/>
        </w:rPr>
        <w:t xml:space="preserve"> (7.4.b).</w:t>
      </w:r>
      <w:r>
        <w:rPr>
          <w:rFonts w:ascii="Calibri" w:hAnsi="Calibri"/>
          <w:bCs/>
        </w:rPr>
        <w:t xml:space="preserve"> </w:t>
      </w:r>
      <w:r>
        <w:rPr>
          <w:rFonts w:ascii="Calibri" w:hAnsi="Calibri"/>
          <w:color w:val="000000" w:themeColor="text1"/>
          <w:lang w:eastAsia="x-none"/>
        </w:rPr>
        <w:t xml:space="preserve">Stakeholders noted that the controversy regarding civil society engagement on the MSG had detracted from efforts to explore opportunities to increase the use of EITI data and discuss the outlook for EITI implementation. </w:t>
      </w:r>
      <w:r w:rsidR="00F61888">
        <w:rPr>
          <w:rFonts w:ascii="Calibri" w:hAnsi="Calibri"/>
          <w:color w:val="000000" w:themeColor="text1"/>
          <w:lang w:eastAsia="x-none"/>
        </w:rPr>
        <w:t xml:space="preserve">Several MSG members consulted noted that the MSG had yet to consider the impact of EITI implementation to date, noting that they considered Validation the opportunity to take stock of the outcomes and impact of implementation to date. </w:t>
      </w:r>
    </w:p>
    <w:p w14:paraId="2930DA7F" w14:textId="75633592" w:rsidR="00423839" w:rsidRPr="005C3EC8" w:rsidRDefault="0073607A">
      <w:pPr>
        <w:pStyle w:val="Heading3"/>
      </w:pPr>
      <w:r w:rsidRPr="005C3EC8">
        <w:t>Initial a</w:t>
      </w:r>
      <w:r w:rsidR="00423839" w:rsidRPr="005C3EC8">
        <w:t>ssessment</w:t>
      </w:r>
    </w:p>
    <w:p w14:paraId="1FF0D1A9" w14:textId="77777777" w:rsidR="00B51B3A" w:rsidRDefault="004005B6" w:rsidP="00B51B3A">
      <w:pPr>
        <w:spacing w:before="120"/>
        <w:rPr>
          <w:rFonts w:ascii="Calibri" w:hAnsi="Calibri"/>
          <w:color w:val="000000" w:themeColor="text1"/>
          <w:lang w:eastAsia="x-none"/>
        </w:rPr>
      </w:pPr>
      <w:r w:rsidRPr="005C3EC8">
        <w:rPr>
          <w:rFonts w:ascii="Calibri" w:hAnsi="Calibri"/>
          <w:color w:val="000000" w:themeColor="text1"/>
          <w:lang w:eastAsia="x-none"/>
        </w:rPr>
        <w:t xml:space="preserve">The International Secretariat’s initial assessment is that </w:t>
      </w:r>
      <w:r w:rsidRPr="00896EF9">
        <w:rPr>
          <w:rFonts w:ascii="Calibri" w:hAnsi="Calibri"/>
        </w:rPr>
        <w:t>the UK</w:t>
      </w:r>
      <w:r w:rsidRPr="005C3EC8">
        <w:rPr>
          <w:rFonts w:ascii="Calibri" w:hAnsi="Calibri"/>
          <w:color w:val="000000" w:themeColor="text1"/>
          <w:lang w:eastAsia="x-none"/>
        </w:rPr>
        <w:t xml:space="preserve"> has made </w:t>
      </w:r>
      <w:r w:rsidR="00E46A59" w:rsidRPr="003B7537">
        <w:rPr>
          <w:rFonts w:ascii="Calibri" w:hAnsi="Calibri"/>
          <w:bCs/>
        </w:rPr>
        <w:t>meaningful</w:t>
      </w:r>
      <w:r w:rsidRPr="003B7537">
        <w:rPr>
          <w:rFonts w:ascii="Calibri" w:hAnsi="Calibri"/>
          <w:bCs/>
        </w:rPr>
        <w:t xml:space="preserve"> progress</w:t>
      </w:r>
      <w:r w:rsidRPr="005C3EC8">
        <w:rPr>
          <w:rFonts w:ascii="Calibri" w:hAnsi="Calibri"/>
          <w:color w:val="000000" w:themeColor="text1"/>
          <w:lang w:eastAsia="x-none"/>
        </w:rPr>
        <w:t xml:space="preserve"> in</w:t>
      </w:r>
      <w:r>
        <w:rPr>
          <w:rFonts w:ascii="Calibri" w:hAnsi="Calibri"/>
          <w:color w:val="000000" w:themeColor="text1"/>
          <w:lang w:eastAsia="x-none"/>
        </w:rPr>
        <w:t xml:space="preserve"> </w:t>
      </w:r>
      <w:r w:rsidRPr="005C3EC8">
        <w:rPr>
          <w:rFonts w:ascii="Calibri" w:hAnsi="Calibri"/>
          <w:color w:val="000000" w:themeColor="text1"/>
          <w:lang w:eastAsia="x-none"/>
        </w:rPr>
        <w:t xml:space="preserve">meeting </w:t>
      </w:r>
      <w:r w:rsidRPr="005C3EC8">
        <w:rPr>
          <w:rFonts w:ascii="Calibri" w:hAnsi="Calibri"/>
          <w:color w:val="000000" w:themeColor="text1"/>
          <w:lang w:eastAsia="x-none"/>
        </w:rPr>
        <w:lastRenderedPageBreak/>
        <w:t>this requirement.</w:t>
      </w:r>
      <w:r w:rsidR="00E46A59">
        <w:rPr>
          <w:rFonts w:ascii="Calibri" w:hAnsi="Calibri"/>
          <w:color w:val="000000" w:themeColor="text1"/>
          <w:lang w:eastAsia="x-none"/>
        </w:rPr>
        <w:t xml:space="preserve"> The annual progress reports published by the MSG are </w:t>
      </w:r>
      <w:r w:rsidR="00B51B3A">
        <w:rPr>
          <w:rFonts w:ascii="Calibri" w:hAnsi="Calibri"/>
          <w:color w:val="000000" w:themeColor="text1"/>
          <w:lang w:eastAsia="x-none"/>
        </w:rPr>
        <w:t xml:space="preserve">generally adequate. However, these lack a thorough examination of the EITI effectiveness and impact. </w:t>
      </w:r>
    </w:p>
    <w:p w14:paraId="0A1177D5" w14:textId="2B40D63B" w:rsidR="004005B6" w:rsidRPr="00B51B3A" w:rsidRDefault="004A71AE" w:rsidP="00B51B3A">
      <w:pPr>
        <w:spacing w:before="120"/>
        <w:rPr>
          <w:rFonts w:ascii="Calibri" w:hAnsi="Calibri"/>
          <w:b/>
        </w:rPr>
      </w:pPr>
      <w:r>
        <w:rPr>
          <w:rFonts w:ascii="Calibri" w:hAnsi="Calibri"/>
          <w:color w:val="000000" w:themeColor="text1"/>
          <w:lang w:eastAsia="x-none"/>
        </w:rPr>
        <w:t>In accordance with Requirement 7.4.</w:t>
      </w:r>
      <w:r w:rsidR="0088746E">
        <w:rPr>
          <w:rFonts w:ascii="Calibri" w:hAnsi="Calibri"/>
          <w:color w:val="000000" w:themeColor="text1"/>
          <w:lang w:eastAsia="x-none"/>
        </w:rPr>
        <w:t>a.v</w:t>
      </w:r>
      <w:r>
        <w:rPr>
          <w:rFonts w:ascii="Calibri" w:hAnsi="Calibri"/>
          <w:color w:val="000000" w:themeColor="text1"/>
          <w:lang w:eastAsia="x-none"/>
        </w:rPr>
        <w:t>, t</w:t>
      </w:r>
      <w:r w:rsidR="00B51B3A">
        <w:rPr>
          <w:rFonts w:ascii="Calibri" w:hAnsi="Calibri"/>
          <w:color w:val="000000" w:themeColor="text1"/>
          <w:lang w:eastAsia="x-none"/>
        </w:rPr>
        <w:t>he</w:t>
      </w:r>
      <w:r w:rsidR="004005B6" w:rsidRPr="005C3EC8">
        <w:rPr>
          <w:rFonts w:ascii="Calibri" w:hAnsi="Calibri"/>
        </w:rPr>
        <w:t xml:space="preserve"> reconstituted MSG, with the full, active and effective engagement of civil society</w:t>
      </w:r>
      <w:r w:rsidR="004005B6">
        <w:rPr>
          <w:rFonts w:ascii="Calibri" w:hAnsi="Calibri"/>
        </w:rPr>
        <w:t xml:space="preserve">, </w:t>
      </w:r>
      <w:r w:rsidR="004005B6" w:rsidRPr="005C3EC8">
        <w:rPr>
          <w:rFonts w:ascii="Calibri" w:hAnsi="Calibri"/>
        </w:rPr>
        <w:t>should review the impact of the first five years of EITI implementation and explore the opportunities to further leverage the EITI platform to enrich public debate on the governance and stewardship of the UK's oil, gas and mineral resources.</w:t>
      </w:r>
      <w:r w:rsidR="00B51B3A">
        <w:rPr>
          <w:rFonts w:ascii="Calibri" w:hAnsi="Calibri"/>
        </w:rPr>
        <w:t xml:space="preserve"> </w:t>
      </w:r>
    </w:p>
    <w:p w14:paraId="05F44415" w14:textId="6BD4BF99" w:rsidR="00AE51FA" w:rsidRPr="005C3EC8" w:rsidRDefault="00A33A13" w:rsidP="007906D4">
      <w:pPr>
        <w:pStyle w:val="Caption"/>
        <w:rPr>
          <w:color w:val="000000"/>
        </w:rPr>
      </w:pPr>
      <w:bookmarkStart w:id="420" w:name="_Toc463537780"/>
      <w:bookmarkStart w:id="421" w:name="_Toc485385508"/>
      <w:r w:rsidRPr="005C3EC8">
        <w:t xml:space="preserve">Table </w:t>
      </w:r>
      <w:r w:rsidR="000047B5">
        <w:fldChar w:fldCharType="begin"/>
      </w:r>
      <w:r w:rsidR="000047B5">
        <w:instrText xml:space="preserve"> SEQ Table \* ARABIC </w:instrText>
      </w:r>
      <w:r w:rsidR="000047B5">
        <w:fldChar w:fldCharType="separate"/>
      </w:r>
      <w:r w:rsidR="0083320D" w:rsidRPr="005C3EC8">
        <w:t>7</w:t>
      </w:r>
      <w:r w:rsidR="000047B5">
        <w:fldChar w:fldCharType="end"/>
      </w:r>
      <w:r w:rsidR="00AE51FA" w:rsidRPr="005C3EC8">
        <w:rPr>
          <w:color w:val="000000"/>
        </w:rPr>
        <w:t xml:space="preserve"> - </w:t>
      </w:r>
      <w:r w:rsidR="00AE51FA" w:rsidRPr="005C3EC8">
        <w:rPr>
          <w:rFonts w:eastAsia="Calibri"/>
        </w:rPr>
        <w:t xml:space="preserve">Summary </w:t>
      </w:r>
      <w:r w:rsidR="00BD3160" w:rsidRPr="005C3EC8">
        <w:rPr>
          <w:rFonts w:eastAsia="Calibri"/>
        </w:rPr>
        <w:t xml:space="preserve">initial </w:t>
      </w:r>
      <w:r w:rsidR="00AE51FA" w:rsidRPr="005C3EC8">
        <w:rPr>
          <w:rFonts w:eastAsia="Calibri"/>
        </w:rPr>
        <w:t>assessment table: Outcomes and impact</w:t>
      </w:r>
      <w:bookmarkEnd w:id="420"/>
      <w:bookmarkEnd w:id="421"/>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4683"/>
        <w:gridCol w:w="3053"/>
      </w:tblGrid>
      <w:tr w:rsidR="00A33A13" w:rsidRPr="005C3EC8" w14:paraId="02DDCF6C" w14:textId="77777777" w:rsidTr="00896EF9">
        <w:trPr>
          <w:trHeight w:val="675"/>
        </w:trPr>
        <w:tc>
          <w:tcPr>
            <w:tcW w:w="1867" w:type="dxa"/>
            <w:shd w:val="clear" w:color="auto" w:fill="D9D9D9"/>
            <w:vAlign w:val="center"/>
          </w:tcPr>
          <w:p w14:paraId="7331F4F7" w14:textId="77777777" w:rsidR="00D47A3F" w:rsidRPr="005C3EC8" w:rsidRDefault="00D47A3F" w:rsidP="00E03D03">
            <w:pPr>
              <w:pStyle w:val="Tabletext"/>
              <w:rPr>
                <w:b/>
                <w:lang w:val="en-GB"/>
              </w:rPr>
            </w:pPr>
            <w:r w:rsidRPr="005C3EC8">
              <w:rPr>
                <w:b/>
                <w:lang w:val="en-GB"/>
              </w:rPr>
              <w:t>EITI provisions</w:t>
            </w:r>
          </w:p>
        </w:tc>
        <w:tc>
          <w:tcPr>
            <w:tcW w:w="4683" w:type="dxa"/>
            <w:shd w:val="clear" w:color="auto" w:fill="D9D9D9"/>
            <w:vAlign w:val="center"/>
          </w:tcPr>
          <w:p w14:paraId="5E8F914E" w14:textId="77777777" w:rsidR="00D47A3F" w:rsidRPr="005C3EC8" w:rsidRDefault="00D47A3F" w:rsidP="00E03D03">
            <w:pPr>
              <w:pStyle w:val="Tabletext"/>
              <w:rPr>
                <w:b/>
                <w:lang w:val="en-GB"/>
              </w:rPr>
            </w:pPr>
            <w:r w:rsidRPr="005C3EC8">
              <w:rPr>
                <w:b/>
                <w:lang w:val="en-GB"/>
              </w:rPr>
              <w:t>Summary of main findings</w:t>
            </w:r>
          </w:p>
        </w:tc>
        <w:tc>
          <w:tcPr>
            <w:tcW w:w="3053" w:type="dxa"/>
            <w:shd w:val="clear" w:color="auto" w:fill="D9D9D9"/>
            <w:vAlign w:val="center"/>
          </w:tcPr>
          <w:p w14:paraId="44C634A1" w14:textId="71677018" w:rsidR="00D47A3F" w:rsidRPr="005C3EC8" w:rsidRDefault="00D47A3F" w:rsidP="00E03D03">
            <w:pPr>
              <w:pStyle w:val="Tabletext"/>
              <w:rPr>
                <w:b/>
                <w:color w:val="000000"/>
                <w:lang w:val="en-GB"/>
              </w:rPr>
            </w:pPr>
            <w:r w:rsidRPr="005C3EC8">
              <w:rPr>
                <w:b/>
                <w:color w:val="000000"/>
                <w:lang w:val="en-GB"/>
              </w:rPr>
              <w:t xml:space="preserve">Validator’s recommendation on compliance with the EITI provisions </w:t>
            </w:r>
          </w:p>
        </w:tc>
      </w:tr>
      <w:tr w:rsidR="00D33410" w:rsidRPr="005C3EC8" w14:paraId="457230E1" w14:textId="77777777" w:rsidTr="00896EF9">
        <w:tc>
          <w:tcPr>
            <w:tcW w:w="1867" w:type="dxa"/>
            <w:shd w:val="clear" w:color="auto" w:fill="auto"/>
            <w:vAlign w:val="center"/>
          </w:tcPr>
          <w:p w14:paraId="7B5CBD70" w14:textId="2F2D8E9E" w:rsidR="00D33410" w:rsidRPr="005C3EC8" w:rsidRDefault="00D33410" w:rsidP="00D33410">
            <w:pPr>
              <w:pStyle w:val="Tabletext"/>
              <w:rPr>
                <w:lang w:val="en-GB" w:eastAsia="x-none"/>
              </w:rPr>
            </w:pPr>
            <w:r w:rsidRPr="005C3EC8">
              <w:rPr>
                <w:lang w:val="en-GB" w:eastAsia="x-none"/>
              </w:rPr>
              <w:t>Public debate (#7.1)</w:t>
            </w:r>
          </w:p>
        </w:tc>
        <w:tc>
          <w:tcPr>
            <w:tcW w:w="4683" w:type="dxa"/>
            <w:shd w:val="clear" w:color="auto" w:fill="auto"/>
            <w:vAlign w:val="center"/>
          </w:tcPr>
          <w:p w14:paraId="591DF1E4" w14:textId="175F0BE1" w:rsidR="00D33410" w:rsidRPr="005C3EC8" w:rsidRDefault="00D33410" w:rsidP="00896EF9">
            <w:pPr>
              <w:pStyle w:val="Tabletext"/>
              <w:rPr>
                <w:lang w:val="en-GB"/>
              </w:rPr>
            </w:pPr>
            <w:r>
              <w:rPr>
                <w:lang w:val="en-GB"/>
              </w:rPr>
              <w:t xml:space="preserve">UK </w:t>
            </w:r>
            <w:r w:rsidRPr="005446C0">
              <w:rPr>
                <w:lang w:val="en-GB"/>
              </w:rPr>
              <w:t xml:space="preserve">EITI has </w:t>
            </w:r>
            <w:r>
              <w:rPr>
                <w:lang w:val="en-GB"/>
              </w:rPr>
              <w:t xml:space="preserve">ensured that the </w:t>
            </w:r>
            <w:r w:rsidRPr="00D33410">
              <w:rPr>
                <w:lang w:val="en-GB"/>
              </w:rPr>
              <w:t>EITI Report</w:t>
            </w:r>
            <w:r>
              <w:rPr>
                <w:lang w:val="en-GB"/>
              </w:rPr>
              <w:t xml:space="preserve"> is </w:t>
            </w:r>
            <w:r w:rsidRPr="00D33410">
              <w:rPr>
                <w:lang w:val="en-GB"/>
              </w:rPr>
              <w:t>comprehensible</w:t>
            </w:r>
            <w:r w:rsidR="00896EF9">
              <w:rPr>
                <w:lang w:val="en-GB"/>
              </w:rPr>
              <w:t xml:space="preserve"> and </w:t>
            </w:r>
            <w:r w:rsidR="00896EF9" w:rsidRPr="005446C0">
              <w:rPr>
                <w:lang w:val="en-GB"/>
              </w:rPr>
              <w:t xml:space="preserve">accessible to the general public. </w:t>
            </w:r>
            <w:r w:rsidR="00896EF9">
              <w:rPr>
                <w:lang w:val="en-GB"/>
              </w:rPr>
              <w:t xml:space="preserve">The reports have </w:t>
            </w:r>
            <w:r w:rsidR="00896EF9" w:rsidRPr="005446C0">
              <w:rPr>
                <w:lang w:val="en-GB"/>
              </w:rPr>
              <w:t xml:space="preserve">brought together information on the regulation and governance of the sector that is otherwise </w:t>
            </w:r>
            <w:r w:rsidR="00896EF9">
              <w:rPr>
                <w:lang w:val="en-GB"/>
              </w:rPr>
              <w:t>scattered</w:t>
            </w:r>
            <w:r w:rsidR="00896EF9" w:rsidRPr="005446C0">
              <w:rPr>
                <w:lang w:val="en-GB"/>
              </w:rPr>
              <w:t>.</w:t>
            </w:r>
            <w:r w:rsidR="00896EF9">
              <w:rPr>
                <w:lang w:val="en-GB"/>
              </w:rPr>
              <w:t xml:space="preserve"> There have been limited efforts to promote this work beyond Report launch events, and there is limited evidence to suggest that the EITI has contributed to </w:t>
            </w:r>
            <w:r w:rsidRPr="00D33410">
              <w:rPr>
                <w:lang w:val="en-GB"/>
              </w:rPr>
              <w:t>public debate</w:t>
            </w:r>
            <w:r w:rsidR="00896EF9">
              <w:rPr>
                <w:lang w:val="en-GB"/>
              </w:rPr>
              <w:t>.</w:t>
            </w:r>
          </w:p>
        </w:tc>
        <w:tc>
          <w:tcPr>
            <w:tcW w:w="3053" w:type="dxa"/>
            <w:vAlign w:val="center"/>
          </w:tcPr>
          <w:p w14:paraId="7128CDF5" w14:textId="06BA91D8" w:rsidR="00D33410" w:rsidRPr="005C3EC8" w:rsidRDefault="00D33410" w:rsidP="00D33410">
            <w:pPr>
              <w:pStyle w:val="Tabletext"/>
              <w:rPr>
                <w:lang w:val="en-GB" w:eastAsia="x-none"/>
              </w:rPr>
            </w:pPr>
            <w:bookmarkStart w:id="422" w:name="_Hlk7522189"/>
            <w:r>
              <w:rPr>
                <w:lang w:val="en-GB" w:eastAsia="x-none"/>
              </w:rPr>
              <w:t>Satisfactory progress</w:t>
            </w:r>
            <w:bookmarkEnd w:id="422"/>
          </w:p>
        </w:tc>
      </w:tr>
      <w:tr w:rsidR="00D33410" w:rsidRPr="005C3EC8" w14:paraId="18BA8F4B" w14:textId="77777777" w:rsidTr="00896EF9">
        <w:tc>
          <w:tcPr>
            <w:tcW w:w="1867" w:type="dxa"/>
            <w:shd w:val="clear" w:color="auto" w:fill="auto"/>
            <w:vAlign w:val="center"/>
          </w:tcPr>
          <w:p w14:paraId="48CA11C3" w14:textId="70C68C6E" w:rsidR="00D33410" w:rsidRPr="005C3EC8" w:rsidRDefault="00D33410" w:rsidP="00D33410">
            <w:pPr>
              <w:pStyle w:val="Tabletext"/>
              <w:rPr>
                <w:lang w:val="en-GB"/>
              </w:rPr>
            </w:pPr>
            <w:r w:rsidRPr="005C3EC8">
              <w:rPr>
                <w:lang w:val="en-GB"/>
              </w:rPr>
              <w:t>Data accessibility (#7.2)</w:t>
            </w:r>
          </w:p>
        </w:tc>
        <w:tc>
          <w:tcPr>
            <w:tcW w:w="4683" w:type="dxa"/>
            <w:shd w:val="clear" w:color="auto" w:fill="auto"/>
            <w:vAlign w:val="center"/>
          </w:tcPr>
          <w:p w14:paraId="0B184082" w14:textId="70C55E1C" w:rsidR="00D33410" w:rsidRPr="00C61629" w:rsidRDefault="00C61629" w:rsidP="00C61629">
            <w:pPr>
              <w:spacing w:before="120"/>
              <w:rPr>
                <w:rFonts w:ascii="Calibri" w:hAnsi="Calibri"/>
              </w:rPr>
            </w:pPr>
            <w:r>
              <w:rPr>
                <w:rFonts w:ascii="Calibri" w:hAnsi="Calibri"/>
              </w:rPr>
              <w:t xml:space="preserve">In accordance with the MSG’s open data policy, the </w:t>
            </w:r>
            <w:r w:rsidRPr="00774E21">
              <w:rPr>
                <w:rFonts w:ascii="Calibri" w:hAnsi="Calibri"/>
              </w:rPr>
              <w:t xml:space="preserve">EITI data </w:t>
            </w:r>
            <w:r>
              <w:rPr>
                <w:rFonts w:ascii="Calibri" w:hAnsi="Calibri"/>
              </w:rPr>
              <w:t xml:space="preserve">is </w:t>
            </w:r>
            <w:r w:rsidRPr="00774E21">
              <w:rPr>
                <w:rFonts w:ascii="Calibri" w:hAnsi="Calibri"/>
              </w:rPr>
              <w:t>published on data.gov.uk</w:t>
            </w:r>
            <w:r>
              <w:rPr>
                <w:rFonts w:ascii="Calibri" w:hAnsi="Calibri"/>
              </w:rPr>
              <w:t xml:space="preserve"> in a range of file formats. The UK EITI has also completed summary data files for the four EITI Reports that have been published to date. </w:t>
            </w:r>
          </w:p>
        </w:tc>
        <w:tc>
          <w:tcPr>
            <w:tcW w:w="3053" w:type="dxa"/>
            <w:shd w:val="clear" w:color="auto" w:fill="D9D9D9"/>
            <w:vAlign w:val="center"/>
          </w:tcPr>
          <w:p w14:paraId="3C6F6676" w14:textId="6D62EB21" w:rsidR="00D33410" w:rsidRPr="005C3EC8" w:rsidRDefault="00D33410" w:rsidP="00D33410">
            <w:pPr>
              <w:pStyle w:val="Tabletext"/>
              <w:rPr>
                <w:lang w:val="en-GB"/>
              </w:rPr>
            </w:pPr>
          </w:p>
        </w:tc>
      </w:tr>
      <w:tr w:rsidR="00D33410" w:rsidRPr="005C3EC8" w14:paraId="7C38E1EF" w14:textId="77777777" w:rsidTr="00896EF9">
        <w:tc>
          <w:tcPr>
            <w:tcW w:w="1867" w:type="dxa"/>
            <w:shd w:val="clear" w:color="auto" w:fill="auto"/>
            <w:vAlign w:val="center"/>
          </w:tcPr>
          <w:p w14:paraId="4817DC3B" w14:textId="0C064BA7" w:rsidR="00D33410" w:rsidRPr="005C3EC8" w:rsidRDefault="00D33410" w:rsidP="00D33410">
            <w:pPr>
              <w:pStyle w:val="Tabletext"/>
              <w:rPr>
                <w:lang w:val="en-GB"/>
              </w:rPr>
            </w:pPr>
            <w:r w:rsidRPr="005C3EC8">
              <w:rPr>
                <w:lang w:val="en-GB" w:eastAsia="x-none"/>
              </w:rPr>
              <w:t>Lessons learned and follow up on recommendations (7.3)</w:t>
            </w:r>
          </w:p>
        </w:tc>
        <w:tc>
          <w:tcPr>
            <w:tcW w:w="4683" w:type="dxa"/>
            <w:shd w:val="clear" w:color="auto" w:fill="auto"/>
            <w:vAlign w:val="center"/>
          </w:tcPr>
          <w:p w14:paraId="56688ECF" w14:textId="4010490D" w:rsidR="00D33410" w:rsidRPr="005C3EC8" w:rsidRDefault="00AF0D2D" w:rsidP="00D33410">
            <w:pPr>
              <w:pStyle w:val="Tabletext"/>
              <w:rPr>
                <w:lang w:val="en-GB"/>
              </w:rPr>
            </w:pPr>
            <w:r>
              <w:rPr>
                <w:color w:val="000000" w:themeColor="text1"/>
                <w:lang w:eastAsia="x-none"/>
              </w:rPr>
              <w:t xml:space="preserve">The MSG has ensured that there has been adequate follow up of the recommendations form EITI Reporting, including </w:t>
            </w:r>
            <w:r w:rsidRPr="00016390">
              <w:rPr>
                <w:color w:val="000000" w:themeColor="text1"/>
                <w:lang w:eastAsia="x-none"/>
              </w:rPr>
              <w:t>identifying, investigating and addressing the causes of discrepanc</w:t>
            </w:r>
            <w:r>
              <w:rPr>
                <w:color w:val="000000" w:themeColor="text1"/>
                <w:lang w:eastAsia="x-none"/>
              </w:rPr>
              <w:t>ies.</w:t>
            </w:r>
          </w:p>
        </w:tc>
        <w:tc>
          <w:tcPr>
            <w:tcW w:w="3053" w:type="dxa"/>
            <w:shd w:val="clear" w:color="auto" w:fill="FFFFFF"/>
            <w:vAlign w:val="center"/>
          </w:tcPr>
          <w:p w14:paraId="2FDC72DD" w14:textId="32F01988" w:rsidR="00D33410" w:rsidRPr="005C3EC8" w:rsidDel="00F96D88" w:rsidRDefault="00AF0D2D" w:rsidP="00D33410">
            <w:pPr>
              <w:pStyle w:val="Tabletext"/>
              <w:rPr>
                <w:lang w:val="en-GB"/>
              </w:rPr>
            </w:pPr>
            <w:r>
              <w:rPr>
                <w:lang w:val="en-GB" w:eastAsia="x-none"/>
              </w:rPr>
              <w:t>Satisfactory progress</w:t>
            </w:r>
          </w:p>
        </w:tc>
      </w:tr>
      <w:tr w:rsidR="00D33410" w:rsidRPr="005C3EC8" w14:paraId="3CD2D02A" w14:textId="77777777" w:rsidTr="00896EF9">
        <w:tc>
          <w:tcPr>
            <w:tcW w:w="1867" w:type="dxa"/>
            <w:shd w:val="clear" w:color="auto" w:fill="auto"/>
            <w:vAlign w:val="center"/>
          </w:tcPr>
          <w:p w14:paraId="2D4086D6" w14:textId="68910A86" w:rsidR="00D33410" w:rsidRPr="005C3EC8" w:rsidRDefault="00D33410" w:rsidP="00D33410">
            <w:pPr>
              <w:pStyle w:val="Tabletext"/>
              <w:rPr>
                <w:lang w:val="en-GB"/>
              </w:rPr>
            </w:pPr>
            <w:r w:rsidRPr="005C3EC8">
              <w:rPr>
                <w:lang w:val="en-GB" w:eastAsia="x-none"/>
              </w:rPr>
              <w:t>Outcomes and impact of implementation (#7.4)</w:t>
            </w:r>
          </w:p>
        </w:tc>
        <w:tc>
          <w:tcPr>
            <w:tcW w:w="4683" w:type="dxa"/>
            <w:shd w:val="clear" w:color="auto" w:fill="auto"/>
            <w:vAlign w:val="center"/>
          </w:tcPr>
          <w:p w14:paraId="1F8180B5" w14:textId="77EE9502" w:rsidR="00D33410" w:rsidRPr="005C3EC8" w:rsidRDefault="00B51B3A" w:rsidP="00D33410">
            <w:pPr>
              <w:pStyle w:val="Tabletext"/>
              <w:rPr>
                <w:lang w:val="en-GB"/>
              </w:rPr>
            </w:pPr>
            <w:r w:rsidRPr="00B51B3A">
              <w:rPr>
                <w:lang w:val="en-GB"/>
              </w:rPr>
              <w:t>The annual progress reports published by the MSG are generally adequate. However, these lack a thorough examination of the EITI effectiveness and impact.</w:t>
            </w:r>
          </w:p>
        </w:tc>
        <w:tc>
          <w:tcPr>
            <w:tcW w:w="3053" w:type="dxa"/>
            <w:shd w:val="clear" w:color="auto" w:fill="FFFFFF"/>
            <w:vAlign w:val="center"/>
          </w:tcPr>
          <w:p w14:paraId="463365BD" w14:textId="3A16A658" w:rsidR="00D33410" w:rsidRPr="005C3EC8" w:rsidRDefault="00E82635" w:rsidP="00D33410">
            <w:pPr>
              <w:pStyle w:val="Tabletext"/>
              <w:rPr>
                <w:lang w:val="en-GB"/>
              </w:rPr>
            </w:pPr>
            <w:r>
              <w:rPr>
                <w:lang w:val="en-GB" w:eastAsia="x-none"/>
              </w:rPr>
              <w:t>Meaningful progress</w:t>
            </w:r>
          </w:p>
        </w:tc>
      </w:tr>
      <w:tr w:rsidR="00D33410" w:rsidRPr="005C3EC8" w14:paraId="6120F6B5" w14:textId="77777777" w:rsidTr="007B124A">
        <w:tc>
          <w:tcPr>
            <w:tcW w:w="9603" w:type="dxa"/>
            <w:gridSpan w:val="3"/>
            <w:shd w:val="clear" w:color="auto" w:fill="FFFFFF"/>
            <w:vAlign w:val="center"/>
          </w:tcPr>
          <w:p w14:paraId="553DE71B" w14:textId="6F043FE8" w:rsidR="00D33410" w:rsidRPr="005C3EC8" w:rsidRDefault="00D33410" w:rsidP="00D33410">
            <w:pPr>
              <w:pStyle w:val="Tabletext"/>
              <w:rPr>
                <w:lang w:val="en-GB"/>
              </w:rPr>
            </w:pPr>
            <w:r w:rsidRPr="005C3EC8">
              <w:rPr>
                <w:b/>
                <w:lang w:val="en-GB"/>
              </w:rPr>
              <w:t>Secretariat’s recommendations</w:t>
            </w:r>
            <w:r w:rsidRPr="005C3EC8">
              <w:rPr>
                <w:lang w:val="en-GB"/>
              </w:rPr>
              <w:t>:</w:t>
            </w:r>
          </w:p>
          <w:p w14:paraId="7F5453D4" w14:textId="284440AE" w:rsidR="00D33410" w:rsidRPr="00B51B3A" w:rsidRDefault="00B51B3A" w:rsidP="00B51B3A">
            <w:pPr>
              <w:pStyle w:val="ListParagraph"/>
              <w:rPr>
                <w:rFonts w:eastAsia="Calibri"/>
              </w:rPr>
            </w:pPr>
            <w:r>
              <w:t xml:space="preserve">In accordance with </w:t>
            </w:r>
            <w:r w:rsidR="00AD6CEE">
              <w:t>R</w:t>
            </w:r>
            <w:r>
              <w:t>equirement 7.4</w:t>
            </w:r>
            <w:r w:rsidR="00AD6CEE">
              <w:t>.v</w:t>
            </w:r>
            <w:r>
              <w:t>, t</w:t>
            </w:r>
            <w:r w:rsidRPr="00B51B3A">
              <w:t xml:space="preserve">he MSG, with the full, active and effective engagement of civil society, should review the impact of the first five years of EITI implementation and explore the opportunities to further leverage the EITI platform to enrich public debate on the </w:t>
            </w:r>
            <w:r w:rsidRPr="00B51B3A">
              <w:lastRenderedPageBreak/>
              <w:t>governance and stewardship of the UK's oil, gas and mineral resources.</w:t>
            </w:r>
          </w:p>
        </w:tc>
      </w:tr>
    </w:tbl>
    <w:p w14:paraId="48A55FFC" w14:textId="77777777" w:rsidR="00D47A3F" w:rsidRPr="005C3EC8" w:rsidRDefault="00D47A3F" w:rsidP="00D47A3F">
      <w:pPr>
        <w:spacing w:after="0"/>
        <w:rPr>
          <w:rFonts w:ascii="Calibri" w:hAnsi="Calibri"/>
        </w:rPr>
      </w:pPr>
    </w:p>
    <w:p w14:paraId="587A24F5" w14:textId="77777777" w:rsidR="001D1EF2" w:rsidRPr="005C3EC8" w:rsidRDefault="001D1EF2">
      <w:pPr>
        <w:pStyle w:val="Heading2"/>
        <w:sectPr w:rsidR="001D1EF2" w:rsidRPr="005C3EC8" w:rsidSect="007364B0">
          <w:headerReference w:type="first" r:id="rId36"/>
          <w:pgSz w:w="11905" w:h="16837"/>
          <w:pgMar w:top="1175" w:right="1276" w:bottom="1418" w:left="1134" w:header="567" w:footer="0" w:gutter="0"/>
          <w:cols w:space="708"/>
          <w:titlePg/>
          <w:docGrid w:linePitch="326"/>
        </w:sectPr>
      </w:pPr>
      <w:bookmarkStart w:id="423" w:name="_Toc458773266"/>
      <w:bookmarkStart w:id="424" w:name="_Toc458780363"/>
      <w:bookmarkStart w:id="425" w:name="_Toc461803157"/>
      <w:bookmarkStart w:id="426" w:name="_Toc461787368"/>
      <w:bookmarkStart w:id="427" w:name="_Toc461795880"/>
      <w:bookmarkStart w:id="428" w:name="_Toc462149212"/>
      <w:bookmarkStart w:id="429" w:name="_Toc459133208"/>
    </w:p>
    <w:p w14:paraId="095BE6A2" w14:textId="7F8E2B9B" w:rsidR="005047CF" w:rsidRPr="005C3EC8" w:rsidRDefault="000C662A">
      <w:pPr>
        <w:pStyle w:val="Heading2"/>
      </w:pPr>
      <w:r w:rsidRPr="005C3EC8">
        <w:lastRenderedPageBreak/>
        <w:t xml:space="preserve">8. </w:t>
      </w:r>
      <w:r w:rsidR="005047CF" w:rsidRPr="005C3EC8">
        <w:t>Impact analysis (not to be considered in assessing compliance with the EITI provisions)</w:t>
      </w:r>
      <w:bookmarkEnd w:id="423"/>
      <w:bookmarkEnd w:id="424"/>
      <w:bookmarkEnd w:id="425"/>
      <w:bookmarkEnd w:id="426"/>
      <w:bookmarkEnd w:id="427"/>
      <w:bookmarkEnd w:id="428"/>
    </w:p>
    <w:bookmarkEnd w:id="429"/>
    <w:p w14:paraId="2F7793DC" w14:textId="69490C86" w:rsidR="00DF212A" w:rsidRPr="005C3EC8" w:rsidRDefault="00DF212A" w:rsidP="0097728B">
      <w:pPr>
        <w:pStyle w:val="Heading3"/>
      </w:pPr>
      <w:r w:rsidRPr="005C3EC8">
        <w:t>Impact</w:t>
      </w:r>
    </w:p>
    <w:p w14:paraId="0225F922" w14:textId="7E623B83" w:rsidR="00817BD0" w:rsidRPr="005C3EC8" w:rsidRDefault="00900450" w:rsidP="00900450">
      <w:pPr>
        <w:rPr>
          <w:rFonts w:ascii="Calibri" w:hAnsi="Calibri"/>
        </w:rPr>
      </w:pPr>
      <w:r w:rsidRPr="005C3EC8">
        <w:rPr>
          <w:rFonts w:ascii="Calibri" w:hAnsi="Calibri"/>
        </w:rPr>
        <w:t xml:space="preserve">The UK’s implementation of EITI to date has focused on establishing the mechanisms of EITI reporting and tackling challenges of multi-stakeholder oversight at the expenses of critical self-examination of the objectives and impact of implementation in the UK context. Primarily focused on its own internal governance since 2016, the MSG has not yet taken a step back to consider the broader context for its implementation and the value added of EITI reporting. </w:t>
      </w:r>
      <w:r w:rsidR="00817BD0" w:rsidRPr="005C3EC8">
        <w:rPr>
          <w:rFonts w:ascii="Calibri" w:hAnsi="Calibri"/>
        </w:rPr>
        <w:t>Successive annual progress reports since 2015</w:t>
      </w:r>
      <w:r w:rsidR="00817BD0" w:rsidRPr="005C3EC8">
        <w:rPr>
          <w:rStyle w:val="FootnoteReference"/>
          <w:rFonts w:ascii="Calibri" w:hAnsi="Calibri"/>
        </w:rPr>
        <w:footnoteReference w:id="383"/>
      </w:r>
      <w:r w:rsidR="00817BD0" w:rsidRPr="005C3EC8">
        <w:rPr>
          <w:rFonts w:ascii="Calibri" w:hAnsi="Calibri"/>
        </w:rPr>
        <w:t xml:space="preserve"> have noted the MSG’s commitment to continuous improvements (primarily of the reporting process), rather than highlighting broader impacts and opportunities in line with the objectives of the UK’s EITI implementation. </w:t>
      </w:r>
    </w:p>
    <w:p w14:paraId="594448E4" w14:textId="643040B9" w:rsidR="00900450" w:rsidRPr="005C3EC8" w:rsidRDefault="00900450" w:rsidP="00900450">
      <w:pPr>
        <w:rPr>
          <w:rFonts w:ascii="Calibri" w:hAnsi="Calibri"/>
        </w:rPr>
      </w:pPr>
      <w:r w:rsidRPr="005C3EC8">
        <w:rPr>
          <w:rFonts w:ascii="Calibri" w:hAnsi="Calibri"/>
          <w:i/>
          <w:u w:val="single"/>
        </w:rPr>
        <w:t>Recognition</w:t>
      </w:r>
      <w:r w:rsidRPr="005C3EC8">
        <w:rPr>
          <w:rFonts w:ascii="Calibri" w:hAnsi="Calibri"/>
        </w:rPr>
        <w:t xml:space="preserve">: The clearest outcome of the UK’s domestic EITI implementation has been in the international recognition of its leadership in transparency. The early stages of implementation were also the time of Parliament’s enactment of payments to government legislation and the government’s pledge to establish a public beneficial ownership register at the London Anti-Corruption Summit. As part of this drive, the UK’s EITI implementation has provided international leadership and led to a rise in demand for technical assistance both from </w:t>
      </w:r>
      <w:proofErr w:type="spellStart"/>
      <w:r w:rsidRPr="005C3EC8">
        <w:rPr>
          <w:rFonts w:ascii="Calibri" w:hAnsi="Calibri"/>
        </w:rPr>
        <w:t>DfID</w:t>
      </w:r>
      <w:proofErr w:type="spellEnd"/>
      <w:r w:rsidRPr="005C3EC8">
        <w:rPr>
          <w:rFonts w:ascii="Calibri" w:hAnsi="Calibri"/>
        </w:rPr>
        <w:t xml:space="preserve"> and BEIS. </w:t>
      </w:r>
    </w:p>
    <w:p w14:paraId="2D5550C5" w14:textId="2AA85F89" w:rsidR="00900450" w:rsidRPr="005C3EC8" w:rsidRDefault="00900450" w:rsidP="00900450">
      <w:pPr>
        <w:rPr>
          <w:rFonts w:ascii="Calibri" w:hAnsi="Calibri"/>
        </w:rPr>
      </w:pPr>
      <w:r w:rsidRPr="005C3EC8">
        <w:rPr>
          <w:rFonts w:ascii="Calibri" w:hAnsi="Calibri"/>
          <w:i/>
          <w:u w:val="single"/>
        </w:rPr>
        <w:t>Constructive engagement</w:t>
      </w:r>
      <w:r w:rsidRPr="005C3EC8">
        <w:rPr>
          <w:rFonts w:ascii="Calibri" w:hAnsi="Calibri"/>
        </w:rPr>
        <w:t xml:space="preserve">: There were signs of constructive engagement and trust building in the early stages of EITI implementation in 2013-15, as the three constituencies worked together on addressing technical challenges to the initial stages of EITI reporting (e.g. taxpayer confidentiality, disaggregation of revenues). However, as tensions emerged related to civil society organization and representation in the EITI, the MSG’s discussions became dominated by constituency nominations and engagement issues, at the expense of substantive issues related to extractive industry governance. As different sections of civil society questioned each other’s legitimacy, the fledgling trust and collaboration gave way to allegations of conflicts of interest and co-option. </w:t>
      </w:r>
    </w:p>
    <w:p w14:paraId="048A7E48" w14:textId="4CE01B79" w:rsidR="00900450" w:rsidRPr="005C3EC8" w:rsidRDefault="00900450" w:rsidP="00900450">
      <w:pPr>
        <w:rPr>
          <w:rFonts w:ascii="Calibri" w:hAnsi="Calibri"/>
        </w:rPr>
      </w:pPr>
      <w:r w:rsidRPr="005C3EC8">
        <w:rPr>
          <w:rFonts w:ascii="Calibri" w:hAnsi="Calibri"/>
          <w:i/>
          <w:u w:val="single"/>
        </w:rPr>
        <w:t>Economic contributions</w:t>
      </w:r>
      <w:r w:rsidRPr="005C3EC8">
        <w:rPr>
          <w:rFonts w:ascii="Calibri" w:hAnsi="Calibri"/>
        </w:rPr>
        <w:t>: According to several industry representatives consulted, one of the key outcomes of EITI implementation to date has been to collect all extractives information in one report and to more clearly demonstrate the economic contribution of the extractive industries. While mining industry representatives considered that the economic importance of quarrying continued to be under-valued given the lack of coverage of the ”aggregates levy” in EITI reporting, they noted that MSG members’ understanding of the various contributions of the industry had gradually developed as part of their oversight of EITI reporting. While most stakeholders consulted thought that the economic contribution of the oil and gas sector was already well understood given the ample provision of public data from Oil and Gas UK and the OGA, several stakeholders from civil society and government considered that cash-based EITI reporting more clearly highlighted the impact of tax refunds on the government’s extractives cash-</w:t>
      </w:r>
      <w:r w:rsidRPr="005C3EC8">
        <w:rPr>
          <w:rFonts w:ascii="Calibri" w:hAnsi="Calibri"/>
        </w:rPr>
        <w:lastRenderedPageBreak/>
        <w:t xml:space="preserve">flow position in a particular calendar year. </w:t>
      </w:r>
    </w:p>
    <w:p w14:paraId="501B39D1" w14:textId="77777777" w:rsidR="00900450" w:rsidRPr="005C3EC8" w:rsidRDefault="00900450" w:rsidP="00900450">
      <w:pPr>
        <w:rPr>
          <w:rFonts w:ascii="Calibri" w:hAnsi="Calibri"/>
        </w:rPr>
      </w:pPr>
      <w:r w:rsidRPr="005C3EC8">
        <w:rPr>
          <w:rFonts w:ascii="Calibri" w:hAnsi="Calibri"/>
          <w:i/>
          <w:u w:val="single"/>
        </w:rPr>
        <w:t>Public understanding</w:t>
      </w:r>
      <w:r w:rsidRPr="005C3EC8">
        <w:rPr>
          <w:rFonts w:ascii="Calibri" w:hAnsi="Calibri"/>
        </w:rPr>
        <w:t xml:space="preserve">: The vast majority of stakeholders consulted considered that the EITI Report had not had an impact on the public’s understanding of the extractives. Most stakeholders considered that the timeliness of EITI reporting, with data published a year and a half after government figures, was a concern. However, several government and industry representatives highlighted the value of ‘final’ EITI figures, given that government (e.g. HMRC) figures tended to be revised up to 18-24 months after the end of the fiscal period. </w:t>
      </w:r>
    </w:p>
    <w:p w14:paraId="3F85E077" w14:textId="77777777" w:rsidR="00900450" w:rsidRPr="005C3EC8" w:rsidRDefault="00900450" w:rsidP="00900450">
      <w:pPr>
        <w:rPr>
          <w:rFonts w:ascii="Calibri" w:hAnsi="Calibri"/>
        </w:rPr>
      </w:pPr>
      <w:r w:rsidRPr="005C3EC8">
        <w:rPr>
          <w:rFonts w:ascii="Calibri" w:hAnsi="Calibri"/>
        </w:rPr>
        <w:t>There has been some use of EITI data, primarily by industry and civil society. Oil and Gas UK has drawn on EITI figures in its submissions to Parliament. Several articles in the British press (e.g. BBC, Financial Times) have also used specific EITI data points. There is less evidence of use of EITI data from the mining industry. Civil society has drawn on EITI data, most recently in comparing company reporting to UKEITI with mandatory payments to governments reports.</w:t>
      </w:r>
      <w:r w:rsidRPr="005C3EC8">
        <w:rPr>
          <w:rFonts w:ascii="Calibri" w:hAnsi="Calibri"/>
          <w:vertAlign w:val="superscript"/>
        </w:rPr>
        <w:footnoteReference w:id="384"/>
      </w:r>
      <w:r w:rsidRPr="005C3EC8">
        <w:rPr>
          <w:rFonts w:ascii="Calibri" w:hAnsi="Calibri"/>
        </w:rPr>
        <w:t xml:space="preserve"> Yet the UK’s EITI reporting has not yet established itself as a key gateway to information on the extractive industries. </w:t>
      </w:r>
    </w:p>
    <w:p w14:paraId="5A051333" w14:textId="431054C7" w:rsidR="00900450" w:rsidRPr="005C3EC8" w:rsidRDefault="00900450" w:rsidP="00900450">
      <w:pPr>
        <w:rPr>
          <w:rFonts w:ascii="Calibri" w:hAnsi="Calibri"/>
        </w:rPr>
      </w:pPr>
      <w:r w:rsidRPr="005C3EC8">
        <w:rPr>
          <w:rFonts w:ascii="Calibri" w:hAnsi="Calibri"/>
        </w:rPr>
        <w:t xml:space="preserve">There is scope for the EITI to contribute more to the public’s understanding in key areas such as oil and gas decommissioning, prospects for shale gas, mining and quarrying companies’ Section 106 payments. </w:t>
      </w:r>
    </w:p>
    <w:p w14:paraId="54C1F02F" w14:textId="37001A68" w:rsidR="00DF212A" w:rsidRPr="005C3EC8" w:rsidRDefault="00900450" w:rsidP="00DF212A">
      <w:pPr>
        <w:rPr>
          <w:rFonts w:ascii="Calibri" w:hAnsi="Calibri"/>
        </w:rPr>
      </w:pPr>
      <w:r w:rsidRPr="005C3EC8">
        <w:rPr>
          <w:rFonts w:ascii="Calibri" w:hAnsi="Calibri"/>
          <w:i/>
          <w:u w:val="single"/>
        </w:rPr>
        <w:t>Strengthening government systems</w:t>
      </w:r>
      <w:r w:rsidRPr="005C3EC8">
        <w:rPr>
          <w:rFonts w:ascii="Calibri" w:hAnsi="Calibri"/>
        </w:rPr>
        <w:t xml:space="preserve">: There is no evidence of reforms in government systems as a result of EITI implementation, beyond the disaggregation of RFCT/SC from PRT payments in government data. While not explicitly stated in the UK’s objectives for implementation, reforms in government systems were an implication of the government’s commitment to open data. In this sense, the EITI has not led to any substantive reforms in government systems, in large part due to the robustness of existing oversight mechanisms. Yet some gaps in the public availability of some mining- and quarrying-related EITI data remain. </w:t>
      </w:r>
    </w:p>
    <w:p w14:paraId="1A01CE24" w14:textId="0400A589" w:rsidR="00817BD0" w:rsidRPr="005C3EC8" w:rsidRDefault="00817BD0" w:rsidP="00DF212A">
      <w:pPr>
        <w:rPr>
          <w:rFonts w:ascii="Calibri" w:hAnsi="Calibri"/>
        </w:rPr>
      </w:pPr>
      <w:r w:rsidRPr="005C3EC8">
        <w:rPr>
          <w:rFonts w:ascii="Calibri" w:hAnsi="Calibri"/>
        </w:rPr>
        <w:t xml:space="preserve">Re-examination of the scope of EITI reporting and broader objectives of implementation, combined with systematic disclosures of key EITI data, would help the MSG ensure that the mechanics of implementation are commensurate with the use and impact of EITI reporting. </w:t>
      </w:r>
    </w:p>
    <w:p w14:paraId="2F2822DA" w14:textId="77777777" w:rsidR="00DF212A" w:rsidRPr="005C3EC8" w:rsidRDefault="00DF212A" w:rsidP="0097728B">
      <w:pPr>
        <w:pStyle w:val="Heading3"/>
      </w:pPr>
      <w:r w:rsidRPr="005C3EC8">
        <w:t>Sustainability</w:t>
      </w:r>
    </w:p>
    <w:p w14:paraId="0CDBB771" w14:textId="45D3D1AA" w:rsidR="00900450" w:rsidRPr="005C3EC8" w:rsidRDefault="00900450" w:rsidP="00900450">
      <w:pPr>
        <w:rPr>
          <w:rFonts w:ascii="Calibri" w:hAnsi="Calibri"/>
        </w:rPr>
      </w:pPr>
      <w:r w:rsidRPr="005C3EC8">
        <w:rPr>
          <w:rFonts w:ascii="Calibri" w:hAnsi="Calibri"/>
          <w:i/>
          <w:u w:val="single"/>
        </w:rPr>
        <w:t>Funding</w:t>
      </w:r>
      <w:r w:rsidRPr="005C3EC8">
        <w:rPr>
          <w:rFonts w:ascii="Calibri" w:hAnsi="Calibri"/>
        </w:rPr>
        <w:t xml:space="preserve">: The government has entirely funded the costs of its EITI implementation to date, through the Department of BEIS. A government official noted that the government intended to provide funding to ensure timelier EITI reporting, with the intention of publishing the 2018 EITI Report in early 2019. </w:t>
      </w:r>
    </w:p>
    <w:p w14:paraId="6419228B" w14:textId="77777777" w:rsidR="00900450" w:rsidRPr="005C3EC8" w:rsidRDefault="00900450" w:rsidP="00900450">
      <w:pPr>
        <w:rPr>
          <w:rFonts w:ascii="Calibri" w:hAnsi="Calibri"/>
        </w:rPr>
      </w:pPr>
      <w:r w:rsidRPr="005C3EC8">
        <w:rPr>
          <w:rFonts w:ascii="Calibri" w:hAnsi="Calibri"/>
          <w:i/>
          <w:u w:val="single"/>
        </w:rPr>
        <w:t>Institutionalisation</w:t>
      </w:r>
      <w:r w:rsidRPr="005C3EC8">
        <w:rPr>
          <w:rFonts w:ascii="Calibri" w:hAnsi="Calibri"/>
        </w:rPr>
        <w:t xml:space="preserve">: While there is no legal backing to EITI in the UK, the government’s commitment to open data and national payments to government legislation ensure that both companies and government will continue to disclose the majority of information required by the EITI Standard. </w:t>
      </w:r>
    </w:p>
    <w:p w14:paraId="572DE67D" w14:textId="77777777" w:rsidR="001E2C46" w:rsidRPr="005C3EC8" w:rsidRDefault="001E2C46" w:rsidP="00900450"/>
    <w:p w14:paraId="17BF575B" w14:textId="77777777" w:rsidR="006934C7" w:rsidRPr="005C3EC8" w:rsidRDefault="006934C7">
      <w:pPr>
        <w:widowControl/>
        <w:suppressAutoHyphens w:val="0"/>
        <w:spacing w:after="0" w:line="240" w:lineRule="auto"/>
        <w:rPr>
          <w:rFonts w:ascii="Calibri" w:hAnsi="Calibri"/>
        </w:rPr>
        <w:sectPr w:rsidR="006934C7" w:rsidRPr="005C3EC8" w:rsidSect="007364B0">
          <w:pgSz w:w="11905" w:h="16837"/>
          <w:pgMar w:top="1175" w:right="1276" w:bottom="1418" w:left="1134" w:header="567" w:footer="0" w:gutter="0"/>
          <w:cols w:space="708"/>
          <w:titlePg/>
          <w:docGrid w:linePitch="326"/>
        </w:sectPr>
      </w:pPr>
      <w:bookmarkStart w:id="430" w:name="_Toc452707651"/>
      <w:bookmarkStart w:id="431" w:name="_Toc459133209"/>
      <w:bookmarkStart w:id="432" w:name="_Toc461803158"/>
      <w:bookmarkStart w:id="433" w:name="_Toc461787369"/>
      <w:bookmarkStart w:id="434" w:name="_Toc461795881"/>
    </w:p>
    <w:p w14:paraId="0331EDBF" w14:textId="2C44462C" w:rsidR="00BC3EF6" w:rsidRPr="005C3EC8" w:rsidRDefault="00AE51FA" w:rsidP="00764C60">
      <w:pPr>
        <w:pStyle w:val="Heading1"/>
      </w:pPr>
      <w:bookmarkStart w:id="435" w:name="_Toc462149213"/>
      <w:r w:rsidRPr="005C3EC8">
        <w:lastRenderedPageBreak/>
        <w:t>Annexes</w:t>
      </w:r>
      <w:bookmarkEnd w:id="430"/>
      <w:bookmarkEnd w:id="431"/>
      <w:bookmarkEnd w:id="432"/>
      <w:bookmarkEnd w:id="433"/>
      <w:bookmarkEnd w:id="434"/>
      <w:bookmarkEnd w:id="435"/>
      <w:r w:rsidRPr="005C3EC8">
        <w:t xml:space="preserve"> </w:t>
      </w:r>
    </w:p>
    <w:p w14:paraId="2421431D" w14:textId="442D1F3E" w:rsidR="00AE51FA" w:rsidRPr="005C3EC8" w:rsidRDefault="00A843C6">
      <w:pPr>
        <w:pStyle w:val="Heading2"/>
      </w:pPr>
      <w:bookmarkStart w:id="436" w:name="_Toc452707652"/>
      <w:bookmarkStart w:id="437" w:name="_Toc459133210"/>
      <w:bookmarkStart w:id="438" w:name="_Toc461803159"/>
      <w:bookmarkStart w:id="439" w:name="_Toc461787370"/>
      <w:bookmarkStart w:id="440" w:name="_Toc461795882"/>
      <w:bookmarkStart w:id="441" w:name="_Toc462149214"/>
      <w:r w:rsidRPr="005C3EC8">
        <w:t xml:space="preserve">Annex A - </w:t>
      </w:r>
      <w:r w:rsidR="00AE51FA" w:rsidRPr="005C3EC8">
        <w:t>List of MSG members and contact details</w:t>
      </w:r>
      <w:bookmarkEnd w:id="436"/>
      <w:bookmarkEnd w:id="437"/>
      <w:bookmarkEnd w:id="438"/>
      <w:bookmarkEnd w:id="439"/>
      <w:bookmarkEnd w:id="440"/>
      <w:bookmarkEnd w:id="441"/>
      <w:r w:rsidR="00AE51FA" w:rsidRPr="005C3EC8">
        <w:t xml:space="preserve"> </w:t>
      </w:r>
    </w:p>
    <w:p w14:paraId="64FCB69C" w14:textId="77777777" w:rsidR="00437F42" w:rsidRPr="005C3EC8" w:rsidRDefault="00437F42" w:rsidP="00613363">
      <w:pPr>
        <w:widowControl/>
        <w:suppressAutoHyphens w:val="0"/>
        <w:spacing w:after="0" w:line="240" w:lineRule="auto"/>
        <w:jc w:val="center"/>
        <w:rPr>
          <w:rFonts w:ascii="Calibri" w:hAnsi="Calibri"/>
          <w:b/>
          <w:bCs/>
          <w:u w:val="single"/>
        </w:rPr>
      </w:pPr>
    </w:p>
    <w:p w14:paraId="4D9FBDBC" w14:textId="68304EC9" w:rsidR="00613363" w:rsidRPr="005C3EC8" w:rsidRDefault="00613363" w:rsidP="00613363">
      <w:pPr>
        <w:widowControl/>
        <w:suppressAutoHyphens w:val="0"/>
        <w:spacing w:after="0" w:line="240" w:lineRule="auto"/>
        <w:jc w:val="center"/>
        <w:rPr>
          <w:rFonts w:ascii="Calibri" w:hAnsi="Calibri"/>
          <w:b/>
          <w:bCs/>
          <w:u w:val="single"/>
        </w:rPr>
      </w:pPr>
      <w:r w:rsidRPr="005C3EC8">
        <w:rPr>
          <w:rFonts w:ascii="Calibri" w:hAnsi="Calibri"/>
          <w:b/>
          <w:bCs/>
          <w:u w:val="single"/>
        </w:rPr>
        <w:t>June 2018</w:t>
      </w:r>
    </w:p>
    <w:p w14:paraId="043EA566" w14:textId="77777777" w:rsidR="00613363" w:rsidRPr="005C3EC8" w:rsidRDefault="00613363" w:rsidP="00613363">
      <w:pPr>
        <w:widowControl/>
        <w:suppressAutoHyphens w:val="0"/>
        <w:spacing w:after="0" w:line="240" w:lineRule="auto"/>
        <w:rPr>
          <w:rFonts w:ascii="Calibri" w:hAnsi="Calibri"/>
          <w:b/>
          <w:bCs/>
        </w:rPr>
      </w:pPr>
    </w:p>
    <w:p w14:paraId="722B3038" w14:textId="77777777" w:rsidR="00613363" w:rsidRPr="005C3EC8" w:rsidRDefault="00613363" w:rsidP="00613363">
      <w:pPr>
        <w:widowControl/>
        <w:suppressAutoHyphens w:val="0"/>
        <w:spacing w:after="0" w:line="240" w:lineRule="auto"/>
        <w:rPr>
          <w:rFonts w:ascii="Calibri" w:hAnsi="Calibri"/>
          <w:b/>
          <w:bCs/>
        </w:rPr>
      </w:pPr>
      <w:r w:rsidRPr="005C3EC8">
        <w:rPr>
          <w:rFonts w:ascii="Calibri" w:hAnsi="Calibri"/>
          <w:b/>
          <w:bCs/>
        </w:rPr>
        <w:t>Champion</w:t>
      </w:r>
    </w:p>
    <w:p w14:paraId="7DE5BD9D" w14:textId="77777777" w:rsidR="00613363" w:rsidRPr="005C3EC8" w:rsidRDefault="00613363" w:rsidP="004A4E1C">
      <w:pPr>
        <w:widowControl/>
        <w:numPr>
          <w:ilvl w:val="0"/>
          <w:numId w:val="11"/>
        </w:numPr>
        <w:suppressAutoHyphens w:val="0"/>
        <w:spacing w:after="0" w:line="240" w:lineRule="auto"/>
        <w:rPr>
          <w:rFonts w:ascii="Calibri" w:hAnsi="Calibri"/>
          <w:bCs/>
        </w:rPr>
      </w:pPr>
      <w:r w:rsidRPr="005C3EC8">
        <w:rPr>
          <w:rFonts w:ascii="Calibri" w:hAnsi="Calibri"/>
          <w:bCs/>
        </w:rPr>
        <w:t>Vacant</w:t>
      </w:r>
    </w:p>
    <w:p w14:paraId="18689948" w14:textId="77777777" w:rsidR="00613363" w:rsidRPr="005C3EC8" w:rsidRDefault="00613363" w:rsidP="00613363">
      <w:pPr>
        <w:widowControl/>
        <w:suppressAutoHyphens w:val="0"/>
        <w:spacing w:after="0" w:line="240" w:lineRule="auto"/>
        <w:rPr>
          <w:rFonts w:ascii="Calibri" w:hAnsi="Calibri"/>
          <w:b/>
          <w:bCs/>
        </w:rPr>
      </w:pPr>
    </w:p>
    <w:p w14:paraId="71A8382D" w14:textId="77777777" w:rsidR="00613363" w:rsidRPr="005C3EC8" w:rsidRDefault="00613363" w:rsidP="00613363">
      <w:pPr>
        <w:widowControl/>
        <w:suppressAutoHyphens w:val="0"/>
        <w:spacing w:after="0" w:line="240" w:lineRule="auto"/>
        <w:rPr>
          <w:rFonts w:ascii="Calibri" w:hAnsi="Calibri"/>
          <w:b/>
          <w:bCs/>
        </w:rPr>
      </w:pPr>
      <w:r w:rsidRPr="005C3EC8">
        <w:rPr>
          <w:rFonts w:ascii="Calibri" w:hAnsi="Calibri"/>
          <w:b/>
          <w:bCs/>
        </w:rPr>
        <w:t>Chair</w:t>
      </w:r>
    </w:p>
    <w:p w14:paraId="5D801832" w14:textId="77777777" w:rsidR="00613363" w:rsidRPr="005C3EC8" w:rsidRDefault="00613363" w:rsidP="004A4E1C">
      <w:pPr>
        <w:widowControl/>
        <w:numPr>
          <w:ilvl w:val="0"/>
          <w:numId w:val="12"/>
        </w:numPr>
        <w:suppressAutoHyphens w:val="0"/>
        <w:spacing w:after="0" w:line="240" w:lineRule="auto"/>
        <w:rPr>
          <w:rFonts w:ascii="Calibri" w:hAnsi="Calibri"/>
          <w:bCs/>
        </w:rPr>
      </w:pPr>
      <w:r w:rsidRPr="005C3EC8">
        <w:rPr>
          <w:rFonts w:ascii="Calibri" w:hAnsi="Calibri"/>
          <w:bCs/>
        </w:rPr>
        <w:t>Matthew Ray - Department for Business, Energy and Industrial Strategy (BEIS)</w:t>
      </w:r>
    </w:p>
    <w:p w14:paraId="7FCD26DC" w14:textId="77777777" w:rsidR="00613363" w:rsidRPr="005C3EC8" w:rsidRDefault="00613363" w:rsidP="00613363">
      <w:pPr>
        <w:widowControl/>
        <w:suppressAutoHyphens w:val="0"/>
        <w:spacing w:after="0" w:line="240" w:lineRule="auto"/>
        <w:rPr>
          <w:rFonts w:ascii="Calibri" w:hAnsi="Calibri"/>
          <w:b/>
          <w:bCs/>
        </w:rPr>
      </w:pPr>
    </w:p>
    <w:p w14:paraId="162D2E21" w14:textId="77777777" w:rsidR="00613363" w:rsidRPr="005C3EC8" w:rsidRDefault="00613363" w:rsidP="00613363">
      <w:pPr>
        <w:widowControl/>
        <w:suppressAutoHyphens w:val="0"/>
        <w:spacing w:after="0" w:line="240" w:lineRule="auto"/>
        <w:rPr>
          <w:rFonts w:ascii="Calibri" w:hAnsi="Calibri"/>
          <w:b/>
          <w:bCs/>
        </w:rPr>
      </w:pPr>
      <w:r w:rsidRPr="005C3EC8">
        <w:rPr>
          <w:rFonts w:ascii="Calibri" w:hAnsi="Calibri"/>
          <w:b/>
          <w:bCs/>
        </w:rPr>
        <w:t>Industry members</w:t>
      </w:r>
    </w:p>
    <w:p w14:paraId="5E4F540B" w14:textId="77777777" w:rsidR="00613363" w:rsidRPr="005C3EC8" w:rsidRDefault="00613363" w:rsidP="004A4E1C">
      <w:pPr>
        <w:widowControl/>
        <w:numPr>
          <w:ilvl w:val="0"/>
          <w:numId w:val="13"/>
        </w:numPr>
        <w:suppressAutoHyphens w:val="0"/>
        <w:spacing w:after="0" w:line="240" w:lineRule="auto"/>
        <w:rPr>
          <w:rFonts w:ascii="Calibri" w:hAnsi="Calibri"/>
          <w:bCs/>
        </w:rPr>
      </w:pPr>
      <w:r w:rsidRPr="005C3EC8">
        <w:rPr>
          <w:rFonts w:ascii="Calibri" w:hAnsi="Calibri"/>
          <w:bCs/>
        </w:rPr>
        <w:t>Dr Patrick Foster - Mining Association of the UK &amp; Camborne School of Mines, University of Exeter</w:t>
      </w:r>
    </w:p>
    <w:p w14:paraId="245822B5" w14:textId="77777777" w:rsidR="00613363" w:rsidRPr="005C3EC8" w:rsidRDefault="00613363" w:rsidP="004A4E1C">
      <w:pPr>
        <w:widowControl/>
        <w:numPr>
          <w:ilvl w:val="0"/>
          <w:numId w:val="13"/>
        </w:numPr>
        <w:suppressAutoHyphens w:val="0"/>
        <w:spacing w:after="0" w:line="240" w:lineRule="auto"/>
        <w:rPr>
          <w:rFonts w:ascii="Calibri" w:hAnsi="Calibri"/>
          <w:bCs/>
        </w:rPr>
      </w:pPr>
      <w:r w:rsidRPr="005C3EC8">
        <w:rPr>
          <w:rFonts w:ascii="Calibri" w:hAnsi="Calibri"/>
          <w:bCs/>
        </w:rPr>
        <w:t>Matthew Landy - Statoil</w:t>
      </w:r>
    </w:p>
    <w:p w14:paraId="64384521" w14:textId="77777777" w:rsidR="00613363" w:rsidRPr="005C3EC8" w:rsidRDefault="00613363" w:rsidP="004A4E1C">
      <w:pPr>
        <w:widowControl/>
        <w:numPr>
          <w:ilvl w:val="0"/>
          <w:numId w:val="13"/>
        </w:numPr>
        <w:suppressAutoHyphens w:val="0"/>
        <w:spacing w:after="0" w:line="240" w:lineRule="auto"/>
        <w:rPr>
          <w:rFonts w:ascii="Calibri" w:hAnsi="Calibri"/>
          <w:bCs/>
        </w:rPr>
      </w:pPr>
      <w:r w:rsidRPr="005C3EC8">
        <w:rPr>
          <w:rFonts w:ascii="Calibri" w:hAnsi="Calibri"/>
          <w:bCs/>
        </w:rPr>
        <w:t>Jacqui Akinlosotu – ENI</w:t>
      </w:r>
    </w:p>
    <w:p w14:paraId="5DC0F8D9" w14:textId="77777777" w:rsidR="00613363" w:rsidRPr="005C3EC8" w:rsidRDefault="00613363" w:rsidP="004A4E1C">
      <w:pPr>
        <w:widowControl/>
        <w:numPr>
          <w:ilvl w:val="0"/>
          <w:numId w:val="13"/>
        </w:numPr>
        <w:suppressAutoHyphens w:val="0"/>
        <w:spacing w:after="0" w:line="240" w:lineRule="auto"/>
        <w:rPr>
          <w:rFonts w:ascii="Calibri" w:hAnsi="Calibri"/>
          <w:bCs/>
        </w:rPr>
      </w:pPr>
      <w:r w:rsidRPr="005C3EC8">
        <w:rPr>
          <w:rFonts w:ascii="Calibri" w:hAnsi="Calibri"/>
          <w:bCs/>
        </w:rPr>
        <w:t>John Bowater - Aggregate Industries</w:t>
      </w:r>
    </w:p>
    <w:p w14:paraId="7C58BF9A" w14:textId="77777777" w:rsidR="00613363" w:rsidRPr="005C3EC8" w:rsidRDefault="00613363" w:rsidP="00613363">
      <w:pPr>
        <w:widowControl/>
        <w:suppressAutoHyphens w:val="0"/>
        <w:spacing w:after="0" w:line="240" w:lineRule="auto"/>
        <w:rPr>
          <w:rFonts w:ascii="Calibri" w:hAnsi="Calibri"/>
          <w:b/>
          <w:bCs/>
        </w:rPr>
      </w:pPr>
    </w:p>
    <w:p w14:paraId="4F179252" w14:textId="77777777" w:rsidR="00613363" w:rsidRPr="005C3EC8" w:rsidRDefault="00613363" w:rsidP="00613363">
      <w:pPr>
        <w:widowControl/>
        <w:suppressAutoHyphens w:val="0"/>
        <w:spacing w:after="0" w:line="240" w:lineRule="auto"/>
        <w:rPr>
          <w:rFonts w:ascii="Calibri" w:hAnsi="Calibri"/>
          <w:b/>
          <w:bCs/>
        </w:rPr>
      </w:pPr>
      <w:r w:rsidRPr="005C3EC8">
        <w:rPr>
          <w:rFonts w:ascii="Calibri" w:hAnsi="Calibri"/>
          <w:b/>
          <w:bCs/>
        </w:rPr>
        <w:t>Civil society members</w:t>
      </w:r>
    </w:p>
    <w:p w14:paraId="5655266F" w14:textId="77777777" w:rsidR="00613363" w:rsidRPr="005C3EC8" w:rsidRDefault="00613363" w:rsidP="004A4E1C">
      <w:pPr>
        <w:widowControl/>
        <w:numPr>
          <w:ilvl w:val="0"/>
          <w:numId w:val="14"/>
        </w:numPr>
        <w:suppressAutoHyphens w:val="0"/>
        <w:spacing w:after="0" w:line="240" w:lineRule="auto"/>
        <w:rPr>
          <w:rFonts w:ascii="Calibri" w:hAnsi="Calibri"/>
          <w:bCs/>
        </w:rPr>
      </w:pPr>
      <w:r w:rsidRPr="005C3EC8">
        <w:rPr>
          <w:rFonts w:ascii="Calibri" w:hAnsi="Calibri"/>
          <w:bCs/>
        </w:rPr>
        <w:t>Lorraine Allanson</w:t>
      </w:r>
    </w:p>
    <w:p w14:paraId="1BB05794" w14:textId="77777777" w:rsidR="00613363" w:rsidRPr="005C3EC8" w:rsidRDefault="00613363" w:rsidP="004A4E1C">
      <w:pPr>
        <w:widowControl/>
        <w:numPr>
          <w:ilvl w:val="0"/>
          <w:numId w:val="14"/>
        </w:numPr>
        <w:suppressAutoHyphens w:val="0"/>
        <w:spacing w:after="0" w:line="240" w:lineRule="auto"/>
        <w:rPr>
          <w:rFonts w:ascii="Calibri" w:hAnsi="Calibri"/>
          <w:bCs/>
        </w:rPr>
      </w:pPr>
      <w:r w:rsidRPr="005C3EC8">
        <w:rPr>
          <w:rFonts w:ascii="Calibri" w:hAnsi="Calibri"/>
          <w:bCs/>
        </w:rPr>
        <w:t xml:space="preserve">Norbert </w:t>
      </w:r>
      <w:proofErr w:type="spellStart"/>
      <w:r w:rsidRPr="005C3EC8">
        <w:rPr>
          <w:rFonts w:ascii="Calibri" w:hAnsi="Calibri"/>
          <w:bCs/>
        </w:rPr>
        <w:t>Mbu</w:t>
      </w:r>
      <w:proofErr w:type="spellEnd"/>
      <w:r w:rsidRPr="005C3EC8">
        <w:rPr>
          <w:rFonts w:ascii="Calibri" w:hAnsi="Calibri"/>
          <w:bCs/>
        </w:rPr>
        <w:t xml:space="preserve"> Mputu</w:t>
      </w:r>
    </w:p>
    <w:p w14:paraId="571C87C7" w14:textId="77777777" w:rsidR="00613363" w:rsidRPr="005C3EC8" w:rsidRDefault="00613363" w:rsidP="004A4E1C">
      <w:pPr>
        <w:widowControl/>
        <w:numPr>
          <w:ilvl w:val="0"/>
          <w:numId w:val="14"/>
        </w:numPr>
        <w:suppressAutoHyphens w:val="0"/>
        <w:spacing w:after="0" w:line="240" w:lineRule="auto"/>
        <w:rPr>
          <w:rFonts w:ascii="Calibri" w:hAnsi="Calibri"/>
          <w:bCs/>
        </w:rPr>
      </w:pPr>
      <w:r w:rsidRPr="005C3EC8">
        <w:rPr>
          <w:rFonts w:ascii="Calibri" w:hAnsi="Calibri"/>
          <w:bCs/>
        </w:rPr>
        <w:t>Vacant</w:t>
      </w:r>
    </w:p>
    <w:p w14:paraId="7C91D447" w14:textId="77777777" w:rsidR="00613363" w:rsidRPr="005C3EC8" w:rsidRDefault="00613363" w:rsidP="004A4E1C">
      <w:pPr>
        <w:widowControl/>
        <w:numPr>
          <w:ilvl w:val="0"/>
          <w:numId w:val="14"/>
        </w:numPr>
        <w:suppressAutoHyphens w:val="0"/>
        <w:spacing w:after="0" w:line="240" w:lineRule="auto"/>
        <w:rPr>
          <w:rFonts w:ascii="Calibri" w:hAnsi="Calibri"/>
          <w:bCs/>
        </w:rPr>
      </w:pPr>
      <w:r w:rsidRPr="005C3EC8">
        <w:rPr>
          <w:rFonts w:ascii="Calibri" w:hAnsi="Calibri"/>
          <w:bCs/>
        </w:rPr>
        <w:t>Vacant</w:t>
      </w:r>
    </w:p>
    <w:p w14:paraId="73BB768C" w14:textId="77777777" w:rsidR="00613363" w:rsidRPr="005C3EC8" w:rsidRDefault="00613363" w:rsidP="00613363">
      <w:pPr>
        <w:widowControl/>
        <w:suppressAutoHyphens w:val="0"/>
        <w:spacing w:after="0" w:line="240" w:lineRule="auto"/>
        <w:rPr>
          <w:rFonts w:ascii="Calibri" w:hAnsi="Calibri"/>
          <w:b/>
          <w:bCs/>
        </w:rPr>
      </w:pPr>
    </w:p>
    <w:p w14:paraId="018992B8" w14:textId="77777777" w:rsidR="00613363" w:rsidRPr="005C3EC8" w:rsidRDefault="00613363" w:rsidP="00613363">
      <w:pPr>
        <w:widowControl/>
        <w:suppressAutoHyphens w:val="0"/>
        <w:spacing w:after="0" w:line="240" w:lineRule="auto"/>
        <w:rPr>
          <w:rFonts w:ascii="Calibri" w:hAnsi="Calibri"/>
          <w:b/>
          <w:bCs/>
        </w:rPr>
      </w:pPr>
      <w:r w:rsidRPr="005C3EC8">
        <w:rPr>
          <w:rFonts w:ascii="Calibri" w:hAnsi="Calibri"/>
          <w:b/>
          <w:bCs/>
        </w:rPr>
        <w:t>Government members</w:t>
      </w:r>
    </w:p>
    <w:p w14:paraId="15CE581D" w14:textId="77777777" w:rsidR="00613363" w:rsidRPr="005C3EC8" w:rsidRDefault="00613363" w:rsidP="004A4E1C">
      <w:pPr>
        <w:widowControl/>
        <w:numPr>
          <w:ilvl w:val="0"/>
          <w:numId w:val="15"/>
        </w:numPr>
        <w:suppressAutoHyphens w:val="0"/>
        <w:spacing w:after="0" w:line="240" w:lineRule="auto"/>
        <w:rPr>
          <w:rFonts w:ascii="Calibri" w:hAnsi="Calibri"/>
          <w:bCs/>
        </w:rPr>
      </w:pPr>
      <w:r w:rsidRPr="005C3EC8">
        <w:rPr>
          <w:rFonts w:ascii="Calibri" w:hAnsi="Calibri"/>
          <w:bCs/>
        </w:rPr>
        <w:t>Martyn Rounding - HM Revenue and Customs (HMRC)</w:t>
      </w:r>
    </w:p>
    <w:p w14:paraId="28171E04" w14:textId="77777777" w:rsidR="00613363" w:rsidRPr="005C3EC8" w:rsidRDefault="00613363" w:rsidP="004A4E1C">
      <w:pPr>
        <w:widowControl/>
        <w:numPr>
          <w:ilvl w:val="0"/>
          <w:numId w:val="15"/>
        </w:numPr>
        <w:suppressAutoHyphens w:val="0"/>
        <w:spacing w:after="0" w:line="240" w:lineRule="auto"/>
        <w:rPr>
          <w:rFonts w:ascii="Calibri" w:hAnsi="Calibri"/>
          <w:bCs/>
        </w:rPr>
      </w:pPr>
      <w:r w:rsidRPr="005C3EC8">
        <w:rPr>
          <w:rFonts w:ascii="Calibri" w:hAnsi="Calibri"/>
          <w:bCs/>
        </w:rPr>
        <w:t>Mike Earp - Oil &amp; Gas Authority (OGA)</w:t>
      </w:r>
    </w:p>
    <w:p w14:paraId="19E73764" w14:textId="77777777" w:rsidR="00613363" w:rsidRPr="005C3EC8" w:rsidRDefault="00613363" w:rsidP="004A4E1C">
      <w:pPr>
        <w:widowControl/>
        <w:numPr>
          <w:ilvl w:val="0"/>
          <w:numId w:val="15"/>
        </w:numPr>
        <w:suppressAutoHyphens w:val="0"/>
        <w:spacing w:after="0" w:line="240" w:lineRule="auto"/>
        <w:rPr>
          <w:rFonts w:ascii="Calibri" w:hAnsi="Calibri"/>
          <w:bCs/>
        </w:rPr>
      </w:pPr>
      <w:r w:rsidRPr="005C3EC8">
        <w:rPr>
          <w:rFonts w:ascii="Calibri" w:hAnsi="Calibri"/>
          <w:bCs/>
        </w:rPr>
        <w:t xml:space="preserve">Joe </w:t>
      </w:r>
      <w:proofErr w:type="spellStart"/>
      <w:r w:rsidRPr="005C3EC8">
        <w:rPr>
          <w:rFonts w:ascii="Calibri" w:hAnsi="Calibri"/>
          <w:bCs/>
        </w:rPr>
        <w:t>Perman</w:t>
      </w:r>
      <w:proofErr w:type="spellEnd"/>
      <w:r w:rsidRPr="005C3EC8">
        <w:rPr>
          <w:rFonts w:ascii="Calibri" w:hAnsi="Calibri"/>
          <w:bCs/>
        </w:rPr>
        <w:t xml:space="preserve"> - Scottish government</w:t>
      </w:r>
    </w:p>
    <w:p w14:paraId="5644AE70" w14:textId="77777777" w:rsidR="00613363" w:rsidRPr="005C3EC8" w:rsidRDefault="00613363" w:rsidP="004A4E1C">
      <w:pPr>
        <w:widowControl/>
        <w:numPr>
          <w:ilvl w:val="0"/>
          <w:numId w:val="15"/>
        </w:numPr>
        <w:suppressAutoHyphens w:val="0"/>
        <w:spacing w:after="0" w:line="240" w:lineRule="auto"/>
        <w:rPr>
          <w:rFonts w:ascii="Calibri" w:hAnsi="Calibri"/>
          <w:bCs/>
        </w:rPr>
      </w:pPr>
      <w:r w:rsidRPr="005C3EC8">
        <w:rPr>
          <w:rFonts w:ascii="Calibri" w:hAnsi="Calibri"/>
          <w:bCs/>
        </w:rPr>
        <w:t>Jeff Asser - Department for Business, Energy and Industrial Strategy (BEIS)</w:t>
      </w:r>
    </w:p>
    <w:p w14:paraId="79BFBF95" w14:textId="77777777" w:rsidR="00613363" w:rsidRPr="005C3EC8" w:rsidRDefault="00613363" w:rsidP="00613363">
      <w:pPr>
        <w:widowControl/>
        <w:suppressAutoHyphens w:val="0"/>
        <w:spacing w:after="0" w:line="240" w:lineRule="auto"/>
        <w:rPr>
          <w:rFonts w:ascii="Calibri" w:hAnsi="Calibri"/>
          <w:b/>
          <w:bCs/>
        </w:rPr>
      </w:pPr>
    </w:p>
    <w:p w14:paraId="23E4DC3D" w14:textId="77777777" w:rsidR="00613363" w:rsidRPr="005C3EC8" w:rsidRDefault="00613363" w:rsidP="00613363">
      <w:pPr>
        <w:widowControl/>
        <w:suppressAutoHyphens w:val="0"/>
        <w:spacing w:after="0" w:line="240" w:lineRule="auto"/>
        <w:rPr>
          <w:rFonts w:ascii="Calibri" w:hAnsi="Calibri"/>
          <w:b/>
          <w:bCs/>
        </w:rPr>
      </w:pPr>
      <w:r w:rsidRPr="005C3EC8">
        <w:rPr>
          <w:rFonts w:ascii="Calibri" w:hAnsi="Calibri"/>
          <w:b/>
          <w:bCs/>
        </w:rPr>
        <w:t>Alternate members - civil society</w:t>
      </w:r>
    </w:p>
    <w:p w14:paraId="1DE1CE5A" w14:textId="77777777" w:rsidR="00613363" w:rsidRPr="005C3EC8" w:rsidRDefault="00613363" w:rsidP="004A4E1C">
      <w:pPr>
        <w:widowControl/>
        <w:numPr>
          <w:ilvl w:val="0"/>
          <w:numId w:val="16"/>
        </w:numPr>
        <w:suppressAutoHyphens w:val="0"/>
        <w:spacing w:after="0" w:line="240" w:lineRule="auto"/>
        <w:rPr>
          <w:rFonts w:ascii="Calibri" w:hAnsi="Calibri"/>
          <w:bCs/>
        </w:rPr>
      </w:pPr>
      <w:r w:rsidRPr="005C3EC8">
        <w:rPr>
          <w:rFonts w:ascii="Calibri" w:hAnsi="Calibri"/>
          <w:bCs/>
        </w:rPr>
        <w:t>Vacant</w:t>
      </w:r>
    </w:p>
    <w:p w14:paraId="7AB62364" w14:textId="77777777" w:rsidR="00613363" w:rsidRPr="005C3EC8" w:rsidRDefault="00613363" w:rsidP="004A4E1C">
      <w:pPr>
        <w:widowControl/>
        <w:numPr>
          <w:ilvl w:val="0"/>
          <w:numId w:val="16"/>
        </w:numPr>
        <w:suppressAutoHyphens w:val="0"/>
        <w:spacing w:after="0" w:line="240" w:lineRule="auto"/>
        <w:rPr>
          <w:rFonts w:ascii="Calibri" w:hAnsi="Calibri"/>
          <w:bCs/>
        </w:rPr>
      </w:pPr>
      <w:r w:rsidRPr="005C3EC8">
        <w:rPr>
          <w:rFonts w:ascii="Calibri" w:hAnsi="Calibri"/>
          <w:bCs/>
        </w:rPr>
        <w:t>Martin Brown</w:t>
      </w:r>
    </w:p>
    <w:p w14:paraId="3878A538" w14:textId="77777777" w:rsidR="00613363" w:rsidRPr="005C3EC8" w:rsidRDefault="00613363" w:rsidP="004A4E1C">
      <w:pPr>
        <w:widowControl/>
        <w:numPr>
          <w:ilvl w:val="0"/>
          <w:numId w:val="16"/>
        </w:numPr>
        <w:suppressAutoHyphens w:val="0"/>
        <w:spacing w:after="0" w:line="240" w:lineRule="auto"/>
        <w:rPr>
          <w:rFonts w:ascii="Calibri" w:hAnsi="Calibri"/>
          <w:bCs/>
        </w:rPr>
      </w:pPr>
      <w:r w:rsidRPr="005C3EC8">
        <w:rPr>
          <w:rFonts w:ascii="Calibri" w:hAnsi="Calibri"/>
          <w:bCs/>
        </w:rPr>
        <w:t>Eddie Holmes</w:t>
      </w:r>
    </w:p>
    <w:p w14:paraId="4C25B888" w14:textId="77777777" w:rsidR="00613363" w:rsidRPr="005C3EC8" w:rsidRDefault="00613363" w:rsidP="00613363">
      <w:pPr>
        <w:widowControl/>
        <w:suppressAutoHyphens w:val="0"/>
        <w:spacing w:after="0" w:line="240" w:lineRule="auto"/>
        <w:rPr>
          <w:rFonts w:ascii="Calibri" w:hAnsi="Calibri"/>
          <w:b/>
          <w:bCs/>
        </w:rPr>
      </w:pPr>
    </w:p>
    <w:p w14:paraId="076732C8" w14:textId="77777777" w:rsidR="00613363" w:rsidRPr="005C3EC8" w:rsidRDefault="00613363" w:rsidP="00613363">
      <w:pPr>
        <w:widowControl/>
        <w:suppressAutoHyphens w:val="0"/>
        <w:spacing w:after="0" w:line="240" w:lineRule="auto"/>
        <w:rPr>
          <w:rFonts w:ascii="Calibri" w:hAnsi="Calibri"/>
          <w:b/>
          <w:bCs/>
        </w:rPr>
      </w:pPr>
      <w:r w:rsidRPr="005C3EC8">
        <w:rPr>
          <w:rFonts w:ascii="Calibri" w:hAnsi="Calibri"/>
          <w:b/>
          <w:bCs/>
        </w:rPr>
        <w:t>Alternate members - government</w:t>
      </w:r>
    </w:p>
    <w:p w14:paraId="1D13E98A" w14:textId="77777777" w:rsidR="00613363" w:rsidRPr="005C3EC8" w:rsidRDefault="00613363" w:rsidP="004A4E1C">
      <w:pPr>
        <w:widowControl/>
        <w:numPr>
          <w:ilvl w:val="0"/>
          <w:numId w:val="17"/>
        </w:numPr>
        <w:suppressAutoHyphens w:val="0"/>
        <w:spacing w:after="0" w:line="240" w:lineRule="auto"/>
        <w:rPr>
          <w:rFonts w:ascii="Calibri" w:hAnsi="Calibri"/>
          <w:bCs/>
        </w:rPr>
      </w:pPr>
      <w:r w:rsidRPr="005C3EC8">
        <w:rPr>
          <w:rFonts w:ascii="Calibri" w:hAnsi="Calibri"/>
          <w:bCs/>
        </w:rPr>
        <w:t>Rhona Birchall - Department for International Development (</w:t>
      </w:r>
      <w:proofErr w:type="spellStart"/>
      <w:r w:rsidRPr="005C3EC8">
        <w:rPr>
          <w:rFonts w:ascii="Calibri" w:hAnsi="Calibri"/>
          <w:bCs/>
        </w:rPr>
        <w:t>DfID</w:t>
      </w:r>
      <w:proofErr w:type="spellEnd"/>
      <w:r w:rsidRPr="005C3EC8">
        <w:rPr>
          <w:rFonts w:ascii="Calibri" w:hAnsi="Calibri"/>
          <w:bCs/>
        </w:rPr>
        <w:t>)</w:t>
      </w:r>
    </w:p>
    <w:p w14:paraId="1FF32688" w14:textId="77777777" w:rsidR="00613363" w:rsidRPr="005C3EC8" w:rsidRDefault="00613363" w:rsidP="004A4E1C">
      <w:pPr>
        <w:widowControl/>
        <w:numPr>
          <w:ilvl w:val="0"/>
          <w:numId w:val="17"/>
        </w:numPr>
        <w:suppressAutoHyphens w:val="0"/>
        <w:spacing w:after="0" w:line="240" w:lineRule="auto"/>
        <w:rPr>
          <w:rFonts w:ascii="Calibri" w:hAnsi="Calibri"/>
          <w:bCs/>
        </w:rPr>
      </w:pPr>
      <w:r w:rsidRPr="005C3EC8">
        <w:rPr>
          <w:rFonts w:ascii="Calibri" w:hAnsi="Calibri"/>
          <w:bCs/>
        </w:rPr>
        <w:t>Thomas Thornton-Kemsley - HM Treasury (HMT)</w:t>
      </w:r>
    </w:p>
    <w:p w14:paraId="4E19E940" w14:textId="77777777" w:rsidR="00613363" w:rsidRPr="005C3EC8" w:rsidRDefault="00613363" w:rsidP="004A4E1C">
      <w:pPr>
        <w:widowControl/>
        <w:numPr>
          <w:ilvl w:val="0"/>
          <w:numId w:val="17"/>
        </w:numPr>
        <w:suppressAutoHyphens w:val="0"/>
        <w:spacing w:after="0" w:line="240" w:lineRule="auto"/>
        <w:rPr>
          <w:rFonts w:ascii="Calibri" w:hAnsi="Calibri"/>
          <w:bCs/>
        </w:rPr>
      </w:pPr>
      <w:r w:rsidRPr="005C3EC8">
        <w:rPr>
          <w:rFonts w:ascii="Calibri" w:hAnsi="Calibri"/>
          <w:bCs/>
        </w:rPr>
        <w:t>James Marshall - HM Revenue and Customs (HMRC)</w:t>
      </w:r>
    </w:p>
    <w:p w14:paraId="53161EC8" w14:textId="77777777" w:rsidR="00613363" w:rsidRPr="005C3EC8" w:rsidRDefault="00613363" w:rsidP="004A4E1C">
      <w:pPr>
        <w:widowControl/>
        <w:numPr>
          <w:ilvl w:val="0"/>
          <w:numId w:val="17"/>
        </w:numPr>
        <w:suppressAutoHyphens w:val="0"/>
        <w:spacing w:after="0" w:line="240" w:lineRule="auto"/>
        <w:rPr>
          <w:rFonts w:ascii="Calibri" w:hAnsi="Calibri"/>
          <w:bCs/>
        </w:rPr>
      </w:pPr>
      <w:r w:rsidRPr="005C3EC8">
        <w:rPr>
          <w:rFonts w:ascii="Calibri" w:hAnsi="Calibri"/>
          <w:bCs/>
        </w:rPr>
        <w:t>Martin Quinn - Department for the Economy in Northern Ireland</w:t>
      </w:r>
    </w:p>
    <w:p w14:paraId="5E25078E" w14:textId="77777777" w:rsidR="00613363" w:rsidRPr="005C3EC8" w:rsidRDefault="00613363" w:rsidP="00613363">
      <w:pPr>
        <w:widowControl/>
        <w:suppressAutoHyphens w:val="0"/>
        <w:spacing w:after="0" w:line="240" w:lineRule="auto"/>
        <w:rPr>
          <w:rFonts w:ascii="Calibri" w:hAnsi="Calibri"/>
          <w:b/>
          <w:bCs/>
        </w:rPr>
      </w:pPr>
    </w:p>
    <w:p w14:paraId="12A7B307" w14:textId="77777777" w:rsidR="00613363" w:rsidRPr="005C3EC8" w:rsidRDefault="00613363" w:rsidP="00613363">
      <w:pPr>
        <w:widowControl/>
        <w:suppressAutoHyphens w:val="0"/>
        <w:spacing w:after="0" w:line="240" w:lineRule="auto"/>
        <w:rPr>
          <w:rFonts w:ascii="Calibri" w:hAnsi="Calibri"/>
          <w:b/>
          <w:bCs/>
        </w:rPr>
      </w:pPr>
      <w:r w:rsidRPr="005C3EC8">
        <w:rPr>
          <w:rFonts w:ascii="Calibri" w:hAnsi="Calibri"/>
          <w:b/>
          <w:bCs/>
        </w:rPr>
        <w:t>Alternate members - industry</w:t>
      </w:r>
    </w:p>
    <w:p w14:paraId="468BDB40" w14:textId="77777777" w:rsidR="00613363" w:rsidRPr="005C3EC8" w:rsidRDefault="00613363" w:rsidP="004A4E1C">
      <w:pPr>
        <w:widowControl/>
        <w:numPr>
          <w:ilvl w:val="0"/>
          <w:numId w:val="18"/>
        </w:numPr>
        <w:suppressAutoHyphens w:val="0"/>
        <w:spacing w:after="0" w:line="240" w:lineRule="auto"/>
        <w:rPr>
          <w:rFonts w:ascii="Calibri" w:hAnsi="Calibri"/>
          <w:bCs/>
        </w:rPr>
      </w:pPr>
      <w:r w:rsidRPr="005C3EC8">
        <w:rPr>
          <w:rFonts w:ascii="Calibri" w:hAnsi="Calibri"/>
          <w:bCs/>
        </w:rPr>
        <w:t>Howard Forti – ExxonMobil</w:t>
      </w:r>
    </w:p>
    <w:p w14:paraId="7E66F991" w14:textId="77777777" w:rsidR="00613363" w:rsidRPr="005C3EC8" w:rsidRDefault="00613363" w:rsidP="004A4E1C">
      <w:pPr>
        <w:widowControl/>
        <w:numPr>
          <w:ilvl w:val="0"/>
          <w:numId w:val="18"/>
        </w:numPr>
        <w:suppressAutoHyphens w:val="0"/>
        <w:spacing w:after="0" w:line="240" w:lineRule="auto"/>
        <w:rPr>
          <w:rFonts w:ascii="Calibri" w:hAnsi="Calibri"/>
          <w:bCs/>
        </w:rPr>
      </w:pPr>
      <w:r w:rsidRPr="005C3EC8">
        <w:rPr>
          <w:rFonts w:ascii="Calibri" w:hAnsi="Calibri"/>
          <w:bCs/>
        </w:rPr>
        <w:t>Jerry McLaughlin - Mineral Products Association</w:t>
      </w:r>
    </w:p>
    <w:p w14:paraId="4F812F47" w14:textId="77777777" w:rsidR="00613363" w:rsidRPr="005C3EC8" w:rsidRDefault="00613363" w:rsidP="004A4E1C">
      <w:pPr>
        <w:widowControl/>
        <w:numPr>
          <w:ilvl w:val="0"/>
          <w:numId w:val="18"/>
        </w:numPr>
        <w:suppressAutoHyphens w:val="0"/>
        <w:spacing w:after="0" w:line="240" w:lineRule="auto"/>
        <w:rPr>
          <w:rFonts w:ascii="Calibri" w:hAnsi="Calibri"/>
          <w:bCs/>
        </w:rPr>
      </w:pPr>
      <w:r w:rsidRPr="005C3EC8">
        <w:rPr>
          <w:rFonts w:ascii="Calibri" w:hAnsi="Calibri"/>
          <w:bCs/>
        </w:rPr>
        <w:t>Romina Mele-Cornish - Oil and Gas UK</w:t>
      </w:r>
    </w:p>
    <w:p w14:paraId="29FF9D85" w14:textId="77777777" w:rsidR="00613363" w:rsidRPr="005C3EC8" w:rsidRDefault="00613363" w:rsidP="004A4E1C">
      <w:pPr>
        <w:widowControl/>
        <w:numPr>
          <w:ilvl w:val="0"/>
          <w:numId w:val="18"/>
        </w:numPr>
        <w:suppressAutoHyphens w:val="0"/>
        <w:spacing w:after="0" w:line="240" w:lineRule="auto"/>
        <w:rPr>
          <w:rFonts w:ascii="Calibri" w:hAnsi="Calibri"/>
          <w:bCs/>
        </w:rPr>
      </w:pPr>
      <w:r w:rsidRPr="005C3EC8">
        <w:rPr>
          <w:rFonts w:ascii="Calibri" w:hAnsi="Calibri"/>
          <w:bCs/>
        </w:rPr>
        <w:t>Martin Kirkham – Chevron</w:t>
      </w:r>
    </w:p>
    <w:p w14:paraId="163D4659" w14:textId="77777777" w:rsidR="00613363" w:rsidRPr="005C3EC8" w:rsidRDefault="00613363">
      <w:pPr>
        <w:widowControl/>
        <w:suppressAutoHyphens w:val="0"/>
        <w:spacing w:after="0" w:line="240" w:lineRule="auto"/>
        <w:rPr>
          <w:rFonts w:ascii="Calibri" w:hAnsi="Calibri"/>
          <w:bCs/>
        </w:rPr>
      </w:pPr>
    </w:p>
    <w:p w14:paraId="69EE8B1D" w14:textId="666EA384" w:rsidR="00613363" w:rsidRPr="005C3EC8" w:rsidRDefault="00423B2F" w:rsidP="00613363">
      <w:pPr>
        <w:widowControl/>
        <w:suppressAutoHyphens w:val="0"/>
        <w:spacing w:after="0" w:line="240" w:lineRule="auto"/>
        <w:jc w:val="center"/>
        <w:rPr>
          <w:rFonts w:ascii="Calibri" w:hAnsi="Calibri"/>
          <w:b/>
          <w:bCs/>
          <w:u w:val="single"/>
        </w:rPr>
      </w:pPr>
      <w:r w:rsidRPr="005C3EC8">
        <w:rPr>
          <w:rFonts w:ascii="Calibri" w:hAnsi="Calibri"/>
          <w:b/>
          <w:bCs/>
          <w:u w:val="single"/>
        </w:rPr>
        <w:t>June 2015</w:t>
      </w:r>
    </w:p>
    <w:p w14:paraId="06A102A1" w14:textId="77777777" w:rsidR="00613363" w:rsidRPr="005C3EC8" w:rsidRDefault="00613363">
      <w:pPr>
        <w:widowControl/>
        <w:suppressAutoHyphens w:val="0"/>
        <w:spacing w:after="0" w:line="240" w:lineRule="auto"/>
        <w:rPr>
          <w:rFonts w:ascii="Calibri" w:hAnsi="Calibri"/>
          <w:bCs/>
        </w:rPr>
      </w:pPr>
    </w:p>
    <w:p w14:paraId="3D83EE4C" w14:textId="77777777" w:rsidR="00423B2F" w:rsidRPr="005C3EC8" w:rsidRDefault="00423B2F">
      <w:pPr>
        <w:widowControl/>
        <w:suppressAutoHyphens w:val="0"/>
        <w:spacing w:after="0" w:line="240" w:lineRule="auto"/>
        <w:rPr>
          <w:rFonts w:ascii="Calibri" w:hAnsi="Calibri"/>
          <w:bCs/>
        </w:rPr>
      </w:pPr>
    </w:p>
    <w:p w14:paraId="5CDED273" w14:textId="77777777" w:rsidR="00652281" w:rsidRPr="005C3EC8" w:rsidRDefault="00652281" w:rsidP="00652281">
      <w:pPr>
        <w:widowControl/>
        <w:suppressAutoHyphens w:val="0"/>
        <w:spacing w:after="0" w:line="240" w:lineRule="auto"/>
        <w:rPr>
          <w:rFonts w:ascii="Calibri" w:hAnsi="Calibri"/>
          <w:b/>
          <w:bCs/>
        </w:rPr>
      </w:pPr>
      <w:r w:rsidRPr="005C3EC8">
        <w:rPr>
          <w:rFonts w:ascii="Calibri" w:hAnsi="Calibri"/>
          <w:b/>
          <w:bCs/>
        </w:rPr>
        <w:t>Chair</w:t>
      </w:r>
    </w:p>
    <w:p w14:paraId="6B3C6276" w14:textId="77777777" w:rsidR="00652281" w:rsidRPr="005C3EC8" w:rsidRDefault="00652281" w:rsidP="004A4E1C">
      <w:pPr>
        <w:widowControl/>
        <w:numPr>
          <w:ilvl w:val="0"/>
          <w:numId w:val="19"/>
        </w:numPr>
        <w:suppressAutoHyphens w:val="0"/>
        <w:spacing w:after="0" w:line="240" w:lineRule="auto"/>
        <w:rPr>
          <w:rFonts w:ascii="Calibri" w:hAnsi="Calibri"/>
          <w:bCs/>
        </w:rPr>
      </w:pPr>
      <w:r w:rsidRPr="005C3EC8">
        <w:rPr>
          <w:rFonts w:ascii="Calibri" w:hAnsi="Calibri"/>
          <w:bCs/>
        </w:rPr>
        <w:t>Marie-Anne Mackenzie - Department for Business, Innovation and Skills (BIS) - Chair</w:t>
      </w:r>
    </w:p>
    <w:p w14:paraId="0895EA0D" w14:textId="77777777" w:rsidR="00652281" w:rsidRPr="005C3EC8" w:rsidRDefault="00652281" w:rsidP="00652281">
      <w:pPr>
        <w:widowControl/>
        <w:suppressAutoHyphens w:val="0"/>
        <w:spacing w:after="0" w:line="240" w:lineRule="auto"/>
        <w:rPr>
          <w:rFonts w:ascii="Calibri" w:hAnsi="Calibri"/>
          <w:b/>
          <w:bCs/>
        </w:rPr>
      </w:pPr>
    </w:p>
    <w:p w14:paraId="069A3D29" w14:textId="77777777" w:rsidR="00652281" w:rsidRPr="005C3EC8" w:rsidRDefault="00652281" w:rsidP="00652281">
      <w:pPr>
        <w:widowControl/>
        <w:suppressAutoHyphens w:val="0"/>
        <w:spacing w:after="0" w:line="240" w:lineRule="auto"/>
        <w:rPr>
          <w:rFonts w:ascii="Calibri" w:hAnsi="Calibri"/>
          <w:b/>
          <w:bCs/>
        </w:rPr>
      </w:pPr>
      <w:r w:rsidRPr="005C3EC8">
        <w:rPr>
          <w:rFonts w:ascii="Calibri" w:hAnsi="Calibri"/>
          <w:b/>
          <w:bCs/>
        </w:rPr>
        <w:t>Industry members</w:t>
      </w:r>
    </w:p>
    <w:p w14:paraId="6628FDC6" w14:textId="77777777" w:rsidR="00652281" w:rsidRPr="005C3EC8" w:rsidRDefault="00652281" w:rsidP="004A4E1C">
      <w:pPr>
        <w:widowControl/>
        <w:numPr>
          <w:ilvl w:val="0"/>
          <w:numId w:val="20"/>
        </w:numPr>
        <w:suppressAutoHyphens w:val="0"/>
        <w:spacing w:after="0" w:line="240" w:lineRule="auto"/>
        <w:rPr>
          <w:rFonts w:ascii="Calibri" w:hAnsi="Calibri"/>
          <w:bCs/>
        </w:rPr>
      </w:pPr>
      <w:r w:rsidRPr="005C3EC8">
        <w:rPr>
          <w:rFonts w:ascii="Calibri" w:hAnsi="Calibri"/>
          <w:bCs/>
        </w:rPr>
        <w:t>Dr Patrick Foster - Mining Association of the UK &amp; Camborne School of Mines, University of Exeter</w:t>
      </w:r>
    </w:p>
    <w:p w14:paraId="4D9C7164" w14:textId="77777777" w:rsidR="00652281" w:rsidRPr="005C3EC8" w:rsidRDefault="00652281" w:rsidP="004A4E1C">
      <w:pPr>
        <w:widowControl/>
        <w:numPr>
          <w:ilvl w:val="0"/>
          <w:numId w:val="20"/>
        </w:numPr>
        <w:suppressAutoHyphens w:val="0"/>
        <w:spacing w:after="0" w:line="240" w:lineRule="auto"/>
        <w:rPr>
          <w:rFonts w:ascii="Calibri" w:hAnsi="Calibri"/>
          <w:bCs/>
        </w:rPr>
      </w:pPr>
      <w:r w:rsidRPr="005C3EC8">
        <w:rPr>
          <w:rFonts w:ascii="Calibri" w:hAnsi="Calibri"/>
          <w:bCs/>
        </w:rPr>
        <w:t xml:space="preserve">Andrew </w:t>
      </w:r>
      <w:proofErr w:type="spellStart"/>
      <w:r w:rsidRPr="005C3EC8">
        <w:rPr>
          <w:rFonts w:ascii="Calibri" w:hAnsi="Calibri"/>
          <w:bCs/>
        </w:rPr>
        <w:t>Enever</w:t>
      </w:r>
      <w:proofErr w:type="spellEnd"/>
      <w:r w:rsidRPr="005C3EC8">
        <w:rPr>
          <w:rFonts w:ascii="Calibri" w:hAnsi="Calibri"/>
          <w:bCs/>
        </w:rPr>
        <w:t xml:space="preserve"> - Shell</w:t>
      </w:r>
    </w:p>
    <w:p w14:paraId="05B6E8B7" w14:textId="77777777" w:rsidR="00652281" w:rsidRPr="005C3EC8" w:rsidRDefault="00652281" w:rsidP="004A4E1C">
      <w:pPr>
        <w:widowControl/>
        <w:numPr>
          <w:ilvl w:val="0"/>
          <w:numId w:val="20"/>
        </w:numPr>
        <w:suppressAutoHyphens w:val="0"/>
        <w:spacing w:after="0" w:line="240" w:lineRule="auto"/>
        <w:rPr>
          <w:rFonts w:ascii="Calibri" w:hAnsi="Calibri"/>
          <w:bCs/>
        </w:rPr>
      </w:pPr>
      <w:r w:rsidRPr="005C3EC8">
        <w:rPr>
          <w:rFonts w:ascii="Calibri" w:hAnsi="Calibri"/>
          <w:bCs/>
        </w:rPr>
        <w:t>Stephen Blythe - Independent consultant</w:t>
      </w:r>
    </w:p>
    <w:p w14:paraId="550A70B9" w14:textId="77777777" w:rsidR="00652281" w:rsidRPr="005C3EC8" w:rsidRDefault="00652281" w:rsidP="004A4E1C">
      <w:pPr>
        <w:widowControl/>
        <w:numPr>
          <w:ilvl w:val="0"/>
          <w:numId w:val="20"/>
        </w:numPr>
        <w:suppressAutoHyphens w:val="0"/>
        <w:spacing w:after="0" w:line="240" w:lineRule="auto"/>
        <w:rPr>
          <w:rFonts w:ascii="Calibri" w:hAnsi="Calibri"/>
          <w:bCs/>
        </w:rPr>
      </w:pPr>
      <w:r w:rsidRPr="005C3EC8">
        <w:rPr>
          <w:rFonts w:ascii="Calibri" w:hAnsi="Calibri"/>
          <w:bCs/>
        </w:rPr>
        <w:t>John Bowater - Aggregate Industries</w:t>
      </w:r>
    </w:p>
    <w:p w14:paraId="7A40A439" w14:textId="77777777" w:rsidR="00652281" w:rsidRPr="005C3EC8" w:rsidRDefault="00652281" w:rsidP="00652281">
      <w:pPr>
        <w:widowControl/>
        <w:suppressAutoHyphens w:val="0"/>
        <w:spacing w:after="0" w:line="240" w:lineRule="auto"/>
        <w:rPr>
          <w:rFonts w:ascii="Calibri" w:hAnsi="Calibri"/>
          <w:b/>
          <w:bCs/>
        </w:rPr>
      </w:pPr>
    </w:p>
    <w:p w14:paraId="0C93448C" w14:textId="77777777" w:rsidR="00652281" w:rsidRPr="005C3EC8" w:rsidRDefault="00652281" w:rsidP="00652281">
      <w:pPr>
        <w:widowControl/>
        <w:suppressAutoHyphens w:val="0"/>
        <w:spacing w:after="0" w:line="240" w:lineRule="auto"/>
        <w:rPr>
          <w:rFonts w:ascii="Calibri" w:hAnsi="Calibri"/>
          <w:b/>
          <w:bCs/>
        </w:rPr>
      </w:pPr>
      <w:r w:rsidRPr="005C3EC8">
        <w:rPr>
          <w:rFonts w:ascii="Calibri" w:hAnsi="Calibri"/>
          <w:b/>
          <w:bCs/>
        </w:rPr>
        <w:t>Civil society members</w:t>
      </w:r>
    </w:p>
    <w:p w14:paraId="08B97273" w14:textId="77777777" w:rsidR="00652281" w:rsidRPr="005C3EC8" w:rsidRDefault="00652281" w:rsidP="004A4E1C">
      <w:pPr>
        <w:widowControl/>
        <w:numPr>
          <w:ilvl w:val="0"/>
          <w:numId w:val="21"/>
        </w:numPr>
        <w:suppressAutoHyphens w:val="0"/>
        <w:spacing w:after="0" w:line="240" w:lineRule="auto"/>
        <w:rPr>
          <w:rFonts w:ascii="Calibri" w:hAnsi="Calibri"/>
          <w:bCs/>
        </w:rPr>
      </w:pPr>
      <w:r w:rsidRPr="005C3EC8">
        <w:rPr>
          <w:rFonts w:ascii="Calibri" w:hAnsi="Calibri"/>
          <w:bCs/>
        </w:rPr>
        <w:t>Miles Litvinoff - Publish What You Pay UK</w:t>
      </w:r>
    </w:p>
    <w:p w14:paraId="4D68531C" w14:textId="77777777" w:rsidR="00652281" w:rsidRPr="005C3EC8" w:rsidRDefault="00652281" w:rsidP="004A4E1C">
      <w:pPr>
        <w:widowControl/>
        <w:numPr>
          <w:ilvl w:val="0"/>
          <w:numId w:val="21"/>
        </w:numPr>
        <w:suppressAutoHyphens w:val="0"/>
        <w:spacing w:after="0" w:line="240" w:lineRule="auto"/>
        <w:rPr>
          <w:rFonts w:ascii="Calibri" w:hAnsi="Calibri"/>
          <w:bCs/>
        </w:rPr>
      </w:pPr>
      <w:r w:rsidRPr="005C3EC8">
        <w:rPr>
          <w:rFonts w:ascii="Calibri" w:hAnsi="Calibri"/>
          <w:bCs/>
        </w:rPr>
        <w:t>Eric Joyce - UK Civil Society Representative</w:t>
      </w:r>
    </w:p>
    <w:p w14:paraId="36492EE4" w14:textId="77777777" w:rsidR="00652281" w:rsidRPr="005C3EC8" w:rsidRDefault="00652281" w:rsidP="004A4E1C">
      <w:pPr>
        <w:widowControl/>
        <w:numPr>
          <w:ilvl w:val="0"/>
          <w:numId w:val="21"/>
        </w:numPr>
        <w:suppressAutoHyphens w:val="0"/>
        <w:spacing w:after="0" w:line="240" w:lineRule="auto"/>
        <w:rPr>
          <w:rFonts w:ascii="Calibri" w:hAnsi="Calibri"/>
          <w:bCs/>
        </w:rPr>
      </w:pPr>
      <w:r w:rsidRPr="005C3EC8">
        <w:rPr>
          <w:rFonts w:ascii="Calibri" w:hAnsi="Calibri"/>
          <w:bCs/>
        </w:rPr>
        <w:t>Brendan O’Donnell - Global Witness</w:t>
      </w:r>
    </w:p>
    <w:p w14:paraId="3098B2E0" w14:textId="77777777" w:rsidR="00652281" w:rsidRPr="005C3EC8" w:rsidRDefault="00652281" w:rsidP="004A4E1C">
      <w:pPr>
        <w:widowControl/>
        <w:numPr>
          <w:ilvl w:val="0"/>
          <w:numId w:val="21"/>
        </w:numPr>
        <w:suppressAutoHyphens w:val="0"/>
        <w:spacing w:after="0" w:line="240" w:lineRule="auto"/>
        <w:rPr>
          <w:rFonts w:ascii="Calibri" w:hAnsi="Calibri"/>
          <w:bCs/>
        </w:rPr>
      </w:pPr>
      <w:r w:rsidRPr="005C3EC8">
        <w:rPr>
          <w:rFonts w:ascii="Calibri" w:hAnsi="Calibri"/>
          <w:bCs/>
        </w:rPr>
        <w:t>Danielle Foe - UK Civil Society Representative</w:t>
      </w:r>
    </w:p>
    <w:p w14:paraId="1CE9250E" w14:textId="77777777" w:rsidR="00652281" w:rsidRPr="005C3EC8" w:rsidRDefault="00652281" w:rsidP="00652281">
      <w:pPr>
        <w:widowControl/>
        <w:suppressAutoHyphens w:val="0"/>
        <w:spacing w:after="0" w:line="240" w:lineRule="auto"/>
        <w:rPr>
          <w:rFonts w:ascii="Calibri" w:hAnsi="Calibri"/>
          <w:b/>
          <w:bCs/>
        </w:rPr>
      </w:pPr>
    </w:p>
    <w:p w14:paraId="6D13113E" w14:textId="77777777" w:rsidR="00652281" w:rsidRPr="005C3EC8" w:rsidRDefault="00652281" w:rsidP="00652281">
      <w:pPr>
        <w:widowControl/>
        <w:suppressAutoHyphens w:val="0"/>
        <w:spacing w:after="0" w:line="240" w:lineRule="auto"/>
        <w:rPr>
          <w:rFonts w:ascii="Calibri" w:hAnsi="Calibri"/>
          <w:b/>
          <w:bCs/>
        </w:rPr>
      </w:pPr>
      <w:r w:rsidRPr="005C3EC8">
        <w:rPr>
          <w:rFonts w:ascii="Calibri" w:hAnsi="Calibri"/>
          <w:b/>
          <w:bCs/>
        </w:rPr>
        <w:t>Government members</w:t>
      </w:r>
    </w:p>
    <w:p w14:paraId="0F895783" w14:textId="77777777" w:rsidR="00652281" w:rsidRPr="005C3EC8" w:rsidRDefault="00652281" w:rsidP="004A4E1C">
      <w:pPr>
        <w:widowControl/>
        <w:numPr>
          <w:ilvl w:val="0"/>
          <w:numId w:val="22"/>
        </w:numPr>
        <w:suppressAutoHyphens w:val="0"/>
        <w:spacing w:after="0" w:line="240" w:lineRule="auto"/>
        <w:rPr>
          <w:rFonts w:ascii="Calibri" w:hAnsi="Calibri"/>
          <w:bCs/>
        </w:rPr>
      </w:pPr>
      <w:r w:rsidRPr="005C3EC8">
        <w:rPr>
          <w:rFonts w:ascii="Calibri" w:hAnsi="Calibri"/>
          <w:bCs/>
        </w:rPr>
        <w:t>Mike Earp - Oil &amp; Gas Authority (OGA)</w:t>
      </w:r>
    </w:p>
    <w:p w14:paraId="22EEE3EE" w14:textId="77777777" w:rsidR="00652281" w:rsidRPr="005C3EC8" w:rsidRDefault="00652281" w:rsidP="004A4E1C">
      <w:pPr>
        <w:widowControl/>
        <w:numPr>
          <w:ilvl w:val="0"/>
          <w:numId w:val="22"/>
        </w:numPr>
        <w:suppressAutoHyphens w:val="0"/>
        <w:spacing w:after="0" w:line="240" w:lineRule="auto"/>
        <w:rPr>
          <w:rFonts w:ascii="Calibri" w:hAnsi="Calibri"/>
          <w:bCs/>
        </w:rPr>
      </w:pPr>
      <w:r w:rsidRPr="005C3EC8">
        <w:rPr>
          <w:rFonts w:ascii="Calibri" w:hAnsi="Calibri"/>
          <w:bCs/>
        </w:rPr>
        <w:t xml:space="preserve">Alan </w:t>
      </w:r>
      <w:proofErr w:type="spellStart"/>
      <w:r w:rsidRPr="005C3EC8">
        <w:rPr>
          <w:rFonts w:ascii="Calibri" w:hAnsi="Calibri"/>
          <w:bCs/>
        </w:rPr>
        <w:t>Tume</w:t>
      </w:r>
      <w:proofErr w:type="spellEnd"/>
      <w:r w:rsidRPr="005C3EC8">
        <w:rPr>
          <w:rFonts w:ascii="Calibri" w:hAnsi="Calibri"/>
          <w:bCs/>
        </w:rPr>
        <w:t xml:space="preserve"> - HM Revenue and Customs (HMRC)</w:t>
      </w:r>
    </w:p>
    <w:p w14:paraId="41AAE2CC" w14:textId="77777777" w:rsidR="00652281" w:rsidRPr="005C3EC8" w:rsidRDefault="00652281" w:rsidP="004A4E1C">
      <w:pPr>
        <w:widowControl/>
        <w:numPr>
          <w:ilvl w:val="0"/>
          <w:numId w:val="22"/>
        </w:numPr>
        <w:suppressAutoHyphens w:val="0"/>
        <w:spacing w:after="0" w:line="240" w:lineRule="auto"/>
        <w:rPr>
          <w:rFonts w:ascii="Calibri" w:hAnsi="Calibri"/>
          <w:bCs/>
        </w:rPr>
      </w:pPr>
      <w:r w:rsidRPr="005C3EC8">
        <w:rPr>
          <w:rFonts w:ascii="Calibri" w:hAnsi="Calibri"/>
          <w:bCs/>
        </w:rPr>
        <w:t>Jenna Williamson - Scottish Government</w:t>
      </w:r>
    </w:p>
    <w:p w14:paraId="373F57CA" w14:textId="77777777" w:rsidR="00652281" w:rsidRPr="005C3EC8" w:rsidRDefault="00652281" w:rsidP="00652281">
      <w:pPr>
        <w:widowControl/>
        <w:suppressAutoHyphens w:val="0"/>
        <w:spacing w:after="0" w:line="240" w:lineRule="auto"/>
        <w:rPr>
          <w:rFonts w:ascii="Calibri" w:hAnsi="Calibri"/>
          <w:b/>
          <w:bCs/>
        </w:rPr>
      </w:pPr>
    </w:p>
    <w:p w14:paraId="53CB94EF" w14:textId="77777777" w:rsidR="00652281" w:rsidRPr="005C3EC8" w:rsidRDefault="00652281" w:rsidP="00652281">
      <w:pPr>
        <w:widowControl/>
        <w:suppressAutoHyphens w:val="0"/>
        <w:spacing w:after="0" w:line="240" w:lineRule="auto"/>
        <w:rPr>
          <w:rFonts w:ascii="Calibri" w:hAnsi="Calibri"/>
          <w:b/>
          <w:bCs/>
        </w:rPr>
      </w:pPr>
      <w:r w:rsidRPr="005C3EC8">
        <w:rPr>
          <w:rFonts w:ascii="Calibri" w:hAnsi="Calibri"/>
          <w:b/>
          <w:bCs/>
        </w:rPr>
        <w:t>Regular observers at MSG meetings who can fully participate:</w:t>
      </w:r>
    </w:p>
    <w:p w14:paraId="441D7316" w14:textId="77777777" w:rsidR="00652281" w:rsidRPr="005C3EC8" w:rsidRDefault="00652281" w:rsidP="004A4E1C">
      <w:pPr>
        <w:widowControl/>
        <w:numPr>
          <w:ilvl w:val="0"/>
          <w:numId w:val="23"/>
        </w:numPr>
        <w:suppressAutoHyphens w:val="0"/>
        <w:spacing w:after="0" w:line="240" w:lineRule="auto"/>
        <w:rPr>
          <w:rFonts w:ascii="Calibri" w:hAnsi="Calibri"/>
          <w:bCs/>
        </w:rPr>
      </w:pPr>
      <w:r w:rsidRPr="005C3EC8">
        <w:rPr>
          <w:rFonts w:ascii="Calibri" w:hAnsi="Calibri"/>
          <w:bCs/>
        </w:rPr>
        <w:t>Jerry McLaughlin - Mineral Products Association</w:t>
      </w:r>
    </w:p>
    <w:p w14:paraId="38D4D9CD" w14:textId="77777777" w:rsidR="00652281" w:rsidRPr="005C3EC8" w:rsidRDefault="00652281" w:rsidP="004A4E1C">
      <w:pPr>
        <w:widowControl/>
        <w:numPr>
          <w:ilvl w:val="0"/>
          <w:numId w:val="23"/>
        </w:numPr>
        <w:suppressAutoHyphens w:val="0"/>
        <w:spacing w:after="0" w:line="240" w:lineRule="auto"/>
        <w:rPr>
          <w:rFonts w:ascii="Calibri" w:hAnsi="Calibri"/>
          <w:bCs/>
        </w:rPr>
      </w:pPr>
      <w:r w:rsidRPr="005C3EC8">
        <w:rPr>
          <w:rFonts w:ascii="Calibri" w:hAnsi="Calibri"/>
          <w:bCs/>
        </w:rPr>
        <w:t>Claire Ralph - Oil and Gas UK</w:t>
      </w:r>
    </w:p>
    <w:p w14:paraId="1417A1B9" w14:textId="77777777" w:rsidR="00652281" w:rsidRPr="005C3EC8" w:rsidRDefault="00652281" w:rsidP="00652281">
      <w:pPr>
        <w:widowControl/>
        <w:suppressAutoHyphens w:val="0"/>
        <w:spacing w:after="0" w:line="240" w:lineRule="auto"/>
        <w:rPr>
          <w:rFonts w:ascii="Calibri" w:hAnsi="Calibri"/>
          <w:b/>
          <w:bCs/>
        </w:rPr>
      </w:pPr>
    </w:p>
    <w:p w14:paraId="58B459E6" w14:textId="77777777" w:rsidR="00652281" w:rsidRPr="005C3EC8" w:rsidRDefault="00652281" w:rsidP="00652281">
      <w:pPr>
        <w:widowControl/>
        <w:suppressAutoHyphens w:val="0"/>
        <w:spacing w:after="0" w:line="240" w:lineRule="auto"/>
        <w:rPr>
          <w:rFonts w:ascii="Calibri" w:hAnsi="Calibri"/>
          <w:b/>
          <w:bCs/>
        </w:rPr>
      </w:pPr>
      <w:r w:rsidRPr="005C3EC8">
        <w:rPr>
          <w:rFonts w:ascii="Calibri" w:hAnsi="Calibri"/>
          <w:b/>
          <w:bCs/>
        </w:rPr>
        <w:t>Alternate members - civil society</w:t>
      </w:r>
    </w:p>
    <w:p w14:paraId="19E9B0E3" w14:textId="77777777" w:rsidR="00652281" w:rsidRPr="005C3EC8" w:rsidRDefault="00652281" w:rsidP="004A4E1C">
      <w:pPr>
        <w:widowControl/>
        <w:numPr>
          <w:ilvl w:val="0"/>
          <w:numId w:val="24"/>
        </w:numPr>
        <w:suppressAutoHyphens w:val="0"/>
        <w:spacing w:after="0" w:line="240" w:lineRule="auto"/>
        <w:rPr>
          <w:rFonts w:ascii="Calibri" w:hAnsi="Calibri"/>
          <w:bCs/>
        </w:rPr>
      </w:pPr>
      <w:r w:rsidRPr="005C3EC8">
        <w:rPr>
          <w:rFonts w:ascii="Calibri" w:hAnsi="Calibri"/>
          <w:bCs/>
        </w:rPr>
        <w:t>Colin Tinto- Global Witness</w:t>
      </w:r>
    </w:p>
    <w:p w14:paraId="3533B042" w14:textId="77777777" w:rsidR="00652281" w:rsidRPr="005C3EC8" w:rsidRDefault="00652281" w:rsidP="004A4E1C">
      <w:pPr>
        <w:widowControl/>
        <w:numPr>
          <w:ilvl w:val="0"/>
          <w:numId w:val="24"/>
        </w:numPr>
        <w:suppressAutoHyphens w:val="0"/>
        <w:spacing w:after="0" w:line="240" w:lineRule="auto"/>
        <w:rPr>
          <w:rFonts w:ascii="Calibri" w:hAnsi="Calibri"/>
          <w:bCs/>
        </w:rPr>
      </w:pPr>
      <w:r w:rsidRPr="005C3EC8">
        <w:rPr>
          <w:rFonts w:ascii="Calibri" w:hAnsi="Calibri"/>
          <w:bCs/>
        </w:rPr>
        <w:t>Joseph Williams - Natural Resource Governance Institute</w:t>
      </w:r>
    </w:p>
    <w:p w14:paraId="1AFDABDF" w14:textId="77777777" w:rsidR="00652281" w:rsidRPr="005C3EC8" w:rsidRDefault="00652281" w:rsidP="004A4E1C">
      <w:pPr>
        <w:widowControl/>
        <w:numPr>
          <w:ilvl w:val="0"/>
          <w:numId w:val="24"/>
        </w:numPr>
        <w:suppressAutoHyphens w:val="0"/>
        <w:spacing w:after="0" w:line="240" w:lineRule="auto"/>
        <w:rPr>
          <w:rFonts w:ascii="Calibri" w:hAnsi="Calibri"/>
          <w:bCs/>
        </w:rPr>
      </w:pPr>
      <w:r w:rsidRPr="005C3EC8">
        <w:rPr>
          <w:rFonts w:ascii="Calibri" w:hAnsi="Calibri"/>
          <w:bCs/>
        </w:rPr>
        <w:t>Martin Brown - UK Civil Society Representative</w:t>
      </w:r>
    </w:p>
    <w:p w14:paraId="10B73FF7" w14:textId="77777777" w:rsidR="00652281" w:rsidRPr="005C3EC8" w:rsidRDefault="00652281" w:rsidP="004A4E1C">
      <w:pPr>
        <w:widowControl/>
        <w:numPr>
          <w:ilvl w:val="0"/>
          <w:numId w:val="24"/>
        </w:numPr>
        <w:suppressAutoHyphens w:val="0"/>
        <w:spacing w:after="0" w:line="240" w:lineRule="auto"/>
        <w:rPr>
          <w:rFonts w:ascii="Calibri" w:hAnsi="Calibri"/>
          <w:bCs/>
        </w:rPr>
      </w:pPr>
      <w:r w:rsidRPr="005C3EC8">
        <w:rPr>
          <w:rFonts w:ascii="Calibri" w:hAnsi="Calibri"/>
          <w:bCs/>
        </w:rPr>
        <w:t>Eddie Holmes - UK Civil Society Representative</w:t>
      </w:r>
    </w:p>
    <w:p w14:paraId="69A3F8AB" w14:textId="77777777" w:rsidR="00652281" w:rsidRPr="005C3EC8" w:rsidRDefault="00652281" w:rsidP="00652281">
      <w:pPr>
        <w:widowControl/>
        <w:suppressAutoHyphens w:val="0"/>
        <w:spacing w:after="0" w:line="240" w:lineRule="auto"/>
        <w:rPr>
          <w:rFonts w:ascii="Calibri" w:hAnsi="Calibri"/>
          <w:b/>
          <w:bCs/>
        </w:rPr>
      </w:pPr>
    </w:p>
    <w:p w14:paraId="611D91D0" w14:textId="77777777" w:rsidR="00652281" w:rsidRPr="005C3EC8" w:rsidRDefault="00652281" w:rsidP="00652281">
      <w:pPr>
        <w:widowControl/>
        <w:suppressAutoHyphens w:val="0"/>
        <w:spacing w:after="0" w:line="240" w:lineRule="auto"/>
        <w:rPr>
          <w:rFonts w:ascii="Calibri" w:hAnsi="Calibri"/>
          <w:b/>
          <w:bCs/>
        </w:rPr>
      </w:pPr>
      <w:r w:rsidRPr="005C3EC8">
        <w:rPr>
          <w:rFonts w:ascii="Calibri" w:hAnsi="Calibri"/>
          <w:b/>
          <w:bCs/>
        </w:rPr>
        <w:t>Alternate members - industry</w:t>
      </w:r>
    </w:p>
    <w:p w14:paraId="466FC369" w14:textId="77777777" w:rsidR="00652281" w:rsidRPr="005C3EC8" w:rsidRDefault="00652281" w:rsidP="004A4E1C">
      <w:pPr>
        <w:widowControl/>
        <w:numPr>
          <w:ilvl w:val="0"/>
          <w:numId w:val="25"/>
        </w:numPr>
        <w:suppressAutoHyphens w:val="0"/>
        <w:spacing w:after="0" w:line="240" w:lineRule="auto"/>
        <w:rPr>
          <w:rFonts w:ascii="Calibri" w:hAnsi="Calibri"/>
          <w:bCs/>
        </w:rPr>
      </w:pPr>
      <w:r w:rsidRPr="005C3EC8">
        <w:rPr>
          <w:rFonts w:ascii="Calibri" w:hAnsi="Calibri"/>
          <w:bCs/>
        </w:rPr>
        <w:t>Donovan Ingram - ExxonMobil</w:t>
      </w:r>
    </w:p>
    <w:p w14:paraId="0959B04E" w14:textId="77777777" w:rsidR="00423B2F" w:rsidRPr="005C3EC8" w:rsidRDefault="00423B2F">
      <w:pPr>
        <w:widowControl/>
        <w:suppressAutoHyphens w:val="0"/>
        <w:spacing w:after="0" w:line="240" w:lineRule="auto"/>
        <w:rPr>
          <w:rFonts w:ascii="Calibri" w:hAnsi="Calibri"/>
          <w:bCs/>
        </w:rPr>
      </w:pPr>
    </w:p>
    <w:p w14:paraId="50CD59E1" w14:textId="77777777" w:rsidR="00423B2F" w:rsidRPr="005C3EC8" w:rsidRDefault="00423B2F">
      <w:pPr>
        <w:widowControl/>
        <w:suppressAutoHyphens w:val="0"/>
        <w:spacing w:after="0" w:line="240" w:lineRule="auto"/>
        <w:rPr>
          <w:rFonts w:ascii="Calibri" w:hAnsi="Calibri"/>
          <w:bCs/>
        </w:rPr>
      </w:pPr>
    </w:p>
    <w:p w14:paraId="70FDF9C2" w14:textId="77777777" w:rsidR="00423B2F" w:rsidRPr="005C3EC8" w:rsidRDefault="00423B2F">
      <w:pPr>
        <w:widowControl/>
        <w:suppressAutoHyphens w:val="0"/>
        <w:spacing w:after="0" w:line="240" w:lineRule="auto"/>
        <w:rPr>
          <w:rFonts w:ascii="Calibri" w:hAnsi="Calibri"/>
          <w:bCs/>
        </w:rPr>
      </w:pPr>
    </w:p>
    <w:p w14:paraId="5FEFD9CD" w14:textId="4D9997FD" w:rsidR="008B459A" w:rsidRPr="005C3EC8" w:rsidRDefault="008B459A">
      <w:pPr>
        <w:widowControl/>
        <w:suppressAutoHyphens w:val="0"/>
        <w:spacing w:after="0" w:line="240" w:lineRule="auto"/>
        <w:rPr>
          <w:rFonts w:ascii="Calibri" w:hAnsi="Calibri"/>
          <w:color w:val="000000" w:themeColor="text1"/>
        </w:rPr>
      </w:pPr>
      <w:r w:rsidRPr="005C3EC8">
        <w:rPr>
          <w:rFonts w:ascii="Calibri" w:hAnsi="Calibri"/>
          <w:bCs/>
          <w:color w:val="000000" w:themeColor="text1"/>
        </w:rPr>
        <w:br w:type="page"/>
      </w:r>
    </w:p>
    <w:p w14:paraId="3442903C" w14:textId="274C9AB2" w:rsidR="00D877A2" w:rsidRPr="005C3EC8" w:rsidRDefault="00112D9C">
      <w:pPr>
        <w:pStyle w:val="Heading2"/>
      </w:pPr>
      <w:bookmarkStart w:id="442" w:name="_Toc459133211"/>
      <w:bookmarkStart w:id="443" w:name="_Toc461803160"/>
      <w:bookmarkStart w:id="444" w:name="_Toc461787371"/>
      <w:bookmarkStart w:id="445" w:name="_Toc461795883"/>
      <w:bookmarkStart w:id="446" w:name="_Toc462149215"/>
      <w:bookmarkStart w:id="447" w:name="_Toc452707653"/>
      <w:r w:rsidRPr="005C3EC8">
        <w:lastRenderedPageBreak/>
        <w:t xml:space="preserve">Annex B – </w:t>
      </w:r>
      <w:bookmarkEnd w:id="442"/>
      <w:bookmarkEnd w:id="443"/>
      <w:bookmarkEnd w:id="444"/>
      <w:bookmarkEnd w:id="445"/>
      <w:bookmarkEnd w:id="446"/>
      <w:r w:rsidR="00B118D3" w:rsidRPr="005C3EC8">
        <w:t>Materiality calculations for the 2016 EITI Report</w:t>
      </w:r>
    </w:p>
    <w:p w14:paraId="179819BD" w14:textId="35434D12" w:rsidR="00B118D3" w:rsidRPr="005C3EC8" w:rsidRDefault="00B118D3">
      <w:pPr>
        <w:widowControl/>
        <w:suppressAutoHyphens w:val="0"/>
        <w:spacing w:after="0" w:line="240" w:lineRule="auto"/>
        <w:rPr>
          <w:rFonts w:ascii="Calibri" w:hAnsi="Calibri"/>
          <w:bCs/>
        </w:rPr>
      </w:pPr>
      <w:r w:rsidRPr="005C3EC8">
        <w:rPr>
          <w:rFonts w:ascii="Calibri" w:hAnsi="Calibri"/>
          <w:bCs/>
          <w:noProof/>
        </w:rPr>
        <w:drawing>
          <wp:inline distT="0" distB="0" distL="0" distR="0" wp14:anchorId="37F07216" wp14:editId="7BA21730">
            <wp:extent cx="6808124" cy="374930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reenshot 2019-04-29 at 1.42.16 PM.png"/>
                    <pic:cNvPicPr/>
                  </pic:nvPicPr>
                  <pic:blipFill>
                    <a:blip r:embed="rId37"/>
                    <a:stretch>
                      <a:fillRect/>
                    </a:stretch>
                  </pic:blipFill>
                  <pic:spPr>
                    <a:xfrm>
                      <a:off x="0" y="0"/>
                      <a:ext cx="6819289" cy="3755456"/>
                    </a:xfrm>
                    <a:prstGeom prst="rect">
                      <a:avLst/>
                    </a:prstGeom>
                  </pic:spPr>
                </pic:pic>
              </a:graphicData>
            </a:graphic>
          </wp:inline>
        </w:drawing>
      </w:r>
    </w:p>
    <w:p w14:paraId="6BDE3641" w14:textId="77777777" w:rsidR="00B118D3" w:rsidRPr="005C3EC8" w:rsidRDefault="00B118D3">
      <w:pPr>
        <w:widowControl/>
        <w:suppressAutoHyphens w:val="0"/>
        <w:spacing w:after="0" w:line="240" w:lineRule="auto"/>
        <w:rPr>
          <w:rFonts w:ascii="Calibri" w:hAnsi="Calibri"/>
        </w:rPr>
      </w:pPr>
    </w:p>
    <w:p w14:paraId="5912F26E" w14:textId="67148B34" w:rsidR="00B118D3" w:rsidRPr="005C3EC8" w:rsidRDefault="00B118D3">
      <w:pPr>
        <w:widowControl/>
        <w:suppressAutoHyphens w:val="0"/>
        <w:spacing w:after="0" w:line="240" w:lineRule="auto"/>
        <w:rPr>
          <w:rFonts w:ascii="Calibri" w:hAnsi="Calibri"/>
          <w:i/>
          <w:sz w:val="16"/>
          <w:szCs w:val="16"/>
        </w:rPr>
      </w:pPr>
      <w:r w:rsidRPr="005C3EC8">
        <w:rPr>
          <w:rFonts w:ascii="Calibri" w:hAnsi="Calibri"/>
          <w:i/>
          <w:sz w:val="16"/>
          <w:szCs w:val="16"/>
          <w:u w:val="single"/>
        </w:rPr>
        <w:t>Source</w:t>
      </w:r>
      <w:r w:rsidRPr="005C3EC8">
        <w:rPr>
          <w:rFonts w:ascii="Calibri" w:hAnsi="Calibri"/>
          <w:i/>
          <w:sz w:val="16"/>
          <w:szCs w:val="16"/>
        </w:rPr>
        <w:t>: EITI International Secretariat calculations based on the 2016 EITI Report and mandatory ‘payments to government’ reports.</w:t>
      </w:r>
    </w:p>
    <w:p w14:paraId="22934921" w14:textId="46D44975" w:rsidR="00D877A2" w:rsidRPr="005C3EC8" w:rsidRDefault="00D877A2">
      <w:pPr>
        <w:widowControl/>
        <w:suppressAutoHyphens w:val="0"/>
        <w:spacing w:after="0" w:line="240" w:lineRule="auto"/>
        <w:rPr>
          <w:rFonts w:ascii="Calibri" w:hAnsi="Calibri"/>
          <w:b/>
          <w:bCs/>
          <w:color w:val="365F91"/>
        </w:rPr>
      </w:pPr>
      <w:r w:rsidRPr="005C3EC8">
        <w:rPr>
          <w:rFonts w:ascii="Calibri" w:hAnsi="Calibri"/>
        </w:rPr>
        <w:br w:type="page"/>
      </w:r>
    </w:p>
    <w:p w14:paraId="0DF29802" w14:textId="0232C4DA" w:rsidR="005E45A9" w:rsidRPr="005C3EC8" w:rsidRDefault="00A843C6">
      <w:pPr>
        <w:pStyle w:val="Heading2"/>
      </w:pPr>
      <w:bookmarkStart w:id="448" w:name="_Toc459133212"/>
      <w:bookmarkStart w:id="449" w:name="_Toc461803161"/>
      <w:bookmarkStart w:id="450" w:name="_Toc461787372"/>
      <w:bookmarkStart w:id="451" w:name="_Toc461795884"/>
      <w:bookmarkStart w:id="452" w:name="_Toc462149216"/>
      <w:r w:rsidRPr="005C3EC8">
        <w:lastRenderedPageBreak/>
        <w:t xml:space="preserve">Annex </w:t>
      </w:r>
      <w:r w:rsidR="00D877A2" w:rsidRPr="005C3EC8">
        <w:t>C</w:t>
      </w:r>
      <w:r w:rsidRPr="005C3EC8">
        <w:t xml:space="preserve"> </w:t>
      </w:r>
      <w:r w:rsidR="005E45A9" w:rsidRPr="005C3EC8">
        <w:t>–</w:t>
      </w:r>
      <w:r w:rsidRPr="005C3EC8">
        <w:t xml:space="preserve"> </w:t>
      </w:r>
      <w:r w:rsidR="00112D9C" w:rsidRPr="005C3EC8">
        <w:t xml:space="preserve">Cost of </w:t>
      </w:r>
      <w:r w:rsidR="005E45A9" w:rsidRPr="005C3EC8">
        <w:t>EITI Reports</w:t>
      </w:r>
      <w:bookmarkEnd w:id="448"/>
      <w:bookmarkEnd w:id="449"/>
      <w:bookmarkEnd w:id="450"/>
      <w:bookmarkEnd w:id="451"/>
      <w:bookmarkEnd w:id="452"/>
    </w:p>
    <w:tbl>
      <w:tblPr>
        <w:tblStyle w:val="TableGrid"/>
        <w:tblW w:w="0" w:type="auto"/>
        <w:tblLook w:val="04A0" w:firstRow="1" w:lastRow="0" w:firstColumn="1" w:lastColumn="0" w:noHBand="0" w:noVBand="1"/>
      </w:tblPr>
      <w:tblGrid>
        <w:gridCol w:w="2371"/>
        <w:gridCol w:w="4570"/>
        <w:gridCol w:w="2268"/>
      </w:tblGrid>
      <w:tr w:rsidR="00FC1CD2" w:rsidRPr="005C3EC8" w14:paraId="246147DB" w14:textId="77777777" w:rsidTr="006B1D56">
        <w:tc>
          <w:tcPr>
            <w:tcW w:w="2371" w:type="dxa"/>
            <w:shd w:val="clear" w:color="auto" w:fill="95B3D7" w:themeFill="accent1" w:themeFillTint="99"/>
          </w:tcPr>
          <w:p w14:paraId="79B95509" w14:textId="0EE5BEA2" w:rsidR="00FC1CD2" w:rsidRPr="005C3EC8" w:rsidRDefault="00FC1CD2" w:rsidP="00FC1CD2">
            <w:pPr>
              <w:rPr>
                <w:rFonts w:ascii="Calibri" w:hAnsi="Calibri"/>
                <w:b/>
                <w:lang w:val="en-GB" w:eastAsia="en-US"/>
              </w:rPr>
            </w:pPr>
            <w:r w:rsidRPr="005C3EC8">
              <w:rPr>
                <w:rFonts w:ascii="Calibri" w:hAnsi="Calibri"/>
                <w:b/>
                <w:lang w:val="en-GB" w:eastAsia="en-US"/>
              </w:rPr>
              <w:t>EITI Reports</w:t>
            </w:r>
          </w:p>
        </w:tc>
        <w:tc>
          <w:tcPr>
            <w:tcW w:w="4570" w:type="dxa"/>
            <w:shd w:val="clear" w:color="auto" w:fill="95B3D7" w:themeFill="accent1" w:themeFillTint="99"/>
          </w:tcPr>
          <w:p w14:paraId="56002D35" w14:textId="2FBB363D" w:rsidR="00FC1CD2" w:rsidRPr="005C3EC8" w:rsidRDefault="00FC1CD2" w:rsidP="00FC1CD2">
            <w:pPr>
              <w:rPr>
                <w:rFonts w:ascii="Calibri" w:hAnsi="Calibri"/>
                <w:b/>
                <w:lang w:val="en-GB" w:eastAsia="en-US"/>
              </w:rPr>
            </w:pPr>
            <w:r w:rsidRPr="005C3EC8">
              <w:rPr>
                <w:rFonts w:ascii="Calibri" w:hAnsi="Calibri"/>
                <w:b/>
                <w:lang w:val="en-GB" w:eastAsia="en-US"/>
              </w:rPr>
              <w:t>Independent Administrator name</w:t>
            </w:r>
          </w:p>
        </w:tc>
        <w:tc>
          <w:tcPr>
            <w:tcW w:w="2268" w:type="dxa"/>
            <w:shd w:val="clear" w:color="auto" w:fill="95B3D7" w:themeFill="accent1" w:themeFillTint="99"/>
          </w:tcPr>
          <w:p w14:paraId="45CB53F9" w14:textId="77777777" w:rsidR="00FC1CD2" w:rsidRPr="005C3EC8" w:rsidRDefault="00FC1CD2" w:rsidP="00FC1CD2">
            <w:pPr>
              <w:rPr>
                <w:rFonts w:ascii="Calibri" w:hAnsi="Calibri"/>
                <w:b/>
                <w:lang w:val="en-GB" w:eastAsia="en-US"/>
              </w:rPr>
            </w:pPr>
            <w:r w:rsidRPr="005C3EC8">
              <w:rPr>
                <w:rFonts w:ascii="Calibri" w:hAnsi="Calibri"/>
                <w:b/>
                <w:lang w:val="en-GB" w:eastAsia="en-US"/>
              </w:rPr>
              <w:t>Total</w:t>
            </w:r>
          </w:p>
        </w:tc>
      </w:tr>
      <w:tr w:rsidR="00FC1CD2" w:rsidRPr="005C3EC8" w14:paraId="6E7B1A26" w14:textId="77777777" w:rsidTr="00FC1CD2">
        <w:tc>
          <w:tcPr>
            <w:tcW w:w="2371" w:type="dxa"/>
          </w:tcPr>
          <w:p w14:paraId="430E7294" w14:textId="51D0CF10" w:rsidR="00FC1CD2" w:rsidRPr="005C3EC8" w:rsidRDefault="00FC1CD2" w:rsidP="00FC1CD2">
            <w:pPr>
              <w:rPr>
                <w:rFonts w:ascii="Calibri" w:hAnsi="Calibri"/>
                <w:lang w:val="en-GB" w:eastAsia="en-US"/>
              </w:rPr>
            </w:pPr>
            <w:r w:rsidRPr="005C3EC8">
              <w:rPr>
                <w:rFonts w:ascii="Calibri" w:hAnsi="Calibri"/>
                <w:lang w:val="en-GB" w:eastAsia="en-US"/>
              </w:rPr>
              <w:t>2014-2016 EITI Reports</w:t>
            </w:r>
          </w:p>
        </w:tc>
        <w:tc>
          <w:tcPr>
            <w:tcW w:w="4570" w:type="dxa"/>
          </w:tcPr>
          <w:p w14:paraId="1C4E5F53" w14:textId="45061E07" w:rsidR="00FC1CD2" w:rsidRPr="005C3EC8" w:rsidRDefault="00FC1CD2" w:rsidP="00FC1CD2">
            <w:pPr>
              <w:rPr>
                <w:rFonts w:ascii="Calibri" w:hAnsi="Calibri"/>
                <w:lang w:val="en-GB" w:eastAsia="en-US"/>
              </w:rPr>
            </w:pPr>
            <w:r w:rsidRPr="005C3EC8">
              <w:rPr>
                <w:rFonts w:ascii="Calibri" w:hAnsi="Calibri"/>
                <w:lang w:val="en-GB" w:eastAsia="en-US"/>
              </w:rPr>
              <w:t>Moore Stephens</w:t>
            </w:r>
          </w:p>
        </w:tc>
        <w:tc>
          <w:tcPr>
            <w:tcW w:w="2268" w:type="dxa"/>
          </w:tcPr>
          <w:p w14:paraId="27D34141" w14:textId="16FD8040" w:rsidR="00FC1CD2" w:rsidRPr="005C3EC8" w:rsidRDefault="00FC1CD2" w:rsidP="00FC1CD2">
            <w:pPr>
              <w:rPr>
                <w:rFonts w:ascii="Calibri" w:hAnsi="Calibri"/>
                <w:lang w:val="en-GB" w:eastAsia="en-US"/>
              </w:rPr>
            </w:pPr>
            <w:r w:rsidRPr="005C3EC8">
              <w:rPr>
                <w:rFonts w:ascii="Calibri" w:hAnsi="Calibri"/>
                <w:lang w:val="en-GB" w:eastAsia="en-US"/>
              </w:rPr>
              <w:t>GBP 240,000</w:t>
            </w:r>
          </w:p>
        </w:tc>
      </w:tr>
    </w:tbl>
    <w:p w14:paraId="61CF20E2" w14:textId="46F2D71A" w:rsidR="00FC1CD2" w:rsidRPr="005C3EC8" w:rsidRDefault="00FC1CD2" w:rsidP="00FC1CD2">
      <w:pPr>
        <w:widowControl/>
        <w:suppressAutoHyphens w:val="0"/>
        <w:spacing w:after="0" w:line="240" w:lineRule="auto"/>
        <w:rPr>
          <w:rFonts w:ascii="Calibri" w:hAnsi="Calibri"/>
          <w:i/>
          <w:sz w:val="20"/>
          <w:szCs w:val="20"/>
        </w:rPr>
      </w:pPr>
      <w:r w:rsidRPr="005C3EC8">
        <w:rPr>
          <w:rFonts w:ascii="Calibri" w:hAnsi="Calibri"/>
          <w:i/>
          <w:sz w:val="20"/>
          <w:szCs w:val="20"/>
          <w:u w:val="single"/>
        </w:rPr>
        <w:t>Source</w:t>
      </w:r>
      <w:r w:rsidRPr="005C3EC8">
        <w:rPr>
          <w:rFonts w:ascii="Calibri" w:hAnsi="Calibri"/>
          <w:i/>
          <w:sz w:val="20"/>
          <w:szCs w:val="20"/>
        </w:rPr>
        <w:t>: UK EITI annual activity and progress reports.</w:t>
      </w:r>
    </w:p>
    <w:p w14:paraId="4F07D764" w14:textId="77777777" w:rsidR="001F5AD9" w:rsidRPr="005C3EC8" w:rsidRDefault="001F5AD9">
      <w:pPr>
        <w:widowControl/>
        <w:suppressAutoHyphens w:val="0"/>
        <w:spacing w:after="0" w:line="240" w:lineRule="auto"/>
        <w:rPr>
          <w:rFonts w:ascii="Calibri" w:hAnsi="Calibri"/>
        </w:rPr>
        <w:sectPr w:rsidR="001F5AD9" w:rsidRPr="005C3EC8" w:rsidSect="007364B0">
          <w:headerReference w:type="default" r:id="rId38"/>
          <w:headerReference w:type="first" r:id="rId39"/>
          <w:pgSz w:w="11905" w:h="16837"/>
          <w:pgMar w:top="1175" w:right="1276" w:bottom="1418" w:left="1134" w:header="567" w:footer="0" w:gutter="0"/>
          <w:cols w:space="708"/>
          <w:titlePg/>
          <w:docGrid w:linePitch="326"/>
        </w:sectPr>
      </w:pPr>
    </w:p>
    <w:p w14:paraId="7F6C22DF" w14:textId="57DA76A7" w:rsidR="00DF124A" w:rsidRPr="005C3EC8" w:rsidRDefault="005E45A9">
      <w:pPr>
        <w:pStyle w:val="Heading2"/>
      </w:pPr>
      <w:bookmarkStart w:id="453" w:name="_Toc459133213"/>
      <w:bookmarkStart w:id="454" w:name="_Toc461803162"/>
      <w:bookmarkStart w:id="455" w:name="_Toc461787373"/>
      <w:bookmarkStart w:id="456" w:name="_Toc461795885"/>
      <w:bookmarkStart w:id="457" w:name="_Toc462149217"/>
      <w:r w:rsidRPr="005C3EC8">
        <w:lastRenderedPageBreak/>
        <w:t>Annex D -</w:t>
      </w:r>
      <w:r w:rsidR="00A843C6" w:rsidRPr="005C3EC8">
        <w:t xml:space="preserve"> </w:t>
      </w:r>
      <w:r w:rsidR="00DF124A" w:rsidRPr="005C3EC8">
        <w:t>List of stakeholders consulted</w:t>
      </w:r>
      <w:bookmarkEnd w:id="447"/>
      <w:bookmarkEnd w:id="453"/>
      <w:bookmarkEnd w:id="454"/>
      <w:bookmarkEnd w:id="455"/>
      <w:bookmarkEnd w:id="456"/>
      <w:bookmarkEnd w:id="457"/>
    </w:p>
    <w:p w14:paraId="7282B600" w14:textId="47471F48" w:rsidR="00DF124A" w:rsidRPr="005C3EC8" w:rsidRDefault="00DF124A" w:rsidP="0097728B">
      <w:pPr>
        <w:pStyle w:val="Heading2notindexed"/>
      </w:pPr>
      <w:r w:rsidRPr="005C3EC8">
        <w:t>Government</w:t>
      </w:r>
      <w:r w:rsidR="00F112A9" w:rsidRPr="005C3EC8">
        <w:t xml:space="preserve"> / Public sector</w:t>
      </w:r>
    </w:p>
    <w:p w14:paraId="6A8A8EC9" w14:textId="5C32EB72" w:rsidR="00EC38EB" w:rsidRPr="005C3EC8" w:rsidRDefault="00163789" w:rsidP="00E56111">
      <w:pPr>
        <w:spacing w:before="120" w:after="120" w:line="240" w:lineRule="auto"/>
        <w:rPr>
          <w:rFonts w:ascii="Calibri" w:hAnsi="Calibri"/>
          <w:bCs/>
        </w:rPr>
      </w:pPr>
      <w:r w:rsidRPr="005C3EC8">
        <w:rPr>
          <w:rFonts w:ascii="Calibri" w:hAnsi="Calibri"/>
          <w:bCs/>
        </w:rPr>
        <w:t>Matthew Ray, Deputy Director</w:t>
      </w:r>
      <w:r w:rsidR="0060052D" w:rsidRPr="005C3EC8">
        <w:rPr>
          <w:rFonts w:ascii="Calibri" w:hAnsi="Calibri"/>
          <w:bCs/>
        </w:rPr>
        <w:t>,</w:t>
      </w:r>
      <w:r w:rsidRPr="005C3EC8">
        <w:rPr>
          <w:rFonts w:ascii="Calibri" w:hAnsi="Calibri"/>
          <w:bCs/>
        </w:rPr>
        <w:t xml:space="preserve"> Department for Business, Energy and Industrial Strategy (BEIS) and Chair of the UK EITI MSG</w:t>
      </w:r>
    </w:p>
    <w:p w14:paraId="4202C48B" w14:textId="5D6C41D0" w:rsidR="00163789" w:rsidRPr="005C3EC8" w:rsidRDefault="0060052D" w:rsidP="00E56111">
      <w:pPr>
        <w:spacing w:before="120" w:after="120" w:line="240" w:lineRule="auto"/>
        <w:rPr>
          <w:rFonts w:ascii="Calibri" w:hAnsi="Calibri"/>
          <w:bCs/>
        </w:rPr>
      </w:pPr>
      <w:r w:rsidRPr="005C3EC8">
        <w:rPr>
          <w:rFonts w:ascii="Calibri" w:hAnsi="Calibri"/>
          <w:bCs/>
        </w:rPr>
        <w:t xml:space="preserve">David Leitch, Department for Business, Energy and Industrial Strategy (BEIS) and </w:t>
      </w:r>
      <w:r w:rsidR="00A75221" w:rsidRPr="005C3EC8">
        <w:rPr>
          <w:rFonts w:ascii="Calibri" w:hAnsi="Calibri"/>
          <w:bCs/>
        </w:rPr>
        <w:t xml:space="preserve">UK EITI National Coordinator </w:t>
      </w:r>
    </w:p>
    <w:p w14:paraId="1397792F" w14:textId="19EB481D" w:rsidR="0060052D" w:rsidRPr="005C3EC8" w:rsidRDefault="0060052D" w:rsidP="00E56111">
      <w:pPr>
        <w:spacing w:before="120" w:after="120" w:line="240" w:lineRule="auto"/>
        <w:rPr>
          <w:rFonts w:ascii="Calibri" w:hAnsi="Calibri"/>
          <w:bCs/>
        </w:rPr>
      </w:pPr>
      <w:r w:rsidRPr="005C3EC8">
        <w:rPr>
          <w:rFonts w:ascii="Calibri" w:hAnsi="Calibri"/>
          <w:bCs/>
        </w:rPr>
        <w:t>Mike Nash, Department for Business, Energy and Industrial Strategy (BEIS) and member of the UK EITI Secretariat</w:t>
      </w:r>
    </w:p>
    <w:p w14:paraId="194553A0" w14:textId="47347767" w:rsidR="001D3968" w:rsidRPr="005C3EC8" w:rsidRDefault="00C53298" w:rsidP="00E56111">
      <w:pPr>
        <w:spacing w:before="120" w:after="120" w:line="240" w:lineRule="auto"/>
        <w:rPr>
          <w:rFonts w:ascii="Calibri" w:hAnsi="Calibri"/>
        </w:rPr>
      </w:pPr>
      <w:r w:rsidRPr="005C3EC8">
        <w:rPr>
          <w:rFonts w:ascii="Calibri" w:hAnsi="Calibri"/>
        </w:rPr>
        <w:t xml:space="preserve">Mike Earp, </w:t>
      </w:r>
      <w:r w:rsidR="001D3968" w:rsidRPr="005C3EC8">
        <w:rPr>
          <w:rFonts w:ascii="Calibri" w:hAnsi="Calibri"/>
        </w:rPr>
        <w:t xml:space="preserve">Senior Economist and Fiscal Analyst, </w:t>
      </w:r>
      <w:r w:rsidRPr="005C3EC8">
        <w:rPr>
          <w:rFonts w:ascii="Calibri" w:hAnsi="Calibri"/>
        </w:rPr>
        <w:t>the Oil and Gas Authority</w:t>
      </w:r>
      <w:r w:rsidR="007C185C" w:rsidRPr="005C3EC8">
        <w:rPr>
          <w:rFonts w:ascii="Calibri" w:hAnsi="Calibri"/>
        </w:rPr>
        <w:t xml:space="preserve"> </w:t>
      </w:r>
      <w:r w:rsidR="00F112A9" w:rsidRPr="005C3EC8">
        <w:rPr>
          <w:rFonts w:ascii="Calibri" w:hAnsi="Calibri"/>
        </w:rPr>
        <w:t>(OGA)</w:t>
      </w:r>
    </w:p>
    <w:p w14:paraId="3CC13239" w14:textId="23AF021F" w:rsidR="00C53298" w:rsidRPr="005C3EC8" w:rsidRDefault="001D3968" w:rsidP="00E56111">
      <w:pPr>
        <w:spacing w:before="120" w:after="120" w:line="240" w:lineRule="auto"/>
        <w:rPr>
          <w:rFonts w:ascii="Calibri" w:hAnsi="Calibri"/>
        </w:rPr>
      </w:pPr>
      <w:r w:rsidRPr="005C3EC8">
        <w:rPr>
          <w:rFonts w:ascii="Calibri" w:hAnsi="Calibri"/>
        </w:rPr>
        <w:t>Helen Day, Permitting and Licensing Manager, the Coal Authority</w:t>
      </w:r>
      <w:r w:rsidRPr="005C3EC8">
        <w:rPr>
          <w:rFonts w:ascii="Calibri" w:hAnsi="Calibri"/>
        </w:rPr>
        <w:tab/>
      </w:r>
      <w:r w:rsidR="00C53298" w:rsidRPr="005C3EC8">
        <w:rPr>
          <w:rFonts w:ascii="Calibri" w:hAnsi="Calibri"/>
        </w:rPr>
        <w:tab/>
      </w:r>
    </w:p>
    <w:p w14:paraId="0A9DAAB8" w14:textId="7B0A7EDE" w:rsidR="001D3968" w:rsidRPr="005C3EC8" w:rsidRDefault="001D3968" w:rsidP="00E56111">
      <w:pPr>
        <w:spacing w:before="120" w:after="120" w:line="240" w:lineRule="auto"/>
        <w:rPr>
          <w:rFonts w:ascii="Calibri" w:hAnsi="Calibri"/>
        </w:rPr>
      </w:pPr>
      <w:r w:rsidRPr="005C3EC8">
        <w:rPr>
          <w:rFonts w:ascii="Calibri" w:hAnsi="Calibri"/>
        </w:rPr>
        <w:t>Andrew Bloodworth, Science Director for Minerals &amp; Waste, the British Geographical Survey</w:t>
      </w:r>
      <w:r w:rsidRPr="005C3EC8">
        <w:rPr>
          <w:rFonts w:ascii="Calibri" w:hAnsi="Calibri"/>
        </w:rPr>
        <w:tab/>
      </w:r>
    </w:p>
    <w:p w14:paraId="37D0A651" w14:textId="20C2FDB8" w:rsidR="00F47A28" w:rsidRPr="005C3EC8" w:rsidRDefault="001D3968" w:rsidP="00E56111">
      <w:pPr>
        <w:spacing w:before="120" w:after="120" w:line="240" w:lineRule="auto"/>
        <w:rPr>
          <w:rFonts w:ascii="Calibri" w:hAnsi="Calibri"/>
        </w:rPr>
      </w:pPr>
      <w:r w:rsidRPr="005C3EC8">
        <w:rPr>
          <w:rFonts w:ascii="Calibri" w:hAnsi="Calibri"/>
        </w:rPr>
        <w:t xml:space="preserve">James Osborne, </w:t>
      </w:r>
      <w:r w:rsidR="00F47A28" w:rsidRPr="005C3EC8">
        <w:rPr>
          <w:rFonts w:ascii="Calibri" w:hAnsi="Calibri"/>
        </w:rPr>
        <w:t xml:space="preserve">Director BEIS and Regulators Financial Audit, </w:t>
      </w:r>
      <w:r w:rsidRPr="005C3EC8">
        <w:rPr>
          <w:rFonts w:ascii="Calibri" w:hAnsi="Calibri"/>
        </w:rPr>
        <w:t xml:space="preserve">and </w:t>
      </w:r>
      <w:r w:rsidR="00F47A28" w:rsidRPr="005C3EC8">
        <w:rPr>
          <w:rFonts w:ascii="Calibri" w:hAnsi="Calibri"/>
        </w:rPr>
        <w:t>Rob Walker</w:t>
      </w:r>
      <w:r w:rsidRPr="005C3EC8">
        <w:rPr>
          <w:rFonts w:ascii="Calibri" w:hAnsi="Calibri"/>
        </w:rPr>
        <w:t>,</w:t>
      </w:r>
      <w:r w:rsidR="00F47A28" w:rsidRPr="005C3EC8">
        <w:rPr>
          <w:rFonts w:ascii="Calibri" w:hAnsi="Calibri"/>
        </w:rPr>
        <w:t xml:space="preserve"> Assistant Auditor,</w:t>
      </w:r>
      <w:r w:rsidRPr="005C3EC8">
        <w:rPr>
          <w:rFonts w:ascii="Calibri" w:hAnsi="Calibri"/>
        </w:rPr>
        <w:t xml:space="preserve"> National Audit Office</w:t>
      </w:r>
      <w:r w:rsidRPr="005C3EC8">
        <w:rPr>
          <w:rFonts w:ascii="Calibri" w:hAnsi="Calibri"/>
        </w:rPr>
        <w:tab/>
      </w:r>
    </w:p>
    <w:p w14:paraId="738C4173" w14:textId="7976A047" w:rsidR="00F112A9" w:rsidRPr="005C3EC8" w:rsidRDefault="00F112A9" w:rsidP="00E56111">
      <w:pPr>
        <w:spacing w:before="120" w:after="120" w:line="240" w:lineRule="auto"/>
        <w:rPr>
          <w:rFonts w:ascii="Calibri" w:hAnsi="Calibri"/>
        </w:rPr>
      </w:pPr>
      <w:r w:rsidRPr="005C3EC8">
        <w:rPr>
          <w:rFonts w:ascii="Calibri" w:hAnsi="Calibri"/>
        </w:rPr>
        <w:t>James Marshall, HM Revenue and Customs (HMRC)</w:t>
      </w:r>
    </w:p>
    <w:p w14:paraId="046E90B1" w14:textId="5644378C" w:rsidR="00F112A9" w:rsidRPr="005C3EC8" w:rsidRDefault="00F112A9" w:rsidP="00E56111">
      <w:pPr>
        <w:spacing w:before="120" w:after="120" w:line="240" w:lineRule="auto"/>
        <w:rPr>
          <w:rFonts w:ascii="Calibri" w:hAnsi="Calibri"/>
        </w:rPr>
      </w:pPr>
      <w:r w:rsidRPr="005C3EC8">
        <w:rPr>
          <w:rFonts w:ascii="Calibri" w:hAnsi="Calibri"/>
        </w:rPr>
        <w:t>Martin Quinn, – Department for the Economy  (DfE), Northern Ireland</w:t>
      </w:r>
    </w:p>
    <w:p w14:paraId="53775CF7" w14:textId="2FE44C50" w:rsidR="00F112A9" w:rsidRPr="005C3EC8" w:rsidRDefault="00F112A9" w:rsidP="00E56111">
      <w:pPr>
        <w:spacing w:before="120" w:after="120" w:line="240" w:lineRule="auto"/>
        <w:rPr>
          <w:rFonts w:ascii="Calibri" w:hAnsi="Calibri"/>
        </w:rPr>
      </w:pPr>
      <w:r w:rsidRPr="005C3EC8">
        <w:rPr>
          <w:rFonts w:ascii="Calibri" w:hAnsi="Calibri"/>
        </w:rPr>
        <w:t>Nick Everington, Portfolio Manager - Marine Minerals, The Crown Estate</w:t>
      </w:r>
    </w:p>
    <w:p w14:paraId="645075D2" w14:textId="77A269E6" w:rsidR="00F112A9" w:rsidRPr="005C3EC8" w:rsidRDefault="00F112A9" w:rsidP="00E56111">
      <w:pPr>
        <w:spacing w:before="120" w:after="120" w:line="240" w:lineRule="auto"/>
        <w:rPr>
          <w:rFonts w:ascii="Calibri" w:hAnsi="Calibri"/>
        </w:rPr>
      </w:pPr>
      <w:r w:rsidRPr="005C3EC8">
        <w:rPr>
          <w:rFonts w:ascii="Calibri" w:hAnsi="Calibri"/>
        </w:rPr>
        <w:t>Matthew Gibbs, The Crown Estate</w:t>
      </w:r>
    </w:p>
    <w:p w14:paraId="2CC59411" w14:textId="55E15D53" w:rsidR="0025059C" w:rsidRPr="005C3EC8" w:rsidRDefault="0025059C" w:rsidP="00E56111">
      <w:pPr>
        <w:spacing w:before="120" w:after="120" w:line="240" w:lineRule="auto"/>
        <w:rPr>
          <w:rFonts w:ascii="Calibri" w:hAnsi="Calibri"/>
        </w:rPr>
      </w:pPr>
      <w:r w:rsidRPr="005C3EC8">
        <w:rPr>
          <w:rFonts w:ascii="Calibri" w:hAnsi="Calibri"/>
        </w:rPr>
        <w:t>Malcolm Burns, Head of Rural, The Crown Estate</w:t>
      </w:r>
    </w:p>
    <w:p w14:paraId="41C62CD8" w14:textId="6D5CCD48" w:rsidR="0025059C" w:rsidRPr="005C3EC8" w:rsidRDefault="0025059C" w:rsidP="00E56111">
      <w:pPr>
        <w:spacing w:before="120" w:after="120" w:line="240" w:lineRule="auto"/>
        <w:rPr>
          <w:rFonts w:ascii="Calibri" w:hAnsi="Calibri"/>
        </w:rPr>
      </w:pPr>
      <w:r w:rsidRPr="005C3EC8">
        <w:rPr>
          <w:rFonts w:ascii="Calibri" w:hAnsi="Calibri"/>
        </w:rPr>
        <w:t>John Pears, Consultant and Crown Mineral Agent, Wardell Armstrong LLP</w:t>
      </w:r>
    </w:p>
    <w:p w14:paraId="178A1B11" w14:textId="0BA0A2EF" w:rsidR="000A7A93" w:rsidRPr="005C3EC8" w:rsidRDefault="00DF124A">
      <w:pPr>
        <w:pStyle w:val="Heading2notindexed"/>
      </w:pPr>
      <w:r w:rsidRPr="005C3EC8">
        <w:t>Industry</w:t>
      </w:r>
    </w:p>
    <w:p w14:paraId="61F3991F" w14:textId="28FF6345" w:rsidR="005C3113" w:rsidRPr="005C3EC8" w:rsidRDefault="005C3113" w:rsidP="00E56111">
      <w:pPr>
        <w:spacing w:before="120" w:after="120" w:line="240" w:lineRule="auto"/>
        <w:rPr>
          <w:rFonts w:ascii="Calibri" w:hAnsi="Calibri"/>
          <w:bCs/>
        </w:rPr>
      </w:pPr>
      <w:r w:rsidRPr="005C3EC8">
        <w:rPr>
          <w:rFonts w:ascii="Calibri" w:hAnsi="Calibri"/>
          <w:bCs/>
        </w:rPr>
        <w:t xml:space="preserve">Romina Mele-Cornish, </w:t>
      </w:r>
      <w:r w:rsidR="007C185C" w:rsidRPr="005C3EC8">
        <w:rPr>
          <w:rFonts w:ascii="Calibri" w:hAnsi="Calibri"/>
          <w:bCs/>
        </w:rPr>
        <w:t xml:space="preserve">Fiscal policy Manager, </w:t>
      </w:r>
      <w:r w:rsidRPr="005C3EC8">
        <w:rPr>
          <w:rFonts w:ascii="Calibri" w:hAnsi="Calibri"/>
          <w:bCs/>
        </w:rPr>
        <w:t>Oil &amp; Gas UK</w:t>
      </w:r>
    </w:p>
    <w:p w14:paraId="3B4E12C0" w14:textId="671F36C8" w:rsidR="005C3113" w:rsidRPr="005C3EC8" w:rsidRDefault="005C3113" w:rsidP="00E56111">
      <w:pPr>
        <w:spacing w:before="120" w:after="120" w:line="240" w:lineRule="auto"/>
        <w:rPr>
          <w:rFonts w:ascii="Calibri" w:hAnsi="Calibri"/>
          <w:bCs/>
        </w:rPr>
      </w:pPr>
      <w:r w:rsidRPr="005C3EC8">
        <w:rPr>
          <w:rFonts w:ascii="Calibri" w:hAnsi="Calibri"/>
          <w:bCs/>
        </w:rPr>
        <w:t xml:space="preserve">John Bowater, </w:t>
      </w:r>
      <w:r w:rsidR="005705A5" w:rsidRPr="005C3EC8">
        <w:rPr>
          <w:rFonts w:ascii="Calibri" w:hAnsi="Calibri"/>
          <w:bCs/>
        </w:rPr>
        <w:t xml:space="preserve">Deputy Chief Executive Officer and Chief Financial Officer, </w:t>
      </w:r>
      <w:r w:rsidRPr="005C3EC8">
        <w:rPr>
          <w:rFonts w:ascii="Calibri" w:hAnsi="Calibri"/>
          <w:bCs/>
        </w:rPr>
        <w:t>Aggregate Industries</w:t>
      </w:r>
    </w:p>
    <w:p w14:paraId="4CE0225F" w14:textId="3CA066EF" w:rsidR="005C3113" w:rsidRPr="005C3EC8" w:rsidRDefault="005C3113" w:rsidP="00E56111">
      <w:pPr>
        <w:spacing w:before="120" w:after="120" w:line="240" w:lineRule="auto"/>
        <w:rPr>
          <w:rFonts w:ascii="Calibri" w:hAnsi="Calibri"/>
          <w:bCs/>
        </w:rPr>
      </w:pPr>
      <w:r w:rsidRPr="005C3EC8">
        <w:rPr>
          <w:rFonts w:ascii="Calibri" w:hAnsi="Calibri"/>
          <w:bCs/>
        </w:rPr>
        <w:t>Dr Patrick</w:t>
      </w:r>
      <w:r w:rsidR="00B91672" w:rsidRPr="005C3EC8">
        <w:rPr>
          <w:rFonts w:ascii="Calibri" w:hAnsi="Calibri"/>
          <w:bCs/>
        </w:rPr>
        <w:t xml:space="preserve"> Foster,</w:t>
      </w:r>
      <w:r w:rsidRPr="005C3EC8">
        <w:rPr>
          <w:rFonts w:ascii="Calibri" w:hAnsi="Calibri"/>
          <w:bCs/>
        </w:rPr>
        <w:t xml:space="preserve"> Mining Association of the UK &amp; Camborne School of Mines, University of Exeter</w:t>
      </w:r>
    </w:p>
    <w:p w14:paraId="15C23898" w14:textId="71A8476B" w:rsidR="005C3113" w:rsidRPr="005C3EC8" w:rsidRDefault="00025A86" w:rsidP="00E56111">
      <w:pPr>
        <w:spacing w:before="120" w:after="120" w:line="240" w:lineRule="auto"/>
        <w:rPr>
          <w:rFonts w:ascii="Calibri" w:hAnsi="Calibri"/>
          <w:bCs/>
        </w:rPr>
      </w:pPr>
      <w:r w:rsidRPr="005C3EC8">
        <w:rPr>
          <w:rFonts w:ascii="Calibri" w:hAnsi="Calibri"/>
          <w:bCs/>
        </w:rPr>
        <w:t xml:space="preserve">Jerry McLaughlin, </w:t>
      </w:r>
      <w:r w:rsidR="005705A5" w:rsidRPr="005C3EC8">
        <w:rPr>
          <w:rFonts w:ascii="Calibri" w:hAnsi="Calibri"/>
          <w:bCs/>
        </w:rPr>
        <w:t xml:space="preserve">Executive Director of Economics &amp; Public Affairs, </w:t>
      </w:r>
      <w:r w:rsidRPr="005C3EC8">
        <w:rPr>
          <w:rFonts w:ascii="Calibri" w:hAnsi="Calibri"/>
          <w:bCs/>
        </w:rPr>
        <w:t>Mineral Products Association</w:t>
      </w:r>
    </w:p>
    <w:p w14:paraId="3781FA9B" w14:textId="77777777" w:rsidR="00DF124A" w:rsidRPr="005C3EC8" w:rsidRDefault="00DF124A">
      <w:pPr>
        <w:pStyle w:val="Heading2notindexed"/>
      </w:pPr>
      <w:r w:rsidRPr="005C3EC8">
        <w:t>Civil Society</w:t>
      </w:r>
    </w:p>
    <w:p w14:paraId="000EEB20" w14:textId="1472ADBC" w:rsidR="00E56111" w:rsidRDefault="00E56111" w:rsidP="00E56111">
      <w:pPr>
        <w:spacing w:before="120" w:after="120" w:line="240" w:lineRule="auto"/>
        <w:rPr>
          <w:rFonts w:ascii="Calibri" w:hAnsi="Calibri"/>
          <w:bCs/>
        </w:rPr>
      </w:pPr>
      <w:r w:rsidRPr="00E56111">
        <w:rPr>
          <w:rFonts w:ascii="Calibri" w:hAnsi="Calibri"/>
          <w:bCs/>
        </w:rPr>
        <w:t>Eric Joyce</w:t>
      </w:r>
      <w:r>
        <w:rPr>
          <w:rFonts w:ascii="Calibri" w:hAnsi="Calibri"/>
          <w:bCs/>
        </w:rPr>
        <w:t xml:space="preserve">, </w:t>
      </w:r>
      <w:r w:rsidRPr="00E56111">
        <w:rPr>
          <w:rFonts w:ascii="Calibri" w:hAnsi="Calibri"/>
          <w:bCs/>
        </w:rPr>
        <w:t>EICS</w:t>
      </w:r>
    </w:p>
    <w:p w14:paraId="5BEA939B" w14:textId="4D70EBB2" w:rsidR="00A84074" w:rsidRPr="005C3EC8" w:rsidRDefault="00A942A2" w:rsidP="00E56111">
      <w:pPr>
        <w:spacing w:before="120" w:after="120" w:line="240" w:lineRule="auto"/>
        <w:rPr>
          <w:rFonts w:ascii="Calibri" w:hAnsi="Calibri"/>
          <w:bCs/>
        </w:rPr>
      </w:pPr>
      <w:r w:rsidRPr="005C3EC8">
        <w:rPr>
          <w:rFonts w:ascii="Calibri" w:hAnsi="Calibri"/>
          <w:bCs/>
        </w:rPr>
        <w:t>Joseph</w:t>
      </w:r>
      <w:r w:rsidR="00A84074" w:rsidRPr="005C3EC8">
        <w:rPr>
          <w:rFonts w:ascii="Calibri" w:hAnsi="Calibri"/>
          <w:bCs/>
        </w:rPr>
        <w:t xml:space="preserve"> Williams, </w:t>
      </w:r>
      <w:r w:rsidRPr="005C3EC8">
        <w:rPr>
          <w:rFonts w:ascii="Calibri" w:hAnsi="Calibri"/>
          <w:bCs/>
        </w:rPr>
        <w:t xml:space="preserve">Senior Officer and Advocacy Manager, </w:t>
      </w:r>
      <w:r w:rsidR="00A84074" w:rsidRPr="005C3EC8">
        <w:rPr>
          <w:rFonts w:ascii="Calibri" w:hAnsi="Calibri"/>
          <w:bCs/>
        </w:rPr>
        <w:t>Natural Resource Governance Institute</w:t>
      </w:r>
      <w:r w:rsidRPr="005C3EC8">
        <w:rPr>
          <w:rFonts w:ascii="Calibri" w:hAnsi="Calibri"/>
          <w:bCs/>
        </w:rPr>
        <w:t xml:space="preserve"> (NRGI)</w:t>
      </w:r>
    </w:p>
    <w:p w14:paraId="175D45F4" w14:textId="5207D154" w:rsidR="00E56111" w:rsidRDefault="00E56111" w:rsidP="00E56111">
      <w:pPr>
        <w:pStyle w:val="Abbreviations"/>
        <w:spacing w:before="120" w:after="120" w:line="240" w:lineRule="auto"/>
        <w:rPr>
          <w:lang w:eastAsia="en-US" w:bidi="ar-SA"/>
        </w:rPr>
      </w:pPr>
      <w:r>
        <w:rPr>
          <w:lang w:eastAsia="en-US" w:bidi="ar-SA"/>
        </w:rPr>
        <w:t>Lorraine Allanson, Civil Society MSG member</w:t>
      </w:r>
    </w:p>
    <w:p w14:paraId="1D924EDF" w14:textId="77777777" w:rsidR="00E56111" w:rsidRDefault="00E56111" w:rsidP="00E56111">
      <w:pPr>
        <w:pStyle w:val="Heading2notindexed"/>
        <w:spacing w:before="120" w:after="120" w:line="240" w:lineRule="auto"/>
        <w:rPr>
          <w:rFonts w:ascii="Calibri" w:hAnsi="Calibri"/>
          <w:color w:val="auto"/>
          <w:sz w:val="22"/>
          <w:szCs w:val="22"/>
        </w:rPr>
      </w:pPr>
      <w:r w:rsidRPr="005C3EC8">
        <w:rPr>
          <w:rFonts w:ascii="Calibri" w:hAnsi="Calibri"/>
          <w:color w:val="auto"/>
          <w:sz w:val="22"/>
          <w:szCs w:val="22"/>
        </w:rPr>
        <w:t>Miles Litvinoff, Coordinator of Publish What You Pay (PWYP) UK</w:t>
      </w:r>
    </w:p>
    <w:p w14:paraId="4822ED8A" w14:textId="5BE0150A" w:rsidR="00E56111" w:rsidRDefault="00E56111" w:rsidP="00E56111">
      <w:pPr>
        <w:pStyle w:val="Abbreviations"/>
        <w:spacing w:before="120" w:after="120" w:line="240" w:lineRule="auto"/>
        <w:rPr>
          <w:lang w:eastAsia="en-US" w:bidi="ar-SA"/>
        </w:rPr>
      </w:pPr>
      <w:r>
        <w:rPr>
          <w:lang w:eastAsia="en-US" w:bidi="ar-SA"/>
        </w:rPr>
        <w:t xml:space="preserve">Norbert </w:t>
      </w:r>
      <w:proofErr w:type="spellStart"/>
      <w:r>
        <w:rPr>
          <w:lang w:eastAsia="en-US" w:bidi="ar-SA"/>
        </w:rPr>
        <w:t>Mbu</w:t>
      </w:r>
      <w:proofErr w:type="spellEnd"/>
      <w:r>
        <w:rPr>
          <w:lang w:eastAsia="en-US" w:bidi="ar-SA"/>
        </w:rPr>
        <w:t xml:space="preserve"> Mputu, Civil Society MSG member</w:t>
      </w:r>
    </w:p>
    <w:p w14:paraId="2E04E2BE" w14:textId="77777777" w:rsidR="00E56111" w:rsidRPr="005C3EC8" w:rsidRDefault="00E56111" w:rsidP="00E56111">
      <w:pPr>
        <w:spacing w:before="120" w:after="120" w:line="240" w:lineRule="auto"/>
        <w:rPr>
          <w:rFonts w:ascii="Calibri" w:hAnsi="Calibri"/>
          <w:bCs/>
        </w:rPr>
      </w:pPr>
      <w:r w:rsidRPr="005C3EC8">
        <w:rPr>
          <w:rFonts w:ascii="Calibri" w:hAnsi="Calibri"/>
          <w:bCs/>
        </w:rPr>
        <w:t>Simon Clydesdale, Campaign Leader for Oil, Gas and Mining, Global Witness</w:t>
      </w:r>
    </w:p>
    <w:p w14:paraId="5820BB55" w14:textId="2BF84E93" w:rsidR="00436F01" w:rsidRPr="005C3EC8" w:rsidRDefault="00436F01">
      <w:pPr>
        <w:pStyle w:val="Heading2notindexed"/>
      </w:pPr>
      <w:r w:rsidRPr="005C3EC8">
        <w:lastRenderedPageBreak/>
        <w:t>Independent administrators</w:t>
      </w:r>
    </w:p>
    <w:p w14:paraId="581CD7E9" w14:textId="608EA2A0" w:rsidR="00335FA3" w:rsidRPr="005C3EC8" w:rsidRDefault="00335FA3" w:rsidP="00E56111">
      <w:pPr>
        <w:spacing w:before="120" w:after="120" w:line="240" w:lineRule="auto"/>
        <w:rPr>
          <w:rFonts w:ascii="Calibri" w:hAnsi="Calibri"/>
          <w:bCs/>
        </w:rPr>
      </w:pPr>
      <w:r w:rsidRPr="005C3EC8">
        <w:rPr>
          <w:rFonts w:ascii="Calibri" w:hAnsi="Calibri"/>
          <w:bCs/>
        </w:rPr>
        <w:t xml:space="preserve">Tim Woodward, </w:t>
      </w:r>
      <w:r w:rsidR="009E39F5" w:rsidRPr="005C3EC8">
        <w:rPr>
          <w:rFonts w:ascii="Calibri" w:hAnsi="Calibri"/>
          <w:bCs/>
        </w:rPr>
        <w:t xml:space="preserve">Partner, Public Sector Group, </w:t>
      </w:r>
      <w:r w:rsidRPr="005C3EC8">
        <w:rPr>
          <w:rFonts w:ascii="Calibri" w:hAnsi="Calibri"/>
          <w:bCs/>
        </w:rPr>
        <w:t>Moore Stephens</w:t>
      </w:r>
    </w:p>
    <w:p w14:paraId="02291F01" w14:textId="5F3E4211" w:rsidR="00335FA3" w:rsidRPr="005C3EC8" w:rsidRDefault="009E39F5" w:rsidP="00E56111">
      <w:pPr>
        <w:spacing w:before="120" w:after="120" w:line="240" w:lineRule="auto"/>
        <w:rPr>
          <w:rFonts w:ascii="Calibri" w:hAnsi="Calibri"/>
          <w:bCs/>
        </w:rPr>
      </w:pPr>
      <w:proofErr w:type="spellStart"/>
      <w:r w:rsidRPr="005C3EC8">
        <w:rPr>
          <w:rFonts w:ascii="Calibri" w:hAnsi="Calibri"/>
          <w:bCs/>
        </w:rPr>
        <w:t>Hédi</w:t>
      </w:r>
      <w:proofErr w:type="spellEnd"/>
      <w:r w:rsidRPr="005C3EC8">
        <w:rPr>
          <w:rFonts w:ascii="Calibri" w:hAnsi="Calibri"/>
          <w:bCs/>
        </w:rPr>
        <w:t xml:space="preserve"> Zaghouani, IFI Team, Moore Stephens</w:t>
      </w:r>
    </w:p>
    <w:p w14:paraId="5B01C81D" w14:textId="3A934C3F" w:rsidR="009E39F5" w:rsidRDefault="009E39F5" w:rsidP="00E56111">
      <w:pPr>
        <w:spacing w:before="120" w:after="120" w:line="240" w:lineRule="auto"/>
        <w:rPr>
          <w:rFonts w:ascii="Calibri" w:hAnsi="Calibri"/>
          <w:bCs/>
        </w:rPr>
      </w:pPr>
      <w:r w:rsidRPr="005C3EC8">
        <w:rPr>
          <w:rFonts w:ascii="Calibri" w:hAnsi="Calibri"/>
          <w:bCs/>
        </w:rPr>
        <w:t xml:space="preserve">Ben Toorabally, IFI Head of Office, Public Sector Group, Moore </w:t>
      </w:r>
      <w:r w:rsidR="00B6613D" w:rsidRPr="005C3EC8">
        <w:rPr>
          <w:rFonts w:ascii="Calibri" w:hAnsi="Calibri"/>
          <w:bCs/>
        </w:rPr>
        <w:t>S</w:t>
      </w:r>
      <w:r w:rsidRPr="005C3EC8">
        <w:rPr>
          <w:rFonts w:ascii="Calibri" w:hAnsi="Calibri"/>
          <w:bCs/>
        </w:rPr>
        <w:t>tephens</w:t>
      </w:r>
    </w:p>
    <w:p w14:paraId="3FE0D80A" w14:textId="77777777" w:rsidR="00E56111" w:rsidRPr="005C3EC8" w:rsidRDefault="00E56111" w:rsidP="00CC1221">
      <w:pPr>
        <w:spacing w:before="120"/>
        <w:rPr>
          <w:rFonts w:ascii="Calibri" w:hAnsi="Calibri"/>
          <w:bCs/>
        </w:rPr>
      </w:pPr>
    </w:p>
    <w:p w14:paraId="6084EE7E" w14:textId="77777777" w:rsidR="001F5AD9" w:rsidRPr="005C3EC8" w:rsidRDefault="001F5AD9">
      <w:pPr>
        <w:widowControl/>
        <w:suppressAutoHyphens w:val="0"/>
        <w:spacing w:after="0" w:line="240" w:lineRule="auto"/>
        <w:rPr>
          <w:rFonts w:ascii="Calibri" w:hAnsi="Calibri"/>
        </w:rPr>
        <w:sectPr w:rsidR="001F5AD9" w:rsidRPr="005C3EC8" w:rsidSect="007364B0">
          <w:headerReference w:type="first" r:id="rId40"/>
          <w:pgSz w:w="11905" w:h="16837"/>
          <w:pgMar w:top="1175" w:right="1276" w:bottom="1418" w:left="1134" w:header="567" w:footer="0" w:gutter="0"/>
          <w:cols w:space="708"/>
          <w:titlePg/>
          <w:docGrid w:linePitch="326"/>
        </w:sectPr>
      </w:pPr>
    </w:p>
    <w:p w14:paraId="168D0F30" w14:textId="7A3D7EA5" w:rsidR="00AE51FA" w:rsidRPr="005C3EC8" w:rsidRDefault="00A843C6">
      <w:pPr>
        <w:pStyle w:val="Heading2"/>
      </w:pPr>
      <w:bookmarkStart w:id="458" w:name="_Toc452707654"/>
      <w:bookmarkStart w:id="459" w:name="_Toc459133214"/>
      <w:bookmarkStart w:id="460" w:name="_Toc461803163"/>
      <w:bookmarkStart w:id="461" w:name="_Toc461787374"/>
      <w:bookmarkStart w:id="462" w:name="_Toc461795886"/>
      <w:bookmarkStart w:id="463" w:name="_Toc462149218"/>
      <w:r w:rsidRPr="005C3EC8">
        <w:lastRenderedPageBreak/>
        <w:t xml:space="preserve">Annex </w:t>
      </w:r>
      <w:r w:rsidR="00206C03" w:rsidRPr="005C3EC8">
        <w:t>E</w:t>
      </w:r>
      <w:r w:rsidRPr="005C3EC8">
        <w:t xml:space="preserve"> - </w:t>
      </w:r>
      <w:r w:rsidR="00AE51FA" w:rsidRPr="005C3EC8">
        <w:t>List of reference documents</w:t>
      </w:r>
      <w:bookmarkEnd w:id="458"/>
      <w:bookmarkEnd w:id="459"/>
      <w:bookmarkEnd w:id="460"/>
      <w:bookmarkEnd w:id="461"/>
      <w:bookmarkEnd w:id="462"/>
      <w:bookmarkEnd w:id="463"/>
      <w:r w:rsidR="00AE51FA" w:rsidRPr="005C3EC8">
        <w:t xml:space="preserve"> </w:t>
      </w:r>
    </w:p>
    <w:p w14:paraId="17652E57" w14:textId="1A1787CB" w:rsidR="00EA7B6D" w:rsidRPr="005C3EC8" w:rsidRDefault="00EA7B6D" w:rsidP="00EA7B6D">
      <w:r w:rsidRPr="005C3EC8">
        <w:t>(</w:t>
      </w:r>
      <w:r w:rsidRPr="005C3EC8">
        <w:rPr>
          <w:i/>
        </w:rPr>
        <w:t>References verified as of October 2018</w:t>
      </w:r>
      <w:r w:rsidRPr="005C3EC8">
        <w:t>)</w:t>
      </w:r>
    </w:p>
    <w:p w14:paraId="5A4153E6" w14:textId="3F70F45D" w:rsidR="00D9665B" w:rsidRPr="005C3EC8" w:rsidRDefault="0060718C" w:rsidP="0033293E">
      <w:pPr>
        <w:pStyle w:val="Heading2notindexed"/>
      </w:pPr>
      <w:r w:rsidRPr="005C3EC8">
        <w:t>Workplan</w:t>
      </w:r>
      <w:r w:rsidR="006D6F48" w:rsidRPr="005C3EC8">
        <w:t xml:space="preserve">s and </w:t>
      </w:r>
      <w:r w:rsidR="00307272" w:rsidRPr="005C3EC8">
        <w:t>Annual activity report</w:t>
      </w:r>
      <w:r w:rsidR="006D6F48" w:rsidRPr="005C3EC8">
        <w:t>s:</w:t>
      </w:r>
    </w:p>
    <w:p w14:paraId="4144D941" w14:textId="3C0D943B" w:rsidR="007F0180" w:rsidRPr="005C3EC8" w:rsidRDefault="007F0180" w:rsidP="007F0180">
      <w:pPr>
        <w:numPr>
          <w:ilvl w:val="0"/>
          <w:numId w:val="4"/>
        </w:numPr>
        <w:spacing w:before="120"/>
        <w:rPr>
          <w:rFonts w:ascii="Calibri" w:hAnsi="Calibri"/>
        </w:rPr>
      </w:pPr>
      <w:r w:rsidRPr="005C3EC8">
        <w:rPr>
          <w:rFonts w:ascii="Calibri" w:hAnsi="Calibri"/>
        </w:rPr>
        <w:t xml:space="preserve">UKEITI (November 2016), ‘UK EITI Beneficial Ownership Roadmap’, </w:t>
      </w:r>
      <w:proofErr w:type="spellStart"/>
      <w:r w:rsidRPr="005C3EC8">
        <w:rPr>
          <w:rFonts w:ascii="Calibri" w:hAnsi="Calibri"/>
        </w:rPr>
        <w:t>accessed</w:t>
      </w:r>
      <w:r w:rsidR="00E276C7" w:rsidRPr="005C3EC8">
        <w:rPr>
          <w:rStyle w:val="Hyperlink"/>
          <w:rFonts w:ascii="Calibri" w:hAnsi="Calibri" w:cs="Calibri"/>
        </w:rPr>
        <w:t>on</w:t>
      </w:r>
      <w:proofErr w:type="spellEnd"/>
      <w:r w:rsidRPr="005C3EC8">
        <w:rPr>
          <w:rStyle w:val="Hyperlink"/>
          <w:rFonts w:ascii="Calibri" w:hAnsi="Calibri" w:cs="Calibri"/>
        </w:rPr>
        <w:t xml:space="preserve"> </w:t>
      </w:r>
      <w:hyperlink r:id="rId41" w:anchor="uk-eiti-beneficial-ownership-roadmap" w:history="1">
        <w:r w:rsidR="00E276C7" w:rsidRPr="005C3EC8">
          <w:rPr>
            <w:rStyle w:val="Hyperlink"/>
            <w:rFonts w:ascii="Calibri" w:hAnsi="Calibri" w:cs="Calibri"/>
          </w:rPr>
          <w:t>https://www.gov.uk/government/groups/uk-extractive-industries-transparency-initiative-multi-stakeholder-group#uk-eiti-beneficial-ownership-roadmap</w:t>
        </w:r>
      </w:hyperlink>
    </w:p>
    <w:p w14:paraId="59131BE8" w14:textId="55CB47D8" w:rsidR="007F0180" w:rsidRPr="005C3EC8" w:rsidRDefault="007F0180" w:rsidP="007F0180">
      <w:pPr>
        <w:numPr>
          <w:ilvl w:val="0"/>
          <w:numId w:val="4"/>
        </w:numPr>
        <w:spacing w:before="120"/>
        <w:rPr>
          <w:rFonts w:ascii="Calibri" w:hAnsi="Calibri"/>
        </w:rPr>
      </w:pPr>
      <w:r w:rsidRPr="005C3EC8">
        <w:rPr>
          <w:rFonts w:ascii="Calibri" w:hAnsi="Calibri"/>
        </w:rPr>
        <w:t>UKEITI, Beneficial Ownership Guide, accessed</w:t>
      </w:r>
      <w:r w:rsidRPr="005C3EC8">
        <w:rPr>
          <w:rStyle w:val="Hyperlink"/>
          <w:rFonts w:ascii="Calibri" w:hAnsi="Calibri" w:cs="Calibri"/>
        </w:rPr>
        <w:t xml:space="preserve"> </w:t>
      </w:r>
      <w:r w:rsidR="00C43209" w:rsidRPr="005C3EC8">
        <w:rPr>
          <w:rStyle w:val="Hyperlink"/>
          <w:rFonts w:ascii="Calibri" w:hAnsi="Calibri" w:cs="Calibri"/>
        </w:rPr>
        <w:t xml:space="preserve">on </w:t>
      </w:r>
      <w:hyperlink r:id="rId42" w:history="1">
        <w:r w:rsidR="00C43209" w:rsidRPr="005C3EC8">
          <w:rPr>
            <w:rStyle w:val="Hyperlink"/>
            <w:rFonts w:ascii="Calibri" w:hAnsi="Calibri" w:cs="Calibri"/>
          </w:rPr>
          <w:t>https://assets.publishing.service.gov.uk/government/uploads/system/uploads/attachment_data/file/703499/uk-eiti-beneficial-ownership-guide-2017.pdf</w:t>
        </w:r>
      </w:hyperlink>
      <w:r w:rsidR="00C43209" w:rsidRPr="005C3EC8">
        <w:rPr>
          <w:rStyle w:val="Hyperlink"/>
          <w:rFonts w:ascii="Calibri" w:hAnsi="Calibri" w:cs="Calibri"/>
        </w:rPr>
        <w:t xml:space="preserve"> </w:t>
      </w:r>
    </w:p>
    <w:p w14:paraId="1DA694B3" w14:textId="0F46C07F" w:rsidR="00BF3628" w:rsidRPr="005C3EC8" w:rsidRDefault="007F0180" w:rsidP="00BF3628">
      <w:pPr>
        <w:numPr>
          <w:ilvl w:val="0"/>
          <w:numId w:val="4"/>
        </w:numPr>
        <w:spacing w:before="120"/>
        <w:rPr>
          <w:rFonts w:ascii="Calibri" w:hAnsi="Calibri"/>
        </w:rPr>
      </w:pPr>
      <w:r w:rsidRPr="005C3EC8">
        <w:rPr>
          <w:rFonts w:ascii="Calibri" w:hAnsi="Calibri"/>
        </w:rPr>
        <w:t xml:space="preserve">Gov.uk, ‘PSC requirements for companies and limited liability partnerships’, accessed </w:t>
      </w:r>
      <w:r w:rsidR="00C43209" w:rsidRPr="005C3EC8">
        <w:rPr>
          <w:rStyle w:val="Hyperlink"/>
          <w:rFonts w:ascii="Calibri" w:hAnsi="Calibri" w:cs="Calibri"/>
        </w:rPr>
        <w:t xml:space="preserve">on </w:t>
      </w:r>
      <w:hyperlink r:id="rId43" w:history="1">
        <w:r w:rsidR="00C43209" w:rsidRPr="005C3EC8">
          <w:rPr>
            <w:rStyle w:val="Hyperlink"/>
            <w:rFonts w:ascii="Calibri" w:hAnsi="Calibri" w:cs="Calibri"/>
          </w:rPr>
          <w:t>https://www.gov.uk/government/publications/guidance-to-the-people-with-significant-control-requirements-for-companies-and-limited-liability-partnerships</w:t>
        </w:r>
      </w:hyperlink>
      <w:r w:rsidR="00C43209" w:rsidRPr="005C3EC8">
        <w:rPr>
          <w:rStyle w:val="Hyperlink"/>
          <w:rFonts w:ascii="Calibri" w:hAnsi="Calibri" w:cs="Calibri"/>
        </w:rPr>
        <w:t xml:space="preserve"> </w:t>
      </w:r>
    </w:p>
    <w:p w14:paraId="125B35AA" w14:textId="614F4364" w:rsidR="00BF3628" w:rsidRPr="005C3EC8" w:rsidRDefault="00BF3628" w:rsidP="00BF3628">
      <w:pPr>
        <w:numPr>
          <w:ilvl w:val="0"/>
          <w:numId w:val="4"/>
        </w:numPr>
        <w:spacing w:before="120"/>
        <w:rPr>
          <w:rFonts w:ascii="Calibri" w:hAnsi="Calibri"/>
        </w:rPr>
      </w:pPr>
      <w:r w:rsidRPr="005C3EC8">
        <w:rPr>
          <w:rFonts w:ascii="Calibri" w:hAnsi="Calibri"/>
        </w:rPr>
        <w:t xml:space="preserve">UKEITI (June 2015), 2014 annual activity report, accessed </w:t>
      </w:r>
      <w:r w:rsidR="007B2D1B" w:rsidRPr="005C3EC8">
        <w:rPr>
          <w:rStyle w:val="Hyperlink"/>
          <w:rFonts w:ascii="Calibri" w:hAnsi="Calibri" w:cs="Calibri"/>
        </w:rPr>
        <w:t xml:space="preserve">on </w:t>
      </w:r>
      <w:hyperlink r:id="rId44" w:history="1">
        <w:r w:rsidR="007B2D1B" w:rsidRPr="005C3EC8">
          <w:rPr>
            <w:rStyle w:val="Hyperlink"/>
            <w:rFonts w:ascii="Calibri" w:hAnsi="Calibri" w:cs="Calibri"/>
          </w:rPr>
          <w:t>https://assets.publishing.service.gov.uk/government/uploads/system/uploads/attachment_data/file/438681/UK_EITI_Annual_Activity_Report_2014.pdf</w:t>
        </w:r>
      </w:hyperlink>
      <w:r w:rsidR="007B2D1B" w:rsidRPr="005C3EC8">
        <w:rPr>
          <w:rStyle w:val="Hyperlink"/>
          <w:rFonts w:ascii="Calibri" w:hAnsi="Calibri" w:cs="Calibri"/>
        </w:rPr>
        <w:t xml:space="preserve"> </w:t>
      </w:r>
    </w:p>
    <w:p w14:paraId="47DCB305" w14:textId="049C6135" w:rsidR="00BF3628" w:rsidRPr="005C3EC8" w:rsidRDefault="00BF3628" w:rsidP="00BF3628">
      <w:pPr>
        <w:numPr>
          <w:ilvl w:val="0"/>
          <w:numId w:val="4"/>
        </w:numPr>
        <w:spacing w:before="120"/>
        <w:rPr>
          <w:rFonts w:ascii="Calibri" w:hAnsi="Calibri"/>
        </w:rPr>
      </w:pPr>
      <w:r w:rsidRPr="005C3EC8">
        <w:rPr>
          <w:rFonts w:ascii="Calibri" w:hAnsi="Calibri"/>
        </w:rPr>
        <w:t xml:space="preserve">UKEITI (June 2016), 2015 annual activity report, accessed </w:t>
      </w:r>
      <w:r w:rsidR="007B2D1B" w:rsidRPr="005C3EC8">
        <w:rPr>
          <w:rFonts w:ascii="Calibri" w:hAnsi="Calibri"/>
        </w:rPr>
        <w:t xml:space="preserve">on </w:t>
      </w:r>
      <w:hyperlink r:id="rId45" w:history="1">
        <w:r w:rsidR="007B2D1B" w:rsidRPr="005C3EC8">
          <w:rPr>
            <w:rStyle w:val="Hyperlink"/>
            <w:rFonts w:ascii="Calibri" w:hAnsi="Calibri" w:cs="Calibri"/>
          </w:rPr>
          <w:t>https://assets.publishing.service.gov.uk/government/uploads/system/uploads/attachment_data/file/537373/eiti-aar-2015-final.pdf</w:t>
        </w:r>
      </w:hyperlink>
      <w:r w:rsidR="007B2D1B" w:rsidRPr="005C3EC8">
        <w:rPr>
          <w:rFonts w:ascii="Calibri" w:hAnsi="Calibri"/>
        </w:rPr>
        <w:t xml:space="preserve"> </w:t>
      </w:r>
    </w:p>
    <w:p w14:paraId="705D3BD9" w14:textId="0D853D9D" w:rsidR="00BF3628" w:rsidRPr="005C3EC8" w:rsidRDefault="00BF3628" w:rsidP="00BF3628">
      <w:pPr>
        <w:numPr>
          <w:ilvl w:val="0"/>
          <w:numId w:val="4"/>
        </w:numPr>
        <w:spacing w:before="120"/>
        <w:rPr>
          <w:rFonts w:ascii="Calibri" w:hAnsi="Calibri"/>
        </w:rPr>
      </w:pPr>
      <w:r w:rsidRPr="005C3EC8">
        <w:rPr>
          <w:rFonts w:ascii="Calibri" w:hAnsi="Calibri"/>
        </w:rPr>
        <w:t>UKEITI (June 2017), 2016 annual progress report, accessed</w:t>
      </w:r>
      <w:r w:rsidRPr="005C3EC8">
        <w:rPr>
          <w:rStyle w:val="Hyperlink"/>
          <w:rFonts w:ascii="Calibri" w:hAnsi="Calibri" w:cs="Calibri"/>
        </w:rPr>
        <w:t xml:space="preserve"> </w:t>
      </w:r>
      <w:r w:rsidR="007B2D1B" w:rsidRPr="005C3EC8">
        <w:rPr>
          <w:rStyle w:val="Hyperlink"/>
          <w:rFonts w:ascii="Calibri" w:hAnsi="Calibri" w:cs="Calibri"/>
        </w:rPr>
        <w:t xml:space="preserve">on </w:t>
      </w:r>
      <w:hyperlink r:id="rId46" w:history="1">
        <w:r w:rsidR="007B2D1B" w:rsidRPr="005C3EC8">
          <w:rPr>
            <w:rStyle w:val="Hyperlink"/>
            <w:rFonts w:ascii="Calibri" w:hAnsi="Calibri" w:cs="Calibri"/>
          </w:rPr>
          <w:t>https://assets.publishing.service.gov.uk/government/uploads/system/uploads/attachment_data/file/667231/uk-eiti-progress-report-2016.pdf</w:t>
        </w:r>
      </w:hyperlink>
      <w:r w:rsidR="007B2D1B" w:rsidRPr="005C3EC8">
        <w:rPr>
          <w:rStyle w:val="Hyperlink"/>
          <w:rFonts w:ascii="Calibri" w:hAnsi="Calibri" w:cs="Calibri"/>
        </w:rPr>
        <w:t xml:space="preserve"> </w:t>
      </w:r>
    </w:p>
    <w:p w14:paraId="1DE09CD7" w14:textId="78A75429" w:rsidR="00BF3628" w:rsidRPr="005C3EC8" w:rsidRDefault="00BF3628" w:rsidP="00BF3628">
      <w:pPr>
        <w:numPr>
          <w:ilvl w:val="0"/>
          <w:numId w:val="4"/>
        </w:numPr>
        <w:spacing w:before="120"/>
        <w:rPr>
          <w:rFonts w:ascii="Calibri" w:hAnsi="Calibri"/>
        </w:rPr>
      </w:pPr>
      <w:r w:rsidRPr="005C3EC8">
        <w:rPr>
          <w:rFonts w:ascii="Calibri" w:hAnsi="Calibri"/>
        </w:rPr>
        <w:t xml:space="preserve">UKEITI (June 2018), 2017 annual progress report, accessed </w:t>
      </w:r>
      <w:r w:rsidR="007B2D1B" w:rsidRPr="005C3EC8">
        <w:rPr>
          <w:rFonts w:ascii="Calibri" w:hAnsi="Calibri"/>
        </w:rPr>
        <w:t xml:space="preserve">on </w:t>
      </w:r>
      <w:hyperlink r:id="rId47" w:history="1">
        <w:r w:rsidR="007B2D1B" w:rsidRPr="005C3EC8">
          <w:rPr>
            <w:rStyle w:val="Hyperlink"/>
            <w:rFonts w:ascii="Calibri" w:hAnsi="Calibri" w:cs="Calibri"/>
          </w:rPr>
          <w:t>https://assets.publishing.service.gov.uk/government/uploads/system/uploads/attachment_data/file/720851/uk-eiti-progress-report-2017.pdf</w:t>
        </w:r>
      </w:hyperlink>
      <w:r w:rsidR="007B2D1B" w:rsidRPr="005C3EC8">
        <w:rPr>
          <w:rFonts w:ascii="Calibri" w:hAnsi="Calibri"/>
        </w:rPr>
        <w:t xml:space="preserve"> </w:t>
      </w:r>
    </w:p>
    <w:p w14:paraId="74DC0725" w14:textId="6593206B" w:rsidR="00BF3628" w:rsidRPr="005C3EC8" w:rsidRDefault="00F55AC9" w:rsidP="00BF3628">
      <w:pPr>
        <w:numPr>
          <w:ilvl w:val="0"/>
          <w:numId w:val="4"/>
        </w:numPr>
        <w:spacing w:before="120"/>
        <w:rPr>
          <w:rFonts w:ascii="Calibri" w:hAnsi="Calibri"/>
        </w:rPr>
      </w:pPr>
      <w:r w:rsidRPr="005C3EC8">
        <w:t xml:space="preserve">Gov.uk, ‘Guidance: Extractive Industries Transparency Initiative’, accessed </w:t>
      </w:r>
      <w:r w:rsidR="007B2D1B" w:rsidRPr="005C3EC8">
        <w:t xml:space="preserve">on </w:t>
      </w:r>
      <w:hyperlink r:id="rId48" w:history="1">
        <w:r w:rsidR="007B2D1B" w:rsidRPr="005C3EC8">
          <w:rPr>
            <w:rStyle w:val="Hyperlink"/>
            <w:rFonts w:cs="Calibri"/>
          </w:rPr>
          <w:t>https://www.gov.uk/guidance/extractive-industries-transparency-initiative</w:t>
        </w:r>
      </w:hyperlink>
      <w:r w:rsidR="007B2D1B" w:rsidRPr="005C3EC8">
        <w:t xml:space="preserve"> </w:t>
      </w:r>
    </w:p>
    <w:p w14:paraId="746C226D" w14:textId="6A3E04A2" w:rsidR="00112D9C" w:rsidRPr="005C3EC8" w:rsidRDefault="006D6F48" w:rsidP="00A212D6">
      <w:pPr>
        <w:pStyle w:val="Heading2notindexed"/>
      </w:pPr>
      <w:r w:rsidRPr="005C3EC8">
        <w:t>EITI Reports, Summaries, Validation Report and Secretariat Review:</w:t>
      </w:r>
    </w:p>
    <w:p w14:paraId="547C3E3A" w14:textId="20A4554E" w:rsidR="00BF3628" w:rsidRPr="005C3EC8" w:rsidRDefault="00BF3628" w:rsidP="00A212D6">
      <w:pPr>
        <w:numPr>
          <w:ilvl w:val="0"/>
          <w:numId w:val="4"/>
        </w:numPr>
        <w:spacing w:before="120"/>
        <w:rPr>
          <w:rFonts w:ascii="Calibri" w:hAnsi="Calibri"/>
        </w:rPr>
      </w:pPr>
      <w:r w:rsidRPr="005C3EC8">
        <w:t xml:space="preserve">UK EITI webpage, Reports section, accessed </w:t>
      </w:r>
      <w:r w:rsidR="007B2D1B" w:rsidRPr="005C3EC8">
        <w:t xml:space="preserve">on </w:t>
      </w:r>
      <w:hyperlink r:id="rId49" w:anchor="reports" w:history="1">
        <w:r w:rsidR="007B2D1B" w:rsidRPr="005C3EC8">
          <w:rPr>
            <w:rStyle w:val="Hyperlink"/>
            <w:rFonts w:cs="Calibri"/>
          </w:rPr>
          <w:t>https://www.gov.uk/government/groups/uk-extractive-industries-transparency-initiative-multi-stakeholder-group#reports</w:t>
        </w:r>
      </w:hyperlink>
      <w:r w:rsidR="007B2D1B" w:rsidRPr="005C3EC8">
        <w:t xml:space="preserve"> </w:t>
      </w:r>
    </w:p>
    <w:p w14:paraId="613517C0" w14:textId="28AFFDF8" w:rsidR="001A1B77" w:rsidRPr="005C3EC8" w:rsidRDefault="001A1B77" w:rsidP="00A212D6">
      <w:pPr>
        <w:numPr>
          <w:ilvl w:val="0"/>
          <w:numId w:val="4"/>
        </w:numPr>
        <w:spacing w:before="120"/>
        <w:rPr>
          <w:rFonts w:ascii="Calibri" w:hAnsi="Calibri"/>
        </w:rPr>
      </w:pPr>
      <w:r w:rsidRPr="005C3EC8">
        <w:lastRenderedPageBreak/>
        <w:t>EITI website, UK country page, accessed</w:t>
      </w:r>
      <w:r w:rsidRPr="005C3EC8">
        <w:rPr>
          <w:rStyle w:val="Hyperlink"/>
          <w:rFonts w:cstheme="minorBidi"/>
        </w:rPr>
        <w:t xml:space="preserve"> </w:t>
      </w:r>
      <w:r w:rsidR="007B2D1B" w:rsidRPr="005C3EC8">
        <w:rPr>
          <w:rStyle w:val="Hyperlink"/>
          <w:rFonts w:cstheme="minorBidi"/>
        </w:rPr>
        <w:t xml:space="preserve">on </w:t>
      </w:r>
      <w:hyperlink r:id="rId50" w:anchor="revenue-collection" w:history="1">
        <w:r w:rsidR="007B2D1B" w:rsidRPr="005C3EC8">
          <w:rPr>
            <w:rStyle w:val="Hyperlink"/>
            <w:rFonts w:cstheme="minorBidi"/>
          </w:rPr>
          <w:t>https://eiti.org/united-kingdom#revenue-collection</w:t>
        </w:r>
      </w:hyperlink>
      <w:r w:rsidR="007B2D1B" w:rsidRPr="005C3EC8">
        <w:rPr>
          <w:rStyle w:val="Hyperlink"/>
          <w:rFonts w:cstheme="minorBidi"/>
        </w:rPr>
        <w:t xml:space="preserve"> </w:t>
      </w:r>
    </w:p>
    <w:p w14:paraId="3671BCAC" w14:textId="6736A058" w:rsidR="00216A3B" w:rsidRPr="005C3EC8" w:rsidRDefault="00216A3B" w:rsidP="00A212D6">
      <w:pPr>
        <w:numPr>
          <w:ilvl w:val="0"/>
          <w:numId w:val="4"/>
        </w:numPr>
        <w:spacing w:before="120"/>
        <w:rPr>
          <w:rFonts w:ascii="Calibri" w:hAnsi="Calibri"/>
        </w:rPr>
      </w:pPr>
      <w:r w:rsidRPr="005C3EC8">
        <w:rPr>
          <w:rFonts w:ascii="Calibri" w:hAnsi="Calibri"/>
        </w:rPr>
        <w:t>UK EITI</w:t>
      </w:r>
      <w:r w:rsidRPr="005C3EC8">
        <w:t xml:space="preserve"> (15 April 2016), ‘Extractive Industries Transparency Initiative: payments report, 2014’, accessed </w:t>
      </w:r>
      <w:r w:rsidR="007B2D1B" w:rsidRPr="005C3EC8">
        <w:t xml:space="preserve">on </w:t>
      </w:r>
      <w:hyperlink r:id="rId51" w:history="1">
        <w:r w:rsidR="007B2D1B" w:rsidRPr="005C3EC8">
          <w:rPr>
            <w:rStyle w:val="Hyperlink"/>
            <w:rFonts w:cs="Calibri"/>
          </w:rPr>
          <w:t>https://www.gov.uk/government/publications/extractive-industries-transparency-initiative-payments-report-2014</w:t>
        </w:r>
      </w:hyperlink>
      <w:r w:rsidR="007B2D1B" w:rsidRPr="005C3EC8">
        <w:t xml:space="preserve"> </w:t>
      </w:r>
    </w:p>
    <w:p w14:paraId="42D9A1C6" w14:textId="68C2B4BE" w:rsidR="00F55AC9" w:rsidRPr="005C3EC8" w:rsidRDefault="00F55AC9" w:rsidP="00A212D6">
      <w:pPr>
        <w:numPr>
          <w:ilvl w:val="0"/>
          <w:numId w:val="4"/>
        </w:numPr>
        <w:spacing w:before="120"/>
        <w:rPr>
          <w:rFonts w:ascii="Calibri" w:hAnsi="Calibri"/>
        </w:rPr>
      </w:pPr>
      <w:r w:rsidRPr="005C3EC8">
        <w:rPr>
          <w:rFonts w:ascii="Calibri" w:hAnsi="Calibri"/>
        </w:rPr>
        <w:t>UK EITI</w:t>
      </w:r>
      <w:r w:rsidRPr="005C3EC8">
        <w:t xml:space="preserve"> (31 March 2017), ‘Extractive Industries Transparency Initiative: payments report, 2015’, accessed </w:t>
      </w:r>
      <w:r w:rsidR="007B2D1B" w:rsidRPr="005C3EC8">
        <w:t xml:space="preserve">on </w:t>
      </w:r>
      <w:hyperlink r:id="rId52" w:history="1">
        <w:r w:rsidR="007B2D1B" w:rsidRPr="005C3EC8">
          <w:rPr>
            <w:rStyle w:val="Hyperlink"/>
            <w:rFonts w:cs="Calibri"/>
          </w:rPr>
          <w:t>https://www.gov.uk/government/publications/extractive-industries-transparency-initiative-payments-report-2015</w:t>
        </w:r>
      </w:hyperlink>
      <w:r w:rsidR="007B2D1B" w:rsidRPr="005C3EC8">
        <w:t xml:space="preserve"> </w:t>
      </w:r>
      <w:r w:rsidR="007B2D1B" w:rsidRPr="005C3EC8">
        <w:rPr>
          <w:rStyle w:val="Hyperlink"/>
          <w:rFonts w:cstheme="minorBidi"/>
        </w:rPr>
        <w:t xml:space="preserve"> </w:t>
      </w:r>
    </w:p>
    <w:p w14:paraId="58996CE0" w14:textId="22C97948" w:rsidR="00A212D6" w:rsidRPr="005C3EC8" w:rsidRDefault="00216A3B" w:rsidP="00A212D6">
      <w:pPr>
        <w:numPr>
          <w:ilvl w:val="0"/>
          <w:numId w:val="4"/>
        </w:numPr>
        <w:spacing w:before="120"/>
        <w:rPr>
          <w:rFonts w:ascii="Calibri" w:hAnsi="Calibri"/>
        </w:rPr>
      </w:pPr>
      <w:r w:rsidRPr="005C3EC8">
        <w:rPr>
          <w:rFonts w:ascii="Calibri" w:hAnsi="Calibri"/>
        </w:rPr>
        <w:t>UK EITI</w:t>
      </w:r>
      <w:r w:rsidRPr="005C3EC8">
        <w:t xml:space="preserve"> (30 April 2018), ‘Extractive Industries Transparency Initiative: payments report, 2016’, accessed</w:t>
      </w:r>
      <w:r w:rsidRPr="005C3EC8">
        <w:rPr>
          <w:rStyle w:val="Hyperlink"/>
          <w:rFonts w:cstheme="minorBidi"/>
        </w:rPr>
        <w:t xml:space="preserve"> </w:t>
      </w:r>
      <w:r w:rsidR="007B2D1B" w:rsidRPr="005C3EC8">
        <w:rPr>
          <w:rStyle w:val="Hyperlink"/>
          <w:rFonts w:cstheme="minorBidi"/>
        </w:rPr>
        <w:t xml:space="preserve">on </w:t>
      </w:r>
      <w:hyperlink r:id="rId53" w:history="1">
        <w:r w:rsidR="007B2D1B" w:rsidRPr="005C3EC8">
          <w:rPr>
            <w:rStyle w:val="Hyperlink"/>
            <w:rFonts w:cstheme="minorBidi"/>
          </w:rPr>
          <w:t>https://www.gov.uk/government/publications/extractive-industries-transparency-initiative-payments-report-2016</w:t>
        </w:r>
      </w:hyperlink>
      <w:r w:rsidR="007B2D1B" w:rsidRPr="005C3EC8">
        <w:rPr>
          <w:rStyle w:val="Hyperlink"/>
          <w:rFonts w:cstheme="minorBidi"/>
        </w:rPr>
        <w:t xml:space="preserve"> </w:t>
      </w:r>
    </w:p>
    <w:p w14:paraId="15029A41" w14:textId="228B2618" w:rsidR="00A212D6" w:rsidRPr="005C3EC8" w:rsidRDefault="00A212D6" w:rsidP="00A212D6">
      <w:pPr>
        <w:numPr>
          <w:ilvl w:val="0"/>
          <w:numId w:val="4"/>
        </w:numPr>
        <w:spacing w:before="120"/>
        <w:rPr>
          <w:rFonts w:ascii="Calibri" w:hAnsi="Calibri"/>
        </w:rPr>
      </w:pPr>
      <w:r w:rsidRPr="005C3EC8">
        <w:rPr>
          <w:rFonts w:ascii="Calibri" w:hAnsi="Calibri"/>
        </w:rPr>
        <w:t xml:space="preserve">UK EITI (June 2018), ‘UK Extractive Industries Transparency Initiative (UK EITI) report 2016: supplementary information’, accessed </w:t>
      </w:r>
      <w:r w:rsidR="007B2D1B" w:rsidRPr="005C3EC8">
        <w:rPr>
          <w:rFonts w:ascii="Calibri" w:hAnsi="Calibri"/>
        </w:rPr>
        <w:t xml:space="preserve">on </w:t>
      </w:r>
      <w:hyperlink r:id="rId54" w:history="1">
        <w:r w:rsidR="007B2D1B" w:rsidRPr="005C3EC8">
          <w:rPr>
            <w:rStyle w:val="Hyperlink"/>
            <w:rFonts w:ascii="Calibri" w:hAnsi="Calibri" w:cs="Calibri"/>
          </w:rPr>
          <w:t>https://assets.publishing.service.gov.uk/government/uploads/system/uploads/attachment_data/file/723625/uk-eiti-payments-report-2016-supplementary-information.pdf</w:t>
        </w:r>
      </w:hyperlink>
      <w:r w:rsidR="007B2D1B" w:rsidRPr="005C3EC8">
        <w:rPr>
          <w:rFonts w:ascii="Calibri" w:hAnsi="Calibri"/>
        </w:rPr>
        <w:t xml:space="preserve"> </w:t>
      </w:r>
      <w:r w:rsidR="007B2D1B" w:rsidRPr="005C3EC8">
        <w:rPr>
          <w:rStyle w:val="Hyperlink"/>
          <w:rFonts w:ascii="Calibri" w:hAnsi="Calibri" w:cs="Calibri"/>
        </w:rPr>
        <w:t xml:space="preserve"> </w:t>
      </w:r>
    </w:p>
    <w:p w14:paraId="15559824" w14:textId="15B4CD58" w:rsidR="00BF3628" w:rsidRPr="005C3EC8" w:rsidRDefault="00A212D6" w:rsidP="00BF3628">
      <w:pPr>
        <w:numPr>
          <w:ilvl w:val="0"/>
          <w:numId w:val="4"/>
        </w:numPr>
        <w:spacing w:before="120"/>
        <w:rPr>
          <w:rFonts w:ascii="Calibri" w:hAnsi="Calibri"/>
        </w:rPr>
      </w:pPr>
      <w:r w:rsidRPr="005C3EC8">
        <w:rPr>
          <w:rFonts w:ascii="Calibri" w:hAnsi="Calibri"/>
        </w:rPr>
        <w:t xml:space="preserve">UKEITI (May 2018), ‘Data on project-level extractive-related payments to The Crown Estate by mining and quarrying companies in 2016’, accessed </w:t>
      </w:r>
      <w:r w:rsidR="007B2D1B" w:rsidRPr="005C3EC8">
        <w:rPr>
          <w:rFonts w:ascii="Calibri" w:hAnsi="Calibri"/>
        </w:rPr>
        <w:t xml:space="preserve">on </w:t>
      </w:r>
      <w:hyperlink r:id="rId55" w:history="1">
        <w:r w:rsidR="007B2D1B" w:rsidRPr="005C3EC8">
          <w:rPr>
            <w:rStyle w:val="Hyperlink"/>
            <w:rFonts w:ascii="Calibri" w:hAnsi="Calibri" w:cs="Calibri"/>
          </w:rPr>
          <w:t>https://www.gov.uk/government/uploads/system/uploads/attachment_data/file/703223/eiti-2016-crown-mining-quarrying.CSV/preview</w:t>
        </w:r>
      </w:hyperlink>
      <w:r w:rsidR="007B2D1B" w:rsidRPr="005C3EC8">
        <w:rPr>
          <w:rFonts w:ascii="Calibri" w:hAnsi="Calibri"/>
        </w:rPr>
        <w:t xml:space="preserve"> </w:t>
      </w:r>
    </w:p>
    <w:p w14:paraId="6AFEC7CE" w14:textId="73E05BB3" w:rsidR="00BF3628" w:rsidRPr="005C3EC8" w:rsidRDefault="00BF3628" w:rsidP="00BF3628">
      <w:pPr>
        <w:numPr>
          <w:ilvl w:val="0"/>
          <w:numId w:val="4"/>
        </w:numPr>
        <w:spacing w:before="120"/>
        <w:rPr>
          <w:rFonts w:ascii="Calibri" w:hAnsi="Calibri"/>
        </w:rPr>
      </w:pPr>
      <w:r w:rsidRPr="005C3EC8">
        <w:rPr>
          <w:rFonts w:ascii="Calibri" w:hAnsi="Calibri"/>
        </w:rPr>
        <w:t xml:space="preserve">UKEITI (May 2018), ‘Data on reconciled extractive payments by oil and gas companies by revenue stream in 2016’, accessed </w:t>
      </w:r>
      <w:r w:rsidR="007B2D1B" w:rsidRPr="005C3EC8">
        <w:rPr>
          <w:rFonts w:ascii="Calibri" w:hAnsi="Calibri"/>
        </w:rPr>
        <w:t xml:space="preserve">on </w:t>
      </w:r>
      <w:hyperlink r:id="rId56" w:history="1">
        <w:r w:rsidR="007B2D1B" w:rsidRPr="005C3EC8">
          <w:rPr>
            <w:rStyle w:val="Hyperlink"/>
            <w:rFonts w:ascii="Calibri" w:hAnsi="Calibri" w:cs="Calibri"/>
          </w:rPr>
          <w:t>https://www.gov.uk/government/uploads/system/uploads/attachment_data/file/703211/eiti-2016-oil-gas.csv/preview</w:t>
        </w:r>
      </w:hyperlink>
      <w:r w:rsidR="007B2D1B" w:rsidRPr="005C3EC8">
        <w:rPr>
          <w:rFonts w:ascii="Calibri" w:hAnsi="Calibri"/>
        </w:rPr>
        <w:t xml:space="preserve"> </w:t>
      </w:r>
    </w:p>
    <w:p w14:paraId="2A7318C9" w14:textId="52BFDAC0" w:rsidR="00BF3628" w:rsidRPr="005C3EC8" w:rsidRDefault="00BF3628" w:rsidP="00BF3628">
      <w:pPr>
        <w:numPr>
          <w:ilvl w:val="0"/>
          <w:numId w:val="4"/>
        </w:numPr>
        <w:spacing w:before="120"/>
        <w:rPr>
          <w:rFonts w:ascii="Calibri" w:hAnsi="Calibri"/>
        </w:rPr>
      </w:pPr>
      <w:r w:rsidRPr="005C3EC8">
        <w:rPr>
          <w:rFonts w:ascii="Calibri" w:hAnsi="Calibri"/>
        </w:rPr>
        <w:t xml:space="preserve">UKEITI (May 2018), ‘Data on reconciled extractive payments by other mining and quarrying companies by revenue stream in 2016’, accessed </w:t>
      </w:r>
      <w:r w:rsidR="007B2D1B" w:rsidRPr="005C3EC8">
        <w:rPr>
          <w:rFonts w:ascii="Calibri" w:hAnsi="Calibri"/>
        </w:rPr>
        <w:t xml:space="preserve">on </w:t>
      </w:r>
      <w:hyperlink r:id="rId57" w:history="1">
        <w:r w:rsidR="007B2D1B" w:rsidRPr="005C3EC8">
          <w:rPr>
            <w:rStyle w:val="Hyperlink"/>
            <w:rFonts w:ascii="Calibri" w:hAnsi="Calibri" w:cs="Calibri"/>
          </w:rPr>
          <w:t>https://www.gov.uk/government/uploads/system/uploads/attachment_data/file/703213/eiti-2016-mining-quarrying.csv/preview</w:t>
        </w:r>
      </w:hyperlink>
      <w:r w:rsidR="007B2D1B" w:rsidRPr="005C3EC8">
        <w:rPr>
          <w:rFonts w:ascii="Calibri" w:hAnsi="Calibri"/>
        </w:rPr>
        <w:t xml:space="preserve"> </w:t>
      </w:r>
    </w:p>
    <w:p w14:paraId="3C2224AA" w14:textId="1E44262F" w:rsidR="00BF3628" w:rsidRPr="005C3EC8" w:rsidRDefault="00BF3628" w:rsidP="00BF3628">
      <w:pPr>
        <w:numPr>
          <w:ilvl w:val="0"/>
          <w:numId w:val="4"/>
        </w:numPr>
        <w:spacing w:before="120"/>
        <w:rPr>
          <w:rFonts w:ascii="Calibri" w:hAnsi="Calibri"/>
        </w:rPr>
      </w:pPr>
      <w:r w:rsidRPr="005C3EC8">
        <w:rPr>
          <w:rFonts w:ascii="Calibri" w:hAnsi="Calibri"/>
        </w:rPr>
        <w:t xml:space="preserve">UKEITI (May 2018), ‘Data on payments of petroleum licence fees by licence in 2016 (as reported by OGA)’, accessed </w:t>
      </w:r>
      <w:r w:rsidR="007B2D1B" w:rsidRPr="005C3EC8">
        <w:rPr>
          <w:rFonts w:ascii="Calibri" w:hAnsi="Calibri"/>
        </w:rPr>
        <w:t xml:space="preserve">on </w:t>
      </w:r>
      <w:hyperlink r:id="rId58" w:history="1">
        <w:r w:rsidR="007B2D1B" w:rsidRPr="005C3EC8">
          <w:rPr>
            <w:rStyle w:val="Hyperlink"/>
            <w:rFonts w:ascii="Calibri" w:hAnsi="Calibri" w:cs="Calibri"/>
          </w:rPr>
          <w:t>https://www.gov.uk/government/uploads/system/uploads/attachment_data/file/703214/eiti-2016-petroleum-licence-fees.CSV/preview</w:t>
        </w:r>
      </w:hyperlink>
      <w:r w:rsidR="007B2D1B" w:rsidRPr="005C3EC8">
        <w:rPr>
          <w:rFonts w:ascii="Calibri" w:hAnsi="Calibri"/>
        </w:rPr>
        <w:t xml:space="preserve"> </w:t>
      </w:r>
    </w:p>
    <w:p w14:paraId="70D2F460" w14:textId="58820675" w:rsidR="00BF3628" w:rsidRPr="005C3EC8" w:rsidRDefault="00BF3628" w:rsidP="00BF3628">
      <w:pPr>
        <w:numPr>
          <w:ilvl w:val="0"/>
          <w:numId w:val="4"/>
        </w:numPr>
        <w:spacing w:before="120"/>
        <w:rPr>
          <w:rFonts w:ascii="Calibri" w:hAnsi="Calibri"/>
        </w:rPr>
      </w:pPr>
      <w:r w:rsidRPr="005C3EC8">
        <w:rPr>
          <w:rFonts w:ascii="Calibri" w:hAnsi="Calibri"/>
        </w:rPr>
        <w:t>UKEITI (May 2018), ‘Data on payments of petroleum revenue tax by field in 2016 (as reported by HMRC)’, accesse</w:t>
      </w:r>
      <w:r w:rsidR="007B2D1B" w:rsidRPr="005C3EC8">
        <w:rPr>
          <w:rFonts w:ascii="Calibri" w:hAnsi="Calibri"/>
        </w:rPr>
        <w:t xml:space="preserve">d on </w:t>
      </w:r>
      <w:hyperlink r:id="rId59" w:history="1">
        <w:r w:rsidR="007B2D1B" w:rsidRPr="005C3EC8">
          <w:rPr>
            <w:rStyle w:val="Hyperlink"/>
            <w:rFonts w:ascii="Calibri" w:hAnsi="Calibri" w:cs="Calibri"/>
          </w:rPr>
          <w:t>https://www.gov.uk/government/uploads/system/uploads/attachment_data/file/703214/eiti-</w:t>
        </w:r>
        <w:r w:rsidR="007B2D1B" w:rsidRPr="005C3EC8">
          <w:rPr>
            <w:rStyle w:val="Hyperlink"/>
            <w:rFonts w:ascii="Calibri" w:hAnsi="Calibri" w:cs="Calibri"/>
          </w:rPr>
          <w:lastRenderedPageBreak/>
          <w:t>2016-petroleum-licence-fees.CSV/preview</w:t>
        </w:r>
      </w:hyperlink>
      <w:r w:rsidR="007B2D1B" w:rsidRPr="005C3EC8">
        <w:rPr>
          <w:rFonts w:ascii="Calibri" w:hAnsi="Calibri"/>
        </w:rPr>
        <w:t xml:space="preserve"> </w:t>
      </w:r>
    </w:p>
    <w:p w14:paraId="48113D7D" w14:textId="232CE113" w:rsidR="00BF3628" w:rsidRPr="005C3EC8" w:rsidRDefault="00BF3628" w:rsidP="00BF3628">
      <w:pPr>
        <w:numPr>
          <w:ilvl w:val="0"/>
          <w:numId w:val="4"/>
        </w:numPr>
        <w:spacing w:before="120"/>
        <w:rPr>
          <w:rFonts w:ascii="Calibri" w:hAnsi="Calibri"/>
        </w:rPr>
      </w:pPr>
      <w:r w:rsidRPr="005C3EC8">
        <w:rPr>
          <w:rFonts w:ascii="Calibri" w:hAnsi="Calibri"/>
        </w:rPr>
        <w:t>UKEITI (May 2018), ‘Data on project-level extractive-related payments to The Crown Estate by oil and gas companies in 2016’, accesse</w:t>
      </w:r>
      <w:r w:rsidR="007B2D1B" w:rsidRPr="005C3EC8">
        <w:rPr>
          <w:rFonts w:ascii="Calibri" w:hAnsi="Calibri"/>
        </w:rPr>
        <w:t xml:space="preserve">d on </w:t>
      </w:r>
      <w:hyperlink r:id="rId60" w:history="1">
        <w:r w:rsidR="007B2D1B" w:rsidRPr="005C3EC8">
          <w:rPr>
            <w:rStyle w:val="Hyperlink"/>
            <w:rFonts w:ascii="Calibri" w:hAnsi="Calibri" w:cs="Calibri"/>
          </w:rPr>
          <w:t>https://www.gov.uk/government/uploads/system/uploads/attachment_data/file/703214/eiti-2016-petroleum-licence-fees.CSV/preview</w:t>
        </w:r>
      </w:hyperlink>
      <w:r w:rsidR="007B2D1B" w:rsidRPr="005C3EC8">
        <w:rPr>
          <w:rFonts w:ascii="Calibri" w:hAnsi="Calibri"/>
        </w:rPr>
        <w:t xml:space="preserve"> </w:t>
      </w:r>
    </w:p>
    <w:p w14:paraId="3C40C0AC" w14:textId="6271C301" w:rsidR="00BF3628" w:rsidRPr="005C3EC8" w:rsidRDefault="00BF3628" w:rsidP="00BF3628">
      <w:pPr>
        <w:numPr>
          <w:ilvl w:val="0"/>
          <w:numId w:val="4"/>
        </w:numPr>
        <w:spacing w:before="120"/>
        <w:rPr>
          <w:rFonts w:ascii="Calibri" w:hAnsi="Calibri"/>
        </w:rPr>
      </w:pPr>
      <w:r w:rsidRPr="005C3EC8">
        <w:rPr>
          <w:rFonts w:ascii="Calibri" w:hAnsi="Calibri"/>
        </w:rPr>
        <w:t xml:space="preserve">UKEITI (May 2018), ‘Data on project-level extractive-related payments to The Crown Estate by mining and quarrying companies in 2016’, accessed </w:t>
      </w:r>
      <w:r w:rsidR="007B2D1B" w:rsidRPr="005C3EC8">
        <w:rPr>
          <w:rFonts w:ascii="Calibri" w:hAnsi="Calibri"/>
        </w:rPr>
        <w:t xml:space="preserve">on </w:t>
      </w:r>
      <w:hyperlink r:id="rId61" w:history="1">
        <w:r w:rsidR="007B2D1B" w:rsidRPr="005C3EC8">
          <w:rPr>
            <w:rStyle w:val="Hyperlink"/>
            <w:rFonts w:ascii="Calibri" w:hAnsi="Calibri" w:cs="Calibri"/>
          </w:rPr>
          <w:t>https://www.gov.uk/government/uploads/system/uploads/attachment_data/file/703223/eiti-2016-crown-mining-quarrying.CSV/preview</w:t>
        </w:r>
      </w:hyperlink>
      <w:r w:rsidR="007B2D1B" w:rsidRPr="005C3EC8">
        <w:rPr>
          <w:rFonts w:ascii="Calibri" w:hAnsi="Calibri"/>
        </w:rPr>
        <w:t xml:space="preserve"> </w:t>
      </w:r>
    </w:p>
    <w:p w14:paraId="7460336B" w14:textId="75DCFF75" w:rsidR="00BF3628" w:rsidRPr="005C3EC8" w:rsidRDefault="00BF3628" w:rsidP="00A212D6">
      <w:pPr>
        <w:numPr>
          <w:ilvl w:val="0"/>
          <w:numId w:val="4"/>
        </w:numPr>
        <w:spacing w:before="120"/>
        <w:rPr>
          <w:rFonts w:ascii="Calibri" w:hAnsi="Calibri"/>
        </w:rPr>
      </w:pPr>
      <w:r w:rsidRPr="005C3EC8">
        <w:t xml:space="preserve">UKEITI (August 2014), UK EITI Candidature Application, </w:t>
      </w:r>
      <w:proofErr w:type="spellStart"/>
      <w:r w:rsidRPr="005C3EC8">
        <w:t>accesse</w:t>
      </w:r>
      <w:proofErr w:type="spellEnd"/>
      <w:r w:rsidR="007B2D1B" w:rsidRPr="005C3EC8">
        <w:t xml:space="preserve"> on</w:t>
      </w:r>
      <w:r w:rsidRPr="005C3EC8">
        <w:t xml:space="preserve"> </w:t>
      </w:r>
      <w:hyperlink r:id="rId62" w:history="1">
        <w:r w:rsidR="007B2D1B" w:rsidRPr="005C3EC8">
          <w:rPr>
            <w:rStyle w:val="Hyperlink"/>
            <w:rFonts w:cs="Calibri"/>
          </w:rPr>
          <w:t>https://eiti.org/sites/default/files/documents/UK_application.pdf</w:t>
        </w:r>
      </w:hyperlink>
      <w:r w:rsidR="007B2D1B" w:rsidRPr="005C3EC8">
        <w:t xml:space="preserve"> </w:t>
      </w:r>
    </w:p>
    <w:p w14:paraId="0CB7D724" w14:textId="640C03CA" w:rsidR="00112D9C" w:rsidRPr="005C3EC8" w:rsidRDefault="006D6F48" w:rsidP="00BC393C">
      <w:pPr>
        <w:pStyle w:val="Heading2notindexed"/>
      </w:pPr>
      <w:r w:rsidRPr="005C3EC8">
        <w:t xml:space="preserve">Legal documents and </w:t>
      </w:r>
      <w:proofErr w:type="spellStart"/>
      <w:r w:rsidRPr="005C3EC8">
        <w:t>ToRs</w:t>
      </w:r>
      <w:proofErr w:type="spellEnd"/>
      <w:r w:rsidRPr="005C3EC8">
        <w:t xml:space="preserve"> related to EITI implementation:</w:t>
      </w:r>
    </w:p>
    <w:p w14:paraId="2405D5E6" w14:textId="18B0BC38" w:rsidR="00BF3628" w:rsidRPr="005C3EC8" w:rsidRDefault="00BF3628" w:rsidP="00CE3CEA">
      <w:pPr>
        <w:numPr>
          <w:ilvl w:val="0"/>
          <w:numId w:val="4"/>
        </w:numPr>
        <w:spacing w:before="120"/>
        <w:rPr>
          <w:rFonts w:ascii="Calibri" w:hAnsi="Calibri"/>
        </w:rPr>
      </w:pPr>
      <w:r w:rsidRPr="005C3EC8">
        <w:t xml:space="preserve">The Reports on Payments to Governments Regulations 2014, accessed </w:t>
      </w:r>
      <w:r w:rsidR="007B2D1B" w:rsidRPr="005C3EC8">
        <w:t xml:space="preserve">on </w:t>
      </w:r>
      <w:hyperlink r:id="rId63" w:history="1">
        <w:r w:rsidR="007B2D1B" w:rsidRPr="005C3EC8">
          <w:rPr>
            <w:rStyle w:val="Hyperlink"/>
            <w:rFonts w:cs="Calibri"/>
          </w:rPr>
          <w:t>https://www.legislation.gov.uk/ukdsi/2014/9780111122235/contents</w:t>
        </w:r>
      </w:hyperlink>
      <w:r w:rsidR="007B2D1B" w:rsidRPr="005C3EC8">
        <w:t xml:space="preserve"> </w:t>
      </w:r>
    </w:p>
    <w:p w14:paraId="26ABBE7D" w14:textId="7AE7523E" w:rsidR="00BC393C" w:rsidRPr="005C3EC8" w:rsidRDefault="00CE3CEA" w:rsidP="00CE3CEA">
      <w:pPr>
        <w:numPr>
          <w:ilvl w:val="0"/>
          <w:numId w:val="4"/>
        </w:numPr>
        <w:spacing w:before="120"/>
        <w:rPr>
          <w:rFonts w:ascii="Calibri" w:hAnsi="Calibri"/>
        </w:rPr>
      </w:pPr>
      <w:r w:rsidRPr="005C3EC8">
        <w:rPr>
          <w:rFonts w:ascii="Calibri" w:hAnsi="Calibri"/>
        </w:rPr>
        <w:t xml:space="preserve">1998 Petroleum Act, accessed </w:t>
      </w:r>
      <w:r w:rsidR="007B2D1B" w:rsidRPr="005C3EC8">
        <w:rPr>
          <w:rFonts w:ascii="Calibri" w:hAnsi="Calibri"/>
        </w:rPr>
        <w:t xml:space="preserve">on </w:t>
      </w:r>
      <w:hyperlink r:id="rId64" w:history="1">
        <w:r w:rsidR="007B2D1B" w:rsidRPr="005C3EC8">
          <w:rPr>
            <w:rStyle w:val="Hyperlink"/>
            <w:rFonts w:ascii="Calibri" w:hAnsi="Calibri" w:cs="Calibri"/>
          </w:rPr>
          <w:t>http://www.legislation.gov.uk/ukpga/1998/17/contents</w:t>
        </w:r>
      </w:hyperlink>
      <w:r w:rsidR="007B2D1B" w:rsidRPr="005C3EC8">
        <w:rPr>
          <w:rFonts w:ascii="Calibri" w:hAnsi="Calibri"/>
        </w:rPr>
        <w:t xml:space="preserve"> </w:t>
      </w:r>
    </w:p>
    <w:p w14:paraId="30D299E2" w14:textId="579B4E62" w:rsidR="00BC393C" w:rsidRPr="005C3EC8" w:rsidRDefault="00CE3CEA" w:rsidP="00CE3CEA">
      <w:pPr>
        <w:numPr>
          <w:ilvl w:val="0"/>
          <w:numId w:val="4"/>
        </w:numPr>
        <w:spacing w:before="120"/>
        <w:rPr>
          <w:rFonts w:ascii="Calibri" w:hAnsi="Calibri"/>
        </w:rPr>
      </w:pPr>
      <w:r w:rsidRPr="005C3EC8">
        <w:rPr>
          <w:rFonts w:ascii="Calibri" w:hAnsi="Calibri"/>
        </w:rPr>
        <w:t xml:space="preserve">1964 Petroleum (Production) Act (Northern Ireland), accessed </w:t>
      </w:r>
      <w:r w:rsidR="007B2D1B" w:rsidRPr="005C3EC8">
        <w:rPr>
          <w:rFonts w:ascii="Calibri" w:hAnsi="Calibri"/>
        </w:rPr>
        <w:t xml:space="preserve">on </w:t>
      </w:r>
      <w:hyperlink r:id="rId65" w:history="1">
        <w:r w:rsidR="007B2D1B" w:rsidRPr="005C3EC8">
          <w:rPr>
            <w:rStyle w:val="Hyperlink"/>
            <w:rFonts w:ascii="Calibri" w:hAnsi="Calibri" w:cs="Calibri"/>
          </w:rPr>
          <w:t>http://www.legislation.gov.uk/apni/1964/28/contents</w:t>
        </w:r>
      </w:hyperlink>
      <w:r w:rsidR="007B2D1B" w:rsidRPr="005C3EC8">
        <w:rPr>
          <w:rFonts w:ascii="Calibri" w:hAnsi="Calibri"/>
        </w:rPr>
        <w:t xml:space="preserve"> </w:t>
      </w:r>
    </w:p>
    <w:p w14:paraId="1259ED90" w14:textId="54A432EB" w:rsidR="00BC393C" w:rsidRPr="005C3EC8" w:rsidRDefault="00CE3CEA" w:rsidP="00CE3CEA">
      <w:pPr>
        <w:numPr>
          <w:ilvl w:val="0"/>
          <w:numId w:val="4"/>
        </w:numPr>
        <w:spacing w:before="120"/>
        <w:rPr>
          <w:rFonts w:ascii="Calibri" w:hAnsi="Calibri"/>
        </w:rPr>
      </w:pPr>
      <w:r w:rsidRPr="005C3EC8">
        <w:rPr>
          <w:rFonts w:ascii="Calibri" w:hAnsi="Calibri"/>
        </w:rPr>
        <w:t xml:space="preserve">1969 Mineral Development Act (Northern Ireland), accessed </w:t>
      </w:r>
      <w:r w:rsidR="007B2D1B" w:rsidRPr="005C3EC8">
        <w:rPr>
          <w:rFonts w:ascii="Calibri" w:hAnsi="Calibri"/>
        </w:rPr>
        <w:t xml:space="preserve">on </w:t>
      </w:r>
      <w:hyperlink r:id="rId66" w:history="1">
        <w:r w:rsidR="007B2D1B" w:rsidRPr="005C3EC8">
          <w:rPr>
            <w:rStyle w:val="Hyperlink"/>
            <w:rFonts w:ascii="Calibri" w:hAnsi="Calibri" w:cs="Calibri"/>
          </w:rPr>
          <w:t>https://www.legislation.gov.uk/apni/1969/35</w:t>
        </w:r>
      </w:hyperlink>
      <w:r w:rsidR="007B2D1B" w:rsidRPr="005C3EC8">
        <w:rPr>
          <w:rFonts w:ascii="Calibri" w:hAnsi="Calibri"/>
        </w:rPr>
        <w:t xml:space="preserve"> </w:t>
      </w:r>
    </w:p>
    <w:p w14:paraId="7A6D68B9" w14:textId="66C82769" w:rsidR="00BC393C" w:rsidRPr="005C3EC8" w:rsidRDefault="00CE3CEA" w:rsidP="00CE3CEA">
      <w:pPr>
        <w:numPr>
          <w:ilvl w:val="0"/>
          <w:numId w:val="4"/>
        </w:numPr>
        <w:spacing w:before="120"/>
        <w:rPr>
          <w:rFonts w:ascii="Calibri" w:hAnsi="Calibri"/>
        </w:rPr>
      </w:pPr>
      <w:r w:rsidRPr="005C3EC8">
        <w:rPr>
          <w:rFonts w:ascii="Calibri" w:hAnsi="Calibri"/>
        </w:rPr>
        <w:t xml:space="preserve">1975 Oil Taxation Act, accessed </w:t>
      </w:r>
      <w:r w:rsidR="007B2D1B" w:rsidRPr="005C3EC8">
        <w:rPr>
          <w:rFonts w:ascii="Calibri" w:hAnsi="Calibri"/>
        </w:rPr>
        <w:t xml:space="preserve">on </w:t>
      </w:r>
      <w:hyperlink r:id="rId67" w:history="1">
        <w:r w:rsidR="007B2D1B" w:rsidRPr="005C3EC8">
          <w:rPr>
            <w:rStyle w:val="Hyperlink"/>
            <w:rFonts w:ascii="Calibri" w:hAnsi="Calibri" w:cs="Calibri"/>
          </w:rPr>
          <w:t>https://www.legislation.gov.uk/ukpga/1975/22</w:t>
        </w:r>
      </w:hyperlink>
      <w:r w:rsidR="007B2D1B" w:rsidRPr="005C3EC8">
        <w:rPr>
          <w:rFonts w:ascii="Calibri" w:hAnsi="Calibri"/>
        </w:rPr>
        <w:t xml:space="preserve"> </w:t>
      </w:r>
    </w:p>
    <w:p w14:paraId="6BF8232C" w14:textId="09BF146E" w:rsidR="00BC393C" w:rsidRPr="005C3EC8" w:rsidRDefault="00CE3CEA" w:rsidP="00CE3CEA">
      <w:pPr>
        <w:numPr>
          <w:ilvl w:val="0"/>
          <w:numId w:val="4"/>
        </w:numPr>
        <w:spacing w:before="120"/>
        <w:rPr>
          <w:rFonts w:ascii="Calibri" w:hAnsi="Calibri"/>
        </w:rPr>
      </w:pPr>
      <w:r w:rsidRPr="005C3EC8">
        <w:rPr>
          <w:rFonts w:ascii="Calibri" w:hAnsi="Calibri"/>
        </w:rPr>
        <w:t xml:space="preserve">1993 Finance Act, accessed </w:t>
      </w:r>
      <w:r w:rsidR="007B2D1B" w:rsidRPr="005C3EC8">
        <w:rPr>
          <w:rFonts w:ascii="Calibri" w:hAnsi="Calibri"/>
        </w:rPr>
        <w:t xml:space="preserve">on </w:t>
      </w:r>
      <w:hyperlink r:id="rId68" w:history="1">
        <w:r w:rsidR="007B2D1B" w:rsidRPr="005C3EC8">
          <w:rPr>
            <w:rStyle w:val="Hyperlink"/>
            <w:rFonts w:ascii="Calibri" w:hAnsi="Calibri" w:cs="Calibri"/>
          </w:rPr>
          <w:t>http://www.legislation.gov.uk/ukpga/1993/34/contents</w:t>
        </w:r>
      </w:hyperlink>
      <w:r w:rsidR="007B2D1B" w:rsidRPr="005C3EC8">
        <w:rPr>
          <w:rFonts w:ascii="Calibri" w:hAnsi="Calibri"/>
        </w:rPr>
        <w:t xml:space="preserve"> </w:t>
      </w:r>
    </w:p>
    <w:p w14:paraId="2F3F554C" w14:textId="53C64A8F" w:rsidR="00BC393C" w:rsidRPr="005C3EC8" w:rsidRDefault="00CE3CEA" w:rsidP="00CE3CEA">
      <w:pPr>
        <w:numPr>
          <w:ilvl w:val="0"/>
          <w:numId w:val="4"/>
        </w:numPr>
        <w:spacing w:before="120"/>
        <w:rPr>
          <w:rFonts w:ascii="Calibri" w:hAnsi="Calibri"/>
        </w:rPr>
      </w:pPr>
      <w:r w:rsidRPr="005C3EC8">
        <w:rPr>
          <w:rFonts w:ascii="Calibri" w:hAnsi="Calibri"/>
        </w:rPr>
        <w:t>2016 UK Budget, accesse</w:t>
      </w:r>
      <w:r w:rsidR="007B2D1B" w:rsidRPr="005C3EC8">
        <w:rPr>
          <w:rFonts w:ascii="Calibri" w:hAnsi="Calibri"/>
        </w:rPr>
        <w:t xml:space="preserve">d on </w:t>
      </w:r>
      <w:hyperlink r:id="rId69" w:history="1">
        <w:r w:rsidR="007B2D1B" w:rsidRPr="005C3EC8">
          <w:rPr>
            <w:rStyle w:val="Hyperlink"/>
            <w:rFonts w:ascii="Calibri" w:hAnsi="Calibri" w:cs="Calibri"/>
          </w:rPr>
          <w:t>https://www.gov.uk/government/topical-events/budget-2016</w:t>
        </w:r>
      </w:hyperlink>
      <w:r w:rsidR="007B2D1B" w:rsidRPr="005C3EC8">
        <w:rPr>
          <w:rFonts w:ascii="Calibri" w:hAnsi="Calibri"/>
        </w:rPr>
        <w:t xml:space="preserve"> </w:t>
      </w:r>
    </w:p>
    <w:p w14:paraId="328A685C" w14:textId="7F789076" w:rsidR="00BC393C" w:rsidRPr="005C3EC8" w:rsidRDefault="00CE3CEA" w:rsidP="00CE3CEA">
      <w:pPr>
        <w:numPr>
          <w:ilvl w:val="0"/>
          <w:numId w:val="4"/>
        </w:numPr>
        <w:spacing w:before="120"/>
        <w:rPr>
          <w:rFonts w:ascii="Calibri" w:hAnsi="Calibri"/>
        </w:rPr>
      </w:pPr>
      <w:r w:rsidRPr="005C3EC8">
        <w:rPr>
          <w:rFonts w:ascii="Calibri" w:hAnsi="Calibri"/>
        </w:rPr>
        <w:t xml:space="preserve">2015 Small Business, Enterprise and Employment Act, Part 21A: Information about people with significant control, accessed </w:t>
      </w:r>
      <w:r w:rsidR="007B2D1B" w:rsidRPr="005C3EC8">
        <w:rPr>
          <w:rFonts w:ascii="Calibri" w:hAnsi="Calibri"/>
        </w:rPr>
        <w:t xml:space="preserve">on </w:t>
      </w:r>
      <w:hyperlink r:id="rId70" w:history="1">
        <w:r w:rsidR="007B2D1B" w:rsidRPr="005C3EC8">
          <w:rPr>
            <w:rStyle w:val="Hyperlink"/>
            <w:rFonts w:ascii="Calibri" w:hAnsi="Calibri" w:cs="Calibri"/>
          </w:rPr>
          <w:t>http://www.legislation.gov.uk/ukpga/2015/26/schedule/3/enacted</w:t>
        </w:r>
      </w:hyperlink>
      <w:r w:rsidRPr="005C3EC8">
        <w:rPr>
          <w:rFonts w:ascii="Calibri" w:hAnsi="Calibri"/>
        </w:rPr>
        <w:t xml:space="preserve"> </w:t>
      </w:r>
    </w:p>
    <w:p w14:paraId="6D4E7ED0" w14:textId="7E1E072F" w:rsidR="00F55AC9" w:rsidRPr="005C3EC8" w:rsidRDefault="00F55AC9" w:rsidP="00CE3CEA">
      <w:pPr>
        <w:numPr>
          <w:ilvl w:val="0"/>
          <w:numId w:val="4"/>
        </w:numPr>
        <w:spacing w:before="120"/>
        <w:rPr>
          <w:rFonts w:ascii="Calibri" w:hAnsi="Calibri"/>
        </w:rPr>
      </w:pPr>
      <w:r w:rsidRPr="005C3EC8">
        <w:t xml:space="preserve">Miscellaneous Financial Provisions Act 1968, Section 2, accessed </w:t>
      </w:r>
      <w:r w:rsidR="007B2D1B" w:rsidRPr="005C3EC8">
        <w:t xml:space="preserve">on </w:t>
      </w:r>
      <w:hyperlink r:id="rId71" w:history="1">
        <w:r w:rsidR="007B2D1B" w:rsidRPr="005C3EC8">
          <w:rPr>
            <w:rStyle w:val="Hyperlink"/>
            <w:rFonts w:cs="Calibri"/>
          </w:rPr>
          <w:t>http://www.legislation.gov.uk/ukpga/1968/75/section/2</w:t>
        </w:r>
      </w:hyperlink>
      <w:r w:rsidR="007B2D1B" w:rsidRPr="005C3EC8">
        <w:t xml:space="preserve"> </w:t>
      </w:r>
    </w:p>
    <w:p w14:paraId="59803714" w14:textId="6DC1B5C9" w:rsidR="00BC393C" w:rsidRPr="005C3EC8" w:rsidRDefault="00CE3CEA" w:rsidP="00CE3CEA">
      <w:pPr>
        <w:numPr>
          <w:ilvl w:val="0"/>
          <w:numId w:val="4"/>
        </w:numPr>
        <w:spacing w:before="120"/>
        <w:rPr>
          <w:rFonts w:ascii="Calibri" w:hAnsi="Calibri"/>
        </w:rPr>
      </w:pPr>
      <w:r w:rsidRPr="005C3EC8">
        <w:rPr>
          <w:rFonts w:ascii="Calibri" w:hAnsi="Calibri"/>
        </w:rPr>
        <w:lastRenderedPageBreak/>
        <w:t xml:space="preserve">European Parliament and Council of the EU (May 2015), ‘Directive (EU) 2015/849 of the European Parliament and of the Council, on the prevention of the use of the financial system for the purposes of money laundering or terrorist financing’, accessed </w:t>
      </w:r>
      <w:r w:rsidR="007B2D1B" w:rsidRPr="005C3EC8">
        <w:rPr>
          <w:rFonts w:ascii="Calibri" w:hAnsi="Calibri"/>
        </w:rPr>
        <w:t xml:space="preserve">on </w:t>
      </w:r>
      <w:hyperlink r:id="rId72" w:history="1">
        <w:r w:rsidR="007B2D1B" w:rsidRPr="005C3EC8">
          <w:rPr>
            <w:rStyle w:val="Hyperlink"/>
            <w:rFonts w:ascii="Calibri" w:hAnsi="Calibri" w:cs="Calibri"/>
          </w:rPr>
          <w:t>https://eur-lex.europa.eu/legal-content/EN/TXT/PDF/?uri=OJ:JOL_2015_141_R_0003&amp;from=ES</w:t>
        </w:r>
      </w:hyperlink>
      <w:r w:rsidRPr="005C3EC8">
        <w:rPr>
          <w:rFonts w:ascii="Calibri" w:hAnsi="Calibri"/>
        </w:rPr>
        <w:t xml:space="preserve"> </w:t>
      </w:r>
    </w:p>
    <w:p w14:paraId="5BEB1E07" w14:textId="3BF0426A" w:rsidR="00BC393C" w:rsidRPr="005C3EC8" w:rsidRDefault="00CE3CEA" w:rsidP="00CE3CEA">
      <w:pPr>
        <w:numPr>
          <w:ilvl w:val="0"/>
          <w:numId w:val="4"/>
        </w:numPr>
        <w:spacing w:before="120"/>
        <w:rPr>
          <w:rFonts w:ascii="Calibri" w:hAnsi="Calibri"/>
        </w:rPr>
      </w:pPr>
      <w:r w:rsidRPr="005C3EC8">
        <w:rPr>
          <w:rFonts w:ascii="Calibri" w:hAnsi="Calibri"/>
        </w:rPr>
        <w:t>Official Journal of the European Union (20 June 2014), ‘Announcement of United Kingdom 14th Onshore (Landward) Oil and Gas Licensing Round’, accesse</w:t>
      </w:r>
      <w:r w:rsidR="007B2D1B" w:rsidRPr="005C3EC8">
        <w:rPr>
          <w:rFonts w:ascii="Calibri" w:hAnsi="Calibri"/>
        </w:rPr>
        <w:t xml:space="preserve">d on </w:t>
      </w:r>
      <w:hyperlink r:id="rId73" w:history="1">
        <w:r w:rsidR="007B2D1B" w:rsidRPr="005C3EC8">
          <w:rPr>
            <w:rStyle w:val="Hyperlink"/>
            <w:rFonts w:ascii="Calibri" w:hAnsi="Calibri" w:cs="Calibri"/>
          </w:rPr>
          <w:t>https://eur-lex.europa.eu/legal-content/EN/TXT/PDF/?uri=CELEX:52014XG0620(01)&amp;from=EN</w:t>
        </w:r>
      </w:hyperlink>
      <w:r w:rsidRPr="005C3EC8">
        <w:rPr>
          <w:rFonts w:ascii="Calibri" w:hAnsi="Calibri"/>
        </w:rPr>
        <w:t xml:space="preserve"> </w:t>
      </w:r>
    </w:p>
    <w:p w14:paraId="781E655D" w14:textId="5B965E79" w:rsidR="00BC393C" w:rsidRPr="005C3EC8" w:rsidRDefault="00CE3CEA" w:rsidP="00CE3CEA">
      <w:pPr>
        <w:numPr>
          <w:ilvl w:val="0"/>
          <w:numId w:val="4"/>
        </w:numPr>
        <w:spacing w:before="120"/>
        <w:rPr>
          <w:rFonts w:ascii="Calibri" w:hAnsi="Calibri"/>
        </w:rPr>
      </w:pPr>
      <w:r w:rsidRPr="005C3EC8">
        <w:rPr>
          <w:rFonts w:ascii="Calibri" w:hAnsi="Calibri"/>
        </w:rPr>
        <w:t xml:space="preserve">Gov.uk, ‘Oil and gas finance and taxation’, accessed </w:t>
      </w:r>
      <w:r w:rsidR="007B2D1B" w:rsidRPr="005C3EC8">
        <w:rPr>
          <w:rFonts w:ascii="Calibri" w:hAnsi="Calibri"/>
        </w:rPr>
        <w:t xml:space="preserve">on </w:t>
      </w:r>
      <w:hyperlink r:id="rId74" w:history="1">
        <w:r w:rsidR="007B2D1B" w:rsidRPr="005C3EC8">
          <w:rPr>
            <w:rStyle w:val="Hyperlink"/>
            <w:rFonts w:ascii="Calibri" w:hAnsi="Calibri" w:cs="Calibri"/>
          </w:rPr>
          <w:t>https://www.gov.uk/topic/oil-and-gas/finance-and-taxation</w:t>
        </w:r>
      </w:hyperlink>
      <w:r w:rsidR="007B2D1B" w:rsidRPr="005C3EC8">
        <w:rPr>
          <w:rFonts w:ascii="Calibri" w:hAnsi="Calibri"/>
        </w:rPr>
        <w:t xml:space="preserve"> </w:t>
      </w:r>
    </w:p>
    <w:p w14:paraId="7F7A48C2" w14:textId="7B066CD6" w:rsidR="00BC393C" w:rsidRPr="005C3EC8" w:rsidRDefault="00CE3CEA" w:rsidP="00CE3CEA">
      <w:pPr>
        <w:numPr>
          <w:ilvl w:val="0"/>
          <w:numId w:val="4"/>
        </w:numPr>
        <w:spacing w:before="120"/>
        <w:rPr>
          <w:rFonts w:ascii="Calibri" w:hAnsi="Calibri"/>
        </w:rPr>
      </w:pPr>
      <w:r w:rsidRPr="005C3EC8">
        <w:rPr>
          <w:rFonts w:ascii="Calibri" w:hAnsi="Calibri"/>
        </w:rPr>
        <w:t>Gov.uk, ‘Rates and allowances: Corporation Tax’, accesse</w:t>
      </w:r>
      <w:r w:rsidR="007B2D1B" w:rsidRPr="005C3EC8">
        <w:rPr>
          <w:rFonts w:ascii="Calibri" w:hAnsi="Calibri"/>
        </w:rPr>
        <w:t xml:space="preserve">d on </w:t>
      </w:r>
      <w:hyperlink r:id="rId75" w:history="1">
        <w:r w:rsidR="007B2D1B" w:rsidRPr="005C3EC8">
          <w:rPr>
            <w:rStyle w:val="Hyperlink"/>
            <w:rFonts w:ascii="Calibri" w:hAnsi="Calibri" w:cs="Calibri"/>
          </w:rPr>
          <w:t>https://www.gov.uk/government/publications/rates-and-allowances-corporation-tax/rates-and-allowances-corporation-tax</w:t>
        </w:r>
      </w:hyperlink>
      <w:r w:rsidR="007B2D1B" w:rsidRPr="005C3EC8">
        <w:rPr>
          <w:rFonts w:ascii="Calibri" w:hAnsi="Calibri"/>
        </w:rPr>
        <w:t xml:space="preserve"> </w:t>
      </w:r>
    </w:p>
    <w:p w14:paraId="2B12F3CB" w14:textId="3868C011" w:rsidR="002172F6" w:rsidRPr="005C3EC8" w:rsidRDefault="00CE3CEA" w:rsidP="0053757D">
      <w:pPr>
        <w:numPr>
          <w:ilvl w:val="0"/>
          <w:numId w:val="4"/>
        </w:numPr>
        <w:spacing w:before="120"/>
        <w:rPr>
          <w:rFonts w:ascii="Calibri" w:hAnsi="Calibri"/>
        </w:rPr>
      </w:pPr>
      <w:r w:rsidRPr="005C3EC8">
        <w:rPr>
          <w:rFonts w:ascii="Calibri" w:hAnsi="Calibri"/>
        </w:rPr>
        <w:t xml:space="preserve">Gov.uk, ‘Search for property information from HM Land Registry’, accessed </w:t>
      </w:r>
      <w:r w:rsidR="007B2D1B" w:rsidRPr="005C3EC8">
        <w:rPr>
          <w:rFonts w:ascii="Calibri" w:hAnsi="Calibri"/>
        </w:rPr>
        <w:t xml:space="preserve">on </w:t>
      </w:r>
      <w:hyperlink r:id="rId76" w:history="1">
        <w:r w:rsidR="007B2D1B" w:rsidRPr="005C3EC8">
          <w:rPr>
            <w:rStyle w:val="Hyperlink"/>
            <w:rFonts w:ascii="Calibri" w:hAnsi="Calibri" w:cs="Calibri"/>
          </w:rPr>
          <w:t>https://www.gov.uk/search-property-information-land-registry</w:t>
        </w:r>
      </w:hyperlink>
      <w:r w:rsidR="007B2D1B" w:rsidRPr="005C3EC8">
        <w:rPr>
          <w:rFonts w:ascii="Calibri" w:hAnsi="Calibri"/>
        </w:rPr>
        <w:t xml:space="preserve"> </w:t>
      </w:r>
    </w:p>
    <w:p w14:paraId="22FB67ED" w14:textId="67391FC2" w:rsidR="006D6F48" w:rsidRPr="005C3EC8" w:rsidRDefault="006D6F48">
      <w:pPr>
        <w:pStyle w:val="Heading2notindexed"/>
      </w:pPr>
      <w:r w:rsidRPr="005C3EC8">
        <w:t xml:space="preserve">Meeting minutes: </w:t>
      </w:r>
    </w:p>
    <w:p w14:paraId="68EA0895" w14:textId="43906242" w:rsidR="00112D9C" w:rsidRPr="005C3EC8" w:rsidRDefault="00155A7E" w:rsidP="0053757D">
      <w:pPr>
        <w:numPr>
          <w:ilvl w:val="0"/>
          <w:numId w:val="4"/>
        </w:numPr>
        <w:spacing w:before="120"/>
        <w:rPr>
          <w:rFonts w:ascii="Calibri" w:hAnsi="Calibri"/>
        </w:rPr>
      </w:pPr>
      <w:r w:rsidRPr="005C3EC8">
        <w:t xml:space="preserve">MSG meeting minutes on UKEITI webpage, ‘Minutes’ section, accessed </w:t>
      </w:r>
      <w:r w:rsidR="007B2D1B" w:rsidRPr="005C3EC8">
        <w:t xml:space="preserve">on </w:t>
      </w:r>
      <w:hyperlink r:id="rId77" w:anchor="minutes" w:history="1">
        <w:r w:rsidR="007B2D1B" w:rsidRPr="005C3EC8">
          <w:rPr>
            <w:rStyle w:val="Hyperlink"/>
            <w:rFonts w:cs="Calibri"/>
          </w:rPr>
          <w:t>https://www.gov.uk/government/groups/uk-extractive-industries-transparency-initiative-multi-stakeholder-group#minutes</w:t>
        </w:r>
      </w:hyperlink>
      <w:r w:rsidR="007B2D1B" w:rsidRPr="005C3EC8">
        <w:t xml:space="preserve"> </w:t>
      </w:r>
    </w:p>
    <w:p w14:paraId="5DAB253F" w14:textId="584F8DF3" w:rsidR="009D043B" w:rsidRPr="005C3EC8" w:rsidRDefault="007C5EB4" w:rsidP="009D043B">
      <w:pPr>
        <w:pStyle w:val="Heading2notindexed"/>
      </w:pPr>
      <w:r w:rsidRPr="005C3EC8">
        <w:t xml:space="preserve">Other government </w:t>
      </w:r>
      <w:r w:rsidR="00CE3CEA" w:rsidRPr="005C3EC8">
        <w:t>online resources</w:t>
      </w:r>
      <w:r w:rsidRPr="005C3EC8">
        <w:t>:</w:t>
      </w:r>
    </w:p>
    <w:p w14:paraId="7F057E63" w14:textId="1D893540" w:rsidR="005A36AA" w:rsidRPr="005C3EC8" w:rsidRDefault="005A36AA" w:rsidP="005A36AA">
      <w:pPr>
        <w:pStyle w:val="Heading3"/>
      </w:pPr>
      <w:r w:rsidRPr="005C3EC8">
        <w:t>Government</w:t>
      </w:r>
    </w:p>
    <w:p w14:paraId="2090B5F8" w14:textId="498AADF0" w:rsidR="00482002" w:rsidRPr="005C3EC8" w:rsidRDefault="00482002" w:rsidP="00482002">
      <w:pPr>
        <w:numPr>
          <w:ilvl w:val="0"/>
          <w:numId w:val="4"/>
        </w:numPr>
        <w:spacing w:before="120"/>
        <w:rPr>
          <w:rFonts w:ascii="Calibri" w:hAnsi="Calibri"/>
        </w:rPr>
      </w:pPr>
      <w:r w:rsidRPr="005C3EC8">
        <w:rPr>
          <w:rFonts w:ascii="Calibri" w:hAnsi="Calibri"/>
        </w:rPr>
        <w:t xml:space="preserve">HM Government, UK Open Government National Action Plan 2016-18, accessed </w:t>
      </w:r>
      <w:r w:rsidR="007B2D1B" w:rsidRPr="005C3EC8">
        <w:rPr>
          <w:rFonts w:ascii="Calibri" w:hAnsi="Calibri"/>
        </w:rPr>
        <w:t xml:space="preserve">on </w:t>
      </w:r>
      <w:hyperlink r:id="rId78" w:history="1">
        <w:r w:rsidR="007B2D1B" w:rsidRPr="005C3EC8">
          <w:rPr>
            <w:rStyle w:val="Hyperlink"/>
            <w:rFonts w:ascii="Calibri" w:hAnsi="Calibri" w:cs="Calibri"/>
          </w:rPr>
          <w:t>https://www.opengovpartnership.org/sites/default/files/UK%20Open%20Government%20National%20Action%20Plan%202016-18.pdf</w:t>
        </w:r>
      </w:hyperlink>
      <w:r w:rsidR="007B2D1B" w:rsidRPr="005C3EC8">
        <w:rPr>
          <w:rFonts w:ascii="Calibri" w:hAnsi="Calibri"/>
        </w:rPr>
        <w:t xml:space="preserve"> </w:t>
      </w:r>
    </w:p>
    <w:p w14:paraId="04D8B990" w14:textId="3E3AC2C1" w:rsidR="00B30EB0" w:rsidRPr="005C3EC8" w:rsidRDefault="00B30EB0" w:rsidP="00482002">
      <w:pPr>
        <w:numPr>
          <w:ilvl w:val="0"/>
          <w:numId w:val="4"/>
        </w:numPr>
        <w:spacing w:before="120"/>
        <w:rPr>
          <w:rFonts w:ascii="Calibri" w:hAnsi="Calibri"/>
        </w:rPr>
      </w:pPr>
      <w:r w:rsidRPr="005C3EC8">
        <w:t xml:space="preserve">Gov.uk, Autumn Budget 2017, accessed </w:t>
      </w:r>
      <w:r w:rsidR="007B2D1B" w:rsidRPr="005C3EC8">
        <w:t xml:space="preserve">on </w:t>
      </w:r>
      <w:hyperlink r:id="rId79" w:history="1">
        <w:r w:rsidR="007B2D1B" w:rsidRPr="005C3EC8">
          <w:rPr>
            <w:rStyle w:val="Hyperlink"/>
            <w:rFonts w:cs="Calibri"/>
          </w:rPr>
          <w:t>https://www.gov.uk/government/topical-events/autumn-budget-2017</w:t>
        </w:r>
      </w:hyperlink>
      <w:r w:rsidR="007B2D1B" w:rsidRPr="005C3EC8">
        <w:t xml:space="preserve"> </w:t>
      </w:r>
    </w:p>
    <w:p w14:paraId="1E45F8F3" w14:textId="7563DE3E" w:rsidR="00482002" w:rsidRPr="005C3EC8" w:rsidRDefault="00482002" w:rsidP="00482002">
      <w:pPr>
        <w:numPr>
          <w:ilvl w:val="0"/>
          <w:numId w:val="4"/>
        </w:numPr>
        <w:spacing w:before="120"/>
        <w:rPr>
          <w:rFonts w:ascii="Calibri" w:hAnsi="Calibri"/>
        </w:rPr>
      </w:pPr>
      <w:r w:rsidRPr="005C3EC8">
        <w:rPr>
          <w:rFonts w:ascii="Calibri" w:hAnsi="Calibri"/>
        </w:rPr>
        <w:t xml:space="preserve">Gov.uk, Open contracting webpage, accessed </w:t>
      </w:r>
      <w:r w:rsidR="007B2D1B" w:rsidRPr="005C3EC8">
        <w:rPr>
          <w:rFonts w:ascii="Calibri" w:hAnsi="Calibri"/>
        </w:rPr>
        <w:t xml:space="preserve">on </w:t>
      </w:r>
      <w:hyperlink r:id="rId80" w:history="1">
        <w:r w:rsidR="007B2D1B" w:rsidRPr="005C3EC8">
          <w:rPr>
            <w:rStyle w:val="Hyperlink"/>
            <w:rFonts w:ascii="Calibri" w:hAnsi="Calibri" w:cs="Calibri"/>
          </w:rPr>
          <w:t>https://www.gov.uk/government/publications/open-contracting</w:t>
        </w:r>
      </w:hyperlink>
      <w:r w:rsidR="007B2D1B" w:rsidRPr="005C3EC8">
        <w:rPr>
          <w:rFonts w:ascii="Calibri" w:hAnsi="Calibri"/>
        </w:rPr>
        <w:t xml:space="preserve"> </w:t>
      </w:r>
    </w:p>
    <w:p w14:paraId="294011AD" w14:textId="44D8AEC1" w:rsidR="00EB0B33" w:rsidRPr="005C3EC8" w:rsidRDefault="00482002" w:rsidP="00EB0B33">
      <w:pPr>
        <w:numPr>
          <w:ilvl w:val="0"/>
          <w:numId w:val="4"/>
        </w:numPr>
        <w:spacing w:before="120"/>
        <w:rPr>
          <w:rFonts w:ascii="Calibri" w:hAnsi="Calibri"/>
        </w:rPr>
      </w:pPr>
      <w:r w:rsidRPr="005C3EC8">
        <w:rPr>
          <w:rFonts w:ascii="Calibri" w:hAnsi="Calibri"/>
        </w:rPr>
        <w:t xml:space="preserve">2016 Register of People with Significant Control Regulations, accessed </w:t>
      </w:r>
      <w:r w:rsidR="007B2D1B" w:rsidRPr="005C3EC8">
        <w:rPr>
          <w:rFonts w:ascii="Calibri" w:hAnsi="Calibri"/>
        </w:rPr>
        <w:t xml:space="preserve">on </w:t>
      </w:r>
      <w:hyperlink r:id="rId81" w:history="1">
        <w:r w:rsidR="007B2D1B" w:rsidRPr="005C3EC8">
          <w:rPr>
            <w:rStyle w:val="Hyperlink"/>
            <w:rFonts w:ascii="Calibri" w:hAnsi="Calibri" w:cs="Calibri"/>
          </w:rPr>
          <w:t>https://www.legislation.gov.uk/uksi/2016/339/contents/made</w:t>
        </w:r>
      </w:hyperlink>
      <w:r w:rsidR="007B2D1B" w:rsidRPr="005C3EC8">
        <w:rPr>
          <w:rFonts w:ascii="Calibri" w:hAnsi="Calibri"/>
        </w:rPr>
        <w:t xml:space="preserve"> </w:t>
      </w:r>
    </w:p>
    <w:p w14:paraId="02B3ACE1" w14:textId="5746ADF0" w:rsidR="00EB0B33" w:rsidRPr="005C3EC8" w:rsidRDefault="00EB0B33" w:rsidP="00EB0B33">
      <w:pPr>
        <w:numPr>
          <w:ilvl w:val="0"/>
          <w:numId w:val="4"/>
        </w:numPr>
        <w:spacing w:before="120"/>
        <w:rPr>
          <w:rFonts w:ascii="Calibri" w:hAnsi="Calibri"/>
        </w:rPr>
      </w:pPr>
      <w:r w:rsidRPr="005C3EC8">
        <w:rPr>
          <w:rFonts w:ascii="Calibri" w:hAnsi="Calibri"/>
        </w:rPr>
        <w:lastRenderedPageBreak/>
        <w:t xml:space="preserve">Companies House, ‘People with significant control (PSC) snapshot’, accessed </w:t>
      </w:r>
      <w:r w:rsidR="007B2D1B" w:rsidRPr="005C3EC8">
        <w:rPr>
          <w:rFonts w:ascii="Calibri" w:hAnsi="Calibri"/>
        </w:rPr>
        <w:t xml:space="preserve">on </w:t>
      </w:r>
      <w:hyperlink r:id="rId82" w:history="1">
        <w:r w:rsidR="007B2D1B" w:rsidRPr="005C3EC8">
          <w:rPr>
            <w:rStyle w:val="Hyperlink"/>
            <w:rFonts w:ascii="Calibri" w:hAnsi="Calibri" w:cs="Calibri"/>
          </w:rPr>
          <w:t>http://download.companieshouse.gov.uk/en_pscdata.html</w:t>
        </w:r>
      </w:hyperlink>
      <w:r w:rsidR="007B2D1B" w:rsidRPr="005C3EC8">
        <w:rPr>
          <w:rFonts w:ascii="Calibri" w:hAnsi="Calibri"/>
        </w:rPr>
        <w:t xml:space="preserve"> </w:t>
      </w:r>
    </w:p>
    <w:p w14:paraId="6305BCA5" w14:textId="0036BFF1" w:rsidR="00EB0B33" w:rsidRPr="005C3EC8" w:rsidRDefault="001A1B77" w:rsidP="00EB0B33">
      <w:pPr>
        <w:numPr>
          <w:ilvl w:val="0"/>
          <w:numId w:val="4"/>
        </w:numPr>
        <w:spacing w:before="120"/>
        <w:rPr>
          <w:rFonts w:ascii="Calibri" w:hAnsi="Calibri"/>
        </w:rPr>
      </w:pPr>
      <w:r w:rsidRPr="005C3EC8">
        <w:t xml:space="preserve">Companies House, Corporate register search, accessed </w:t>
      </w:r>
      <w:r w:rsidR="007B2D1B" w:rsidRPr="005C3EC8">
        <w:t xml:space="preserve">on </w:t>
      </w:r>
      <w:hyperlink r:id="rId83" w:history="1">
        <w:r w:rsidR="007B2D1B" w:rsidRPr="005C3EC8">
          <w:rPr>
            <w:rStyle w:val="Hyperlink"/>
            <w:rFonts w:cs="Calibri"/>
          </w:rPr>
          <w:t>https://beta.companieshouse.gov.uk/</w:t>
        </w:r>
      </w:hyperlink>
      <w:r w:rsidR="007B2D1B" w:rsidRPr="005C3EC8">
        <w:t xml:space="preserve"> </w:t>
      </w:r>
    </w:p>
    <w:p w14:paraId="52D2C883" w14:textId="034192E8" w:rsidR="00B30EB0" w:rsidRPr="005C3EC8" w:rsidRDefault="00B30EB0" w:rsidP="00EB0B33">
      <w:pPr>
        <w:numPr>
          <w:ilvl w:val="0"/>
          <w:numId w:val="4"/>
        </w:numPr>
        <w:spacing w:before="120"/>
        <w:rPr>
          <w:rFonts w:ascii="Calibri" w:hAnsi="Calibri"/>
        </w:rPr>
      </w:pPr>
      <w:r w:rsidRPr="005C3EC8">
        <w:t xml:space="preserve">See Companies House, Company accounts guidance, accessed </w:t>
      </w:r>
      <w:r w:rsidR="007B2D1B" w:rsidRPr="005C3EC8">
        <w:t xml:space="preserve">on </w:t>
      </w:r>
      <w:hyperlink r:id="rId84" w:history="1">
        <w:r w:rsidR="007B2D1B" w:rsidRPr="005C3EC8">
          <w:rPr>
            <w:rStyle w:val="Hyperlink"/>
            <w:rFonts w:cs="Calibri"/>
          </w:rPr>
          <w:t>https://www.gov.uk/government/publications/life-of-a-company-annual-requirements/life-of-a-company-part-1-accounts</w:t>
        </w:r>
      </w:hyperlink>
      <w:r w:rsidR="007B2D1B" w:rsidRPr="005C3EC8">
        <w:t xml:space="preserve"> </w:t>
      </w:r>
    </w:p>
    <w:p w14:paraId="43D30920" w14:textId="0E5996B9" w:rsidR="001A1B77" w:rsidRPr="005C3EC8" w:rsidRDefault="001A1B77" w:rsidP="00EB0B33">
      <w:pPr>
        <w:numPr>
          <w:ilvl w:val="0"/>
          <w:numId w:val="4"/>
        </w:numPr>
        <w:spacing w:before="120"/>
        <w:rPr>
          <w:rFonts w:ascii="Calibri" w:hAnsi="Calibri"/>
        </w:rPr>
      </w:pPr>
      <w:r w:rsidRPr="005C3EC8">
        <w:t xml:space="preserve">Companies House website, ‘Extractives service’, accessed </w:t>
      </w:r>
      <w:r w:rsidR="007B2D1B" w:rsidRPr="005C3EC8">
        <w:t xml:space="preserve">on </w:t>
      </w:r>
      <w:hyperlink r:id="rId85" w:history="1">
        <w:r w:rsidR="007B2D1B" w:rsidRPr="005C3EC8">
          <w:rPr>
            <w:rStyle w:val="Hyperlink"/>
            <w:rFonts w:cs="Calibri"/>
          </w:rPr>
          <w:t>https://extractives.companieshouse.gov.uk/search?query=c</w:t>
        </w:r>
      </w:hyperlink>
      <w:r w:rsidR="007B2D1B" w:rsidRPr="005C3EC8">
        <w:t xml:space="preserve"> </w:t>
      </w:r>
    </w:p>
    <w:p w14:paraId="4042CC37" w14:textId="40BE2CA8" w:rsidR="00482002" w:rsidRPr="005C3EC8" w:rsidRDefault="00482002" w:rsidP="00482002">
      <w:pPr>
        <w:numPr>
          <w:ilvl w:val="0"/>
          <w:numId w:val="4"/>
        </w:numPr>
        <w:spacing w:before="120"/>
        <w:rPr>
          <w:rFonts w:ascii="Calibri" w:hAnsi="Calibri"/>
        </w:rPr>
      </w:pPr>
      <w:r w:rsidRPr="005C3EC8">
        <w:rPr>
          <w:rFonts w:ascii="Calibri" w:hAnsi="Calibri"/>
        </w:rPr>
        <w:t xml:space="preserve">Gov.uk, ‘PSC requirements for companies and limited liability partnerships’, accessed </w:t>
      </w:r>
      <w:r w:rsidR="007B2D1B" w:rsidRPr="005C3EC8">
        <w:rPr>
          <w:rFonts w:ascii="Calibri" w:hAnsi="Calibri"/>
        </w:rPr>
        <w:t xml:space="preserve">on </w:t>
      </w:r>
      <w:hyperlink r:id="rId86" w:history="1">
        <w:r w:rsidR="007B2D1B" w:rsidRPr="005C3EC8">
          <w:rPr>
            <w:rStyle w:val="Hyperlink"/>
            <w:rFonts w:ascii="Calibri" w:hAnsi="Calibri" w:cs="Calibri"/>
          </w:rPr>
          <w:t>https://www.gov.uk/government/publications/guidance-to-the-people-with-significant-control-requirements-for-companies-and-limited-liability-partnerships</w:t>
        </w:r>
      </w:hyperlink>
      <w:r w:rsidR="007B2D1B" w:rsidRPr="005C3EC8">
        <w:rPr>
          <w:rFonts w:ascii="Calibri" w:hAnsi="Calibri"/>
        </w:rPr>
        <w:t xml:space="preserve"> </w:t>
      </w:r>
    </w:p>
    <w:p w14:paraId="4E6685C1" w14:textId="4C46972A" w:rsidR="00482002" w:rsidRPr="005C3EC8" w:rsidRDefault="00482002" w:rsidP="00482002">
      <w:pPr>
        <w:numPr>
          <w:ilvl w:val="0"/>
          <w:numId w:val="4"/>
        </w:numPr>
        <w:spacing w:before="120"/>
        <w:rPr>
          <w:rFonts w:ascii="Calibri" w:hAnsi="Calibri"/>
        </w:rPr>
      </w:pPr>
      <w:r w:rsidRPr="005C3EC8">
        <w:rPr>
          <w:rFonts w:ascii="Calibri" w:hAnsi="Calibri"/>
        </w:rPr>
        <w:t xml:space="preserve">Department for BEIS (June 2017), ‘Register of people with significant control, guidance for registered and unregistered companies’, accessed </w:t>
      </w:r>
      <w:r w:rsidR="007B2D1B" w:rsidRPr="005C3EC8">
        <w:rPr>
          <w:rFonts w:ascii="Calibri" w:hAnsi="Calibri"/>
        </w:rPr>
        <w:t xml:space="preserve">on </w:t>
      </w:r>
      <w:hyperlink r:id="rId87" w:history="1">
        <w:r w:rsidR="007B2D1B" w:rsidRPr="005C3EC8">
          <w:rPr>
            <w:rStyle w:val="Hyperlink"/>
            <w:rFonts w:ascii="Calibri" w:hAnsi="Calibri" w:cs="Calibri"/>
          </w:rPr>
          <w:t>https://assets.publishing.service.gov.uk/government/uploads/system/uploads/attachment_data/file/621571/170623_NONSTAT_GU.pdf</w:t>
        </w:r>
      </w:hyperlink>
      <w:r w:rsidR="007B2D1B" w:rsidRPr="005C3EC8">
        <w:rPr>
          <w:rFonts w:ascii="Calibri" w:hAnsi="Calibri"/>
        </w:rPr>
        <w:t xml:space="preserve"> </w:t>
      </w:r>
    </w:p>
    <w:p w14:paraId="1929C4B7" w14:textId="244BC470" w:rsidR="003210C0" w:rsidRPr="005C3EC8" w:rsidRDefault="003210C0" w:rsidP="003210C0">
      <w:pPr>
        <w:numPr>
          <w:ilvl w:val="0"/>
          <w:numId w:val="4"/>
        </w:numPr>
        <w:spacing w:before="120"/>
        <w:rPr>
          <w:rFonts w:ascii="Calibri" w:hAnsi="Calibri"/>
        </w:rPr>
      </w:pPr>
      <w:r w:rsidRPr="005C3EC8">
        <w:rPr>
          <w:rFonts w:ascii="Calibri" w:hAnsi="Calibri"/>
        </w:rPr>
        <w:t xml:space="preserve">Office of National Statistics website, ‘Annual Business Survey Statistical bulletins’, accessed </w:t>
      </w:r>
      <w:r w:rsidR="007B2D1B" w:rsidRPr="005C3EC8">
        <w:rPr>
          <w:rFonts w:ascii="Calibri" w:hAnsi="Calibri"/>
        </w:rPr>
        <w:t xml:space="preserve">on </w:t>
      </w:r>
      <w:hyperlink r:id="rId88" w:history="1">
        <w:r w:rsidR="007B2D1B" w:rsidRPr="005C3EC8">
          <w:rPr>
            <w:rStyle w:val="Hyperlink"/>
            <w:rFonts w:ascii="Calibri" w:hAnsi="Calibri" w:cs="Calibri"/>
          </w:rPr>
          <w:t>https://www.ons.gov.uk/businessindustryandtrade/business/businessservices/bulletins/uknonfinancialbusinesseconomy/previousReleases</w:t>
        </w:r>
      </w:hyperlink>
      <w:r w:rsidR="007B2D1B" w:rsidRPr="005C3EC8">
        <w:rPr>
          <w:rFonts w:ascii="Calibri" w:hAnsi="Calibri"/>
        </w:rPr>
        <w:t xml:space="preserve"> </w:t>
      </w:r>
    </w:p>
    <w:p w14:paraId="1F45B221" w14:textId="2B405C67" w:rsidR="00F55AC9" w:rsidRPr="005C3EC8" w:rsidRDefault="00F55AC9" w:rsidP="003210C0">
      <w:pPr>
        <w:numPr>
          <w:ilvl w:val="0"/>
          <w:numId w:val="4"/>
        </w:numPr>
        <w:spacing w:before="120"/>
        <w:rPr>
          <w:rFonts w:ascii="Calibri" w:hAnsi="Calibri"/>
        </w:rPr>
      </w:pPr>
      <w:r w:rsidRPr="005C3EC8">
        <w:t xml:space="preserve">National Audit Office website, accessed </w:t>
      </w:r>
      <w:r w:rsidR="007B2D1B" w:rsidRPr="005C3EC8">
        <w:t xml:space="preserve">on </w:t>
      </w:r>
      <w:hyperlink r:id="rId89" w:history="1">
        <w:r w:rsidR="007B2D1B" w:rsidRPr="005C3EC8">
          <w:rPr>
            <w:rStyle w:val="Hyperlink"/>
            <w:rFonts w:cs="Calibri"/>
          </w:rPr>
          <w:t>https://www.nao.org.uk/</w:t>
        </w:r>
      </w:hyperlink>
      <w:r w:rsidR="007B2D1B" w:rsidRPr="005C3EC8">
        <w:t xml:space="preserve"> </w:t>
      </w:r>
    </w:p>
    <w:p w14:paraId="5D898C2A" w14:textId="53EDAF88" w:rsidR="00F55AC9" w:rsidRPr="005C3EC8" w:rsidRDefault="00F55AC9" w:rsidP="003210C0">
      <w:pPr>
        <w:numPr>
          <w:ilvl w:val="0"/>
          <w:numId w:val="4"/>
        </w:numPr>
        <w:spacing w:before="120"/>
        <w:rPr>
          <w:rFonts w:ascii="Calibri" w:hAnsi="Calibri"/>
        </w:rPr>
      </w:pPr>
      <w:r w:rsidRPr="005C3EC8">
        <w:t xml:space="preserve">National Audit Office, ‘Audit of Financial Statements’, accessed </w:t>
      </w:r>
      <w:r w:rsidR="007B2D1B" w:rsidRPr="005C3EC8">
        <w:t xml:space="preserve">on </w:t>
      </w:r>
      <w:hyperlink r:id="rId90" w:history="1">
        <w:r w:rsidR="007B2D1B" w:rsidRPr="005C3EC8">
          <w:rPr>
            <w:rStyle w:val="Hyperlink"/>
            <w:rFonts w:cs="Calibri"/>
          </w:rPr>
          <w:t>https://www.nao.org.uk/search/pi_area/audit-of-financial-statements/</w:t>
        </w:r>
      </w:hyperlink>
      <w:r w:rsidR="007B2D1B" w:rsidRPr="005C3EC8">
        <w:t xml:space="preserve"> </w:t>
      </w:r>
    </w:p>
    <w:p w14:paraId="7EBFE0EC" w14:textId="7CB02E5F" w:rsidR="00033D56" w:rsidRPr="005C3EC8" w:rsidRDefault="00155A7E" w:rsidP="003210C0">
      <w:pPr>
        <w:numPr>
          <w:ilvl w:val="0"/>
          <w:numId w:val="4"/>
        </w:numPr>
        <w:spacing w:before="120"/>
        <w:rPr>
          <w:rFonts w:ascii="Calibri" w:hAnsi="Calibri"/>
        </w:rPr>
      </w:pPr>
      <w:r w:rsidRPr="005C3EC8">
        <w:t xml:space="preserve">National Audit Office website, ‘Her Majesty’s Revenue &amp; Customs Annual Report and Accounts 2016-17’, accessed </w:t>
      </w:r>
      <w:r w:rsidR="007B2D1B" w:rsidRPr="005C3EC8">
        <w:t xml:space="preserve">on </w:t>
      </w:r>
      <w:hyperlink r:id="rId91" w:history="1">
        <w:r w:rsidR="007B2D1B" w:rsidRPr="005C3EC8">
          <w:rPr>
            <w:rStyle w:val="Hyperlink"/>
            <w:rFonts w:cs="Calibri"/>
          </w:rPr>
          <w:t>https://www.nao.org.uk/report/her-majestys-revenue-customs-annual-report-and-accounts-2016-17/</w:t>
        </w:r>
      </w:hyperlink>
      <w:r w:rsidR="007B2D1B" w:rsidRPr="005C3EC8">
        <w:t xml:space="preserve"> </w:t>
      </w:r>
    </w:p>
    <w:p w14:paraId="7136551B" w14:textId="7446B93F" w:rsidR="00155A7E" w:rsidRPr="005C3EC8" w:rsidRDefault="00155A7E" w:rsidP="003210C0">
      <w:pPr>
        <w:numPr>
          <w:ilvl w:val="0"/>
          <w:numId w:val="4"/>
        </w:numPr>
        <w:spacing w:before="120"/>
        <w:rPr>
          <w:rFonts w:ascii="Calibri" w:hAnsi="Calibri"/>
        </w:rPr>
      </w:pPr>
      <w:r w:rsidRPr="005C3EC8">
        <w:t xml:space="preserve">National Audit Office website, ‘NAO Annual Report and Accounts 2016-17’, accessed </w:t>
      </w:r>
      <w:r w:rsidR="007B2D1B" w:rsidRPr="005C3EC8">
        <w:t xml:space="preserve">on </w:t>
      </w:r>
      <w:hyperlink r:id="rId92" w:history="1">
        <w:r w:rsidR="007B2D1B" w:rsidRPr="005C3EC8">
          <w:rPr>
            <w:rStyle w:val="Hyperlink"/>
            <w:rFonts w:cs="Calibri"/>
          </w:rPr>
          <w:t>https://www.nao.org.uk/report/nao-annual-report-and-accounts-2016-17/</w:t>
        </w:r>
      </w:hyperlink>
      <w:r w:rsidR="007B2D1B" w:rsidRPr="005C3EC8">
        <w:t xml:space="preserve"> </w:t>
      </w:r>
    </w:p>
    <w:p w14:paraId="0A5B1A7C" w14:textId="4E79D1AF" w:rsidR="00F55AC9" w:rsidRPr="005C3EC8" w:rsidRDefault="00F55AC9" w:rsidP="003210C0">
      <w:pPr>
        <w:numPr>
          <w:ilvl w:val="0"/>
          <w:numId w:val="4"/>
        </w:numPr>
        <w:spacing w:before="120"/>
        <w:rPr>
          <w:rFonts w:ascii="Calibri" w:hAnsi="Calibri"/>
        </w:rPr>
      </w:pPr>
      <w:r w:rsidRPr="005C3EC8">
        <w:t xml:space="preserve">Office for Budget Responsibility, ‘Monthly public finances release’, accessed </w:t>
      </w:r>
      <w:r w:rsidR="007B2D1B" w:rsidRPr="005C3EC8">
        <w:t xml:space="preserve">on </w:t>
      </w:r>
      <w:hyperlink r:id="rId93" w:history="1">
        <w:r w:rsidR="007B2D1B" w:rsidRPr="005C3EC8">
          <w:rPr>
            <w:rStyle w:val="Hyperlink"/>
            <w:rFonts w:cs="Calibri"/>
          </w:rPr>
          <w:t>http://obr.uk/monthly-public-finances-briefing/</w:t>
        </w:r>
      </w:hyperlink>
      <w:r w:rsidR="007B2D1B" w:rsidRPr="005C3EC8">
        <w:t xml:space="preserve"> </w:t>
      </w:r>
    </w:p>
    <w:p w14:paraId="7A1240A8" w14:textId="2398A1C4" w:rsidR="00F55AC9" w:rsidRPr="005C3EC8" w:rsidRDefault="00F55AC9" w:rsidP="003210C0">
      <w:pPr>
        <w:numPr>
          <w:ilvl w:val="0"/>
          <w:numId w:val="4"/>
        </w:numPr>
        <w:spacing w:before="120"/>
        <w:rPr>
          <w:rFonts w:ascii="Calibri" w:hAnsi="Calibri"/>
        </w:rPr>
      </w:pPr>
      <w:r w:rsidRPr="005C3EC8">
        <w:t xml:space="preserve">Parliament, Public Accounts Committee publications, accessed </w:t>
      </w:r>
      <w:r w:rsidR="007B2D1B" w:rsidRPr="005C3EC8">
        <w:t xml:space="preserve">on </w:t>
      </w:r>
      <w:hyperlink r:id="rId94" w:history="1">
        <w:r w:rsidR="007B2D1B" w:rsidRPr="005C3EC8">
          <w:rPr>
            <w:rStyle w:val="Hyperlink"/>
            <w:rFonts w:cs="Calibri"/>
          </w:rPr>
          <w:t>https://www.parliament.uk/business/committees/committees-a-z/commons-select/public-accounts-committee/publications/</w:t>
        </w:r>
      </w:hyperlink>
      <w:r w:rsidR="007B2D1B" w:rsidRPr="005C3EC8">
        <w:t xml:space="preserve"> </w:t>
      </w:r>
    </w:p>
    <w:p w14:paraId="31AB9A9F" w14:textId="2BB923E3" w:rsidR="00F55AC9" w:rsidRPr="005C3EC8" w:rsidRDefault="00F55AC9" w:rsidP="003210C0">
      <w:pPr>
        <w:numPr>
          <w:ilvl w:val="0"/>
          <w:numId w:val="4"/>
        </w:numPr>
        <w:spacing w:before="120"/>
        <w:rPr>
          <w:rFonts w:ascii="Calibri" w:hAnsi="Calibri"/>
        </w:rPr>
      </w:pPr>
      <w:r w:rsidRPr="005C3EC8">
        <w:t xml:space="preserve">Office for National Statistics, ‘Industry (2, 3 and 5 - digit SIC) - Business Register and Employment Survey (BRES): Table 2’, accessed </w:t>
      </w:r>
      <w:r w:rsidR="007B2D1B" w:rsidRPr="005C3EC8">
        <w:t xml:space="preserve">on </w:t>
      </w:r>
      <w:hyperlink r:id="rId95" w:history="1">
        <w:r w:rsidR="007B2D1B" w:rsidRPr="005C3EC8">
          <w:rPr>
            <w:rStyle w:val="Hyperlink"/>
            <w:rFonts w:cs="Calibri"/>
          </w:rPr>
          <w:t>https://www.ons.gov.uk/employmentandlabourmarket/peopleinwork/employmentandemployeetypes/datasets/industry235digitsicbusinessregisterandemploymentsurveybrestable2</w:t>
        </w:r>
      </w:hyperlink>
      <w:r w:rsidR="007B2D1B" w:rsidRPr="005C3EC8">
        <w:t xml:space="preserve"> </w:t>
      </w:r>
    </w:p>
    <w:p w14:paraId="304E847E" w14:textId="1CB287E7" w:rsidR="007B2D1B" w:rsidRPr="005C3EC8" w:rsidRDefault="00F55AC9" w:rsidP="007B2D1B">
      <w:pPr>
        <w:numPr>
          <w:ilvl w:val="0"/>
          <w:numId w:val="4"/>
        </w:numPr>
        <w:spacing w:before="120"/>
        <w:rPr>
          <w:rFonts w:ascii="Calibri" w:hAnsi="Calibri"/>
        </w:rPr>
      </w:pPr>
      <w:r w:rsidRPr="005C3EC8">
        <w:t>Office for National Statistics, ‘Public sector current receipts: Appendix D’, accesse</w:t>
      </w:r>
      <w:r w:rsidR="007B2D1B" w:rsidRPr="005C3EC8">
        <w:t xml:space="preserve">d on </w:t>
      </w:r>
      <w:hyperlink r:id="rId96" w:history="1">
        <w:r w:rsidR="007B2D1B" w:rsidRPr="005C3EC8">
          <w:rPr>
            <w:rStyle w:val="Hyperlink"/>
            <w:rFonts w:cs="Calibri"/>
          </w:rPr>
          <w:t>https://www.ons.gov.uk/economy/governmentpublicsectorandtaxes/publicsectorfinance/datasets/appendixdpublicsectorcurrentreceipts</w:t>
        </w:r>
      </w:hyperlink>
      <w:r w:rsidR="007B2D1B" w:rsidRPr="005C3EC8">
        <w:rPr>
          <w:rFonts w:ascii="Calibri" w:hAnsi="Calibri"/>
        </w:rPr>
        <w:t xml:space="preserve"> </w:t>
      </w:r>
    </w:p>
    <w:p w14:paraId="6ECE9128" w14:textId="6E2AD35F" w:rsidR="00F55AC9" w:rsidRPr="005C3EC8" w:rsidRDefault="00F55AC9" w:rsidP="003210C0">
      <w:pPr>
        <w:numPr>
          <w:ilvl w:val="0"/>
          <w:numId w:val="4"/>
        </w:numPr>
        <w:spacing w:before="120"/>
        <w:rPr>
          <w:rFonts w:ascii="Calibri" w:hAnsi="Calibri"/>
        </w:rPr>
      </w:pPr>
      <w:r w:rsidRPr="005C3EC8">
        <w:t xml:space="preserve">Office for National Statistics, ‘Publication tables, UK trade in goods, CPA (08)’, accessed </w:t>
      </w:r>
      <w:r w:rsidR="00EA152B" w:rsidRPr="005C3EC8">
        <w:t xml:space="preserve">on </w:t>
      </w:r>
      <w:hyperlink r:id="rId97" w:history="1">
        <w:r w:rsidR="00EA152B" w:rsidRPr="005C3EC8">
          <w:rPr>
            <w:rStyle w:val="Hyperlink"/>
            <w:rFonts w:cs="Calibri"/>
          </w:rPr>
          <w:t>https://www.ons.gov.uk/economy/nationalaccounts/balanceofpayments/datasets/publicationtablesuktradecpa08</w:t>
        </w:r>
      </w:hyperlink>
      <w:r w:rsidR="00EA152B" w:rsidRPr="005C3EC8">
        <w:t xml:space="preserve"> </w:t>
      </w:r>
    </w:p>
    <w:p w14:paraId="1928E9DB" w14:textId="170293D9" w:rsidR="00F55AC9" w:rsidRPr="005C3EC8" w:rsidRDefault="00F55AC9" w:rsidP="003210C0">
      <w:pPr>
        <w:numPr>
          <w:ilvl w:val="0"/>
          <w:numId w:val="4"/>
        </w:numPr>
        <w:spacing w:before="120"/>
        <w:rPr>
          <w:rFonts w:ascii="Calibri" w:hAnsi="Calibri"/>
        </w:rPr>
      </w:pPr>
      <w:r w:rsidRPr="005C3EC8">
        <w:t xml:space="preserve">Office for National Statistics, ‘UK gross domestic product (output approach) low-level aggregates’, accessed </w:t>
      </w:r>
      <w:r w:rsidR="00EA152B" w:rsidRPr="005C3EC8">
        <w:t xml:space="preserve">on </w:t>
      </w:r>
      <w:hyperlink r:id="rId98" w:history="1">
        <w:r w:rsidR="00EA152B" w:rsidRPr="005C3EC8">
          <w:rPr>
            <w:rStyle w:val="Hyperlink"/>
            <w:rFonts w:cs="Calibri"/>
          </w:rPr>
          <w:t>https://www.ons.gov.uk/economy/grossdomesticproductgdp/datasets/ukgdpolowlevelaggregates</w:t>
        </w:r>
      </w:hyperlink>
      <w:r w:rsidR="00EA152B" w:rsidRPr="005C3EC8">
        <w:t xml:space="preserve"> </w:t>
      </w:r>
    </w:p>
    <w:p w14:paraId="2A6CD9B8" w14:textId="209586C6" w:rsidR="00F55AC9" w:rsidRPr="005C3EC8" w:rsidRDefault="00F55AC9" w:rsidP="003210C0">
      <w:pPr>
        <w:numPr>
          <w:ilvl w:val="0"/>
          <w:numId w:val="4"/>
        </w:numPr>
        <w:spacing w:before="120"/>
        <w:rPr>
          <w:rFonts w:ascii="Calibri" w:hAnsi="Calibri"/>
        </w:rPr>
      </w:pPr>
      <w:r w:rsidRPr="005C3EC8">
        <w:t xml:space="preserve">Office for National Statistics, ‘UK labour market: March 2018’, accessed </w:t>
      </w:r>
      <w:r w:rsidR="00EA152B" w:rsidRPr="005C3EC8">
        <w:t xml:space="preserve">on </w:t>
      </w:r>
      <w:hyperlink r:id="rId99" w:history="1">
        <w:r w:rsidR="00EA152B" w:rsidRPr="005C3EC8">
          <w:rPr>
            <w:rStyle w:val="Hyperlink"/>
            <w:rFonts w:cs="Calibri"/>
          </w:rPr>
          <w:t>https://www.ons.gov.uk/employmentandlabourmarket/peopleinwork/employmentandemployeetypes/bulletins/uklabourmarket/march2018</w:t>
        </w:r>
      </w:hyperlink>
      <w:r w:rsidR="00EA152B" w:rsidRPr="005C3EC8">
        <w:t xml:space="preserve"> </w:t>
      </w:r>
    </w:p>
    <w:p w14:paraId="2BC179C4" w14:textId="0627B390" w:rsidR="00F55AC9" w:rsidRPr="005C3EC8" w:rsidRDefault="00F55AC9" w:rsidP="003210C0">
      <w:pPr>
        <w:numPr>
          <w:ilvl w:val="0"/>
          <w:numId w:val="4"/>
        </w:numPr>
        <w:spacing w:before="120"/>
        <w:rPr>
          <w:rFonts w:ascii="Calibri" w:hAnsi="Calibri"/>
        </w:rPr>
      </w:pPr>
      <w:r w:rsidRPr="005C3EC8">
        <w:t xml:space="preserve">Office of National Statistics (July 2018), ‘Looking ahead – developments in public sector finance statistics: 2018’, accessed </w:t>
      </w:r>
      <w:r w:rsidR="008B195E" w:rsidRPr="005C3EC8">
        <w:t xml:space="preserve">on </w:t>
      </w:r>
      <w:hyperlink r:id="rId100" w:history="1">
        <w:r w:rsidR="008B195E" w:rsidRPr="005C3EC8">
          <w:rPr>
            <w:rStyle w:val="Hyperlink"/>
            <w:rFonts w:cs="Calibri"/>
          </w:rPr>
          <w:t>https://www.ons.gov.uk/economy/governmentpublicsectorandtaxes/publicsectorfinance/articles/lookingaheaddevelopmentsinpublicsectorfinancestatistics/2018/pdf</w:t>
        </w:r>
      </w:hyperlink>
      <w:r w:rsidR="008B195E" w:rsidRPr="005C3EC8">
        <w:t xml:space="preserve"> </w:t>
      </w:r>
    </w:p>
    <w:p w14:paraId="08F3B7DB" w14:textId="042A2348" w:rsidR="00F55AC9" w:rsidRPr="005C3EC8" w:rsidRDefault="00F55AC9" w:rsidP="003210C0">
      <w:pPr>
        <w:numPr>
          <w:ilvl w:val="0"/>
          <w:numId w:val="4"/>
        </w:numPr>
        <w:spacing w:before="120"/>
        <w:rPr>
          <w:rFonts w:ascii="Calibri" w:hAnsi="Calibri"/>
        </w:rPr>
      </w:pPr>
      <w:r w:rsidRPr="005C3EC8">
        <w:t xml:space="preserve">Office of National Statistics website, ‘Population estimates’, accessed </w:t>
      </w:r>
      <w:r w:rsidR="008B195E" w:rsidRPr="005C3EC8">
        <w:t xml:space="preserve">on </w:t>
      </w:r>
      <w:hyperlink r:id="rId101" w:history="1">
        <w:r w:rsidR="008B195E" w:rsidRPr="005C3EC8">
          <w:rPr>
            <w:rStyle w:val="Hyperlink"/>
            <w:rFonts w:cs="Calibri"/>
          </w:rPr>
          <w:t>https://www.ons.gov.uk/peoplepopulationandcommunity/populationandmigration/populationestimates</w:t>
        </w:r>
      </w:hyperlink>
      <w:r w:rsidR="008B195E" w:rsidRPr="005C3EC8">
        <w:t xml:space="preserve"> </w:t>
      </w:r>
    </w:p>
    <w:p w14:paraId="667DDA65" w14:textId="31CD71B4" w:rsidR="003210C0" w:rsidRPr="005C3EC8" w:rsidRDefault="005A36AA" w:rsidP="005A36AA">
      <w:pPr>
        <w:pStyle w:val="Heading3"/>
      </w:pPr>
      <w:r w:rsidRPr="005C3EC8">
        <w:t>Tax and budget</w:t>
      </w:r>
    </w:p>
    <w:p w14:paraId="5AA78FB2" w14:textId="78F5EFFA" w:rsidR="00F55AC9" w:rsidRPr="005C3EC8" w:rsidRDefault="00CE3CEA" w:rsidP="00F55AC9">
      <w:pPr>
        <w:numPr>
          <w:ilvl w:val="0"/>
          <w:numId w:val="4"/>
        </w:numPr>
        <w:spacing w:before="120"/>
        <w:rPr>
          <w:rFonts w:ascii="Calibri" w:hAnsi="Calibri"/>
        </w:rPr>
      </w:pPr>
      <w:r w:rsidRPr="005C3EC8">
        <w:rPr>
          <w:rFonts w:ascii="Calibri" w:hAnsi="Calibri"/>
        </w:rPr>
        <w:t xml:space="preserve">Her Majesty’s Revenue and Customs (HMRC) annual reports and accounts, accessed </w:t>
      </w:r>
      <w:r w:rsidR="008B195E" w:rsidRPr="005C3EC8">
        <w:rPr>
          <w:rFonts w:ascii="Calibri" w:hAnsi="Calibri"/>
        </w:rPr>
        <w:t xml:space="preserve">on </w:t>
      </w:r>
      <w:hyperlink r:id="rId102" w:history="1">
        <w:r w:rsidR="008B195E" w:rsidRPr="005C3EC8">
          <w:rPr>
            <w:rStyle w:val="Hyperlink"/>
            <w:rFonts w:ascii="Calibri" w:hAnsi="Calibri" w:cs="Calibri"/>
          </w:rPr>
          <w:t>https://www.gov.uk/government/publications/hmrc-annual-report-and-accounts-2016-to-2017</w:t>
        </w:r>
      </w:hyperlink>
      <w:r w:rsidR="008B195E" w:rsidRPr="005C3EC8">
        <w:rPr>
          <w:rFonts w:ascii="Calibri" w:hAnsi="Calibri"/>
        </w:rPr>
        <w:t xml:space="preserve"> </w:t>
      </w:r>
    </w:p>
    <w:p w14:paraId="6CD8F7CE" w14:textId="214AC9BE" w:rsidR="00F55AC9" w:rsidRPr="005C3EC8" w:rsidRDefault="00F55AC9" w:rsidP="00CE3CEA">
      <w:pPr>
        <w:numPr>
          <w:ilvl w:val="0"/>
          <w:numId w:val="4"/>
        </w:numPr>
        <w:spacing w:before="120"/>
        <w:rPr>
          <w:rFonts w:ascii="Calibri" w:hAnsi="Calibri"/>
        </w:rPr>
      </w:pPr>
      <w:r w:rsidRPr="005C3EC8">
        <w:t xml:space="preserve">Gov.uk, ‘HMRC Tax Receipts and National Insurance Contributions for the UK’, accessed </w:t>
      </w:r>
      <w:r w:rsidR="00E96E4C" w:rsidRPr="005C3EC8">
        <w:t xml:space="preserve">on </w:t>
      </w:r>
      <w:hyperlink r:id="rId103" w:history="1">
        <w:r w:rsidR="00E96E4C" w:rsidRPr="005C3EC8">
          <w:rPr>
            <w:rStyle w:val="Hyperlink"/>
            <w:rFonts w:cs="Calibri"/>
          </w:rPr>
          <w:t>https://www.gov.uk/government/statistics/hmrc-tax-and-nics-receipts-for-the-uk</w:t>
        </w:r>
      </w:hyperlink>
      <w:r w:rsidR="00E96E4C" w:rsidRPr="005C3EC8">
        <w:t xml:space="preserve"> </w:t>
      </w:r>
    </w:p>
    <w:p w14:paraId="2EA11CA1" w14:textId="5882974D" w:rsidR="009D043B" w:rsidRPr="005C3EC8" w:rsidRDefault="00CE3CEA" w:rsidP="00CE3CEA">
      <w:pPr>
        <w:numPr>
          <w:ilvl w:val="0"/>
          <w:numId w:val="4"/>
        </w:numPr>
        <w:spacing w:before="120"/>
        <w:rPr>
          <w:rFonts w:ascii="Calibri" w:hAnsi="Calibri"/>
        </w:rPr>
      </w:pPr>
      <w:r w:rsidRPr="005C3EC8">
        <w:rPr>
          <w:rFonts w:ascii="Calibri" w:hAnsi="Calibri"/>
        </w:rPr>
        <w:lastRenderedPageBreak/>
        <w:t xml:space="preserve">HM Treasury (December 2014), ‘Driving investment: a plan to reform the oil and gas fiscal regime’, accessed </w:t>
      </w:r>
      <w:r w:rsidR="00E96E4C" w:rsidRPr="005C3EC8">
        <w:rPr>
          <w:rFonts w:ascii="Calibri" w:hAnsi="Calibri"/>
        </w:rPr>
        <w:t xml:space="preserve">on </w:t>
      </w:r>
      <w:hyperlink r:id="rId104" w:history="1">
        <w:r w:rsidR="00E96E4C" w:rsidRPr="005C3EC8">
          <w:rPr>
            <w:rStyle w:val="Hyperlink"/>
            <w:rFonts w:ascii="Calibri" w:hAnsi="Calibri" w:cs="Calibri"/>
          </w:rPr>
          <w:t>https://assets.publishing.service.gov.uk/government/uploads/system/uploads/attachment_data/file/382785/PU1721_Driving_investment_-_a_plan_to_reform_the_oil_and_gas_fiscal_regime.pdf</w:t>
        </w:r>
      </w:hyperlink>
      <w:r w:rsidR="00E96E4C" w:rsidRPr="005C3EC8">
        <w:rPr>
          <w:rFonts w:ascii="Calibri" w:hAnsi="Calibri"/>
        </w:rPr>
        <w:t xml:space="preserve"> </w:t>
      </w:r>
    </w:p>
    <w:p w14:paraId="644A73F8" w14:textId="0A2C5C36" w:rsidR="009D043B" w:rsidRPr="005C3EC8" w:rsidRDefault="00CE3CEA" w:rsidP="00CE3CEA">
      <w:pPr>
        <w:numPr>
          <w:ilvl w:val="0"/>
          <w:numId w:val="4"/>
        </w:numPr>
        <w:spacing w:before="120"/>
        <w:rPr>
          <w:rFonts w:ascii="Calibri" w:hAnsi="Calibri"/>
        </w:rPr>
      </w:pPr>
      <w:r w:rsidRPr="005C3EC8">
        <w:rPr>
          <w:rFonts w:ascii="Calibri" w:hAnsi="Calibri"/>
        </w:rPr>
        <w:t xml:space="preserve">HM Treasury (November 2016), ‘Autumn Statement 2016’, accessed </w:t>
      </w:r>
      <w:r w:rsidR="00E96E4C" w:rsidRPr="005C3EC8">
        <w:rPr>
          <w:rFonts w:ascii="Calibri" w:hAnsi="Calibri"/>
        </w:rPr>
        <w:t xml:space="preserve">on </w:t>
      </w:r>
      <w:hyperlink r:id="rId105" w:history="1">
        <w:r w:rsidR="00E96E4C" w:rsidRPr="005C3EC8">
          <w:rPr>
            <w:rStyle w:val="Hyperlink"/>
            <w:rFonts w:ascii="Calibri" w:hAnsi="Calibri" w:cs="Calibri"/>
          </w:rPr>
          <w:t>https://www.gov.uk/government/publications/autumn-statement-2016-documents/autumn-statement-2016</w:t>
        </w:r>
      </w:hyperlink>
      <w:r w:rsidR="00E96E4C" w:rsidRPr="005C3EC8">
        <w:rPr>
          <w:rFonts w:ascii="Calibri" w:hAnsi="Calibri"/>
        </w:rPr>
        <w:t xml:space="preserve"> </w:t>
      </w:r>
    </w:p>
    <w:p w14:paraId="151234F5" w14:textId="0A1CCCCA" w:rsidR="001A1B77" w:rsidRPr="005C3EC8" w:rsidRDefault="001A1B77" w:rsidP="00CE3CEA">
      <w:pPr>
        <w:numPr>
          <w:ilvl w:val="0"/>
          <w:numId w:val="4"/>
        </w:numPr>
        <w:spacing w:before="120"/>
        <w:rPr>
          <w:rFonts w:ascii="Calibri" w:hAnsi="Calibri"/>
        </w:rPr>
      </w:pPr>
      <w:r w:rsidRPr="005C3EC8">
        <w:t xml:space="preserve">UK Public Revenue website, accessed </w:t>
      </w:r>
      <w:r w:rsidR="00E96E4C" w:rsidRPr="005C3EC8">
        <w:t xml:space="preserve">on </w:t>
      </w:r>
      <w:hyperlink r:id="rId106" w:history="1">
        <w:r w:rsidR="00E96E4C" w:rsidRPr="005C3EC8">
          <w:rPr>
            <w:rStyle w:val="Hyperlink"/>
            <w:rFonts w:cs="Calibri"/>
          </w:rPr>
          <w:t>https://www.ukpublicrevenue.co.uk/</w:t>
        </w:r>
      </w:hyperlink>
      <w:r w:rsidR="00E96E4C" w:rsidRPr="005C3EC8">
        <w:t xml:space="preserve"> </w:t>
      </w:r>
    </w:p>
    <w:p w14:paraId="1AA5C954" w14:textId="50CE6A51" w:rsidR="00482002" w:rsidRPr="005C3EC8" w:rsidRDefault="00CE3CEA" w:rsidP="00482002">
      <w:pPr>
        <w:numPr>
          <w:ilvl w:val="0"/>
          <w:numId w:val="4"/>
        </w:numPr>
        <w:spacing w:before="120"/>
        <w:rPr>
          <w:rFonts w:ascii="Calibri" w:hAnsi="Calibri"/>
        </w:rPr>
      </w:pPr>
      <w:r w:rsidRPr="005C3EC8">
        <w:rPr>
          <w:rFonts w:ascii="Calibri" w:hAnsi="Calibri"/>
        </w:rPr>
        <w:t xml:space="preserve">UK Parliament, Written questions and answers section, accessed </w:t>
      </w:r>
      <w:r w:rsidR="00E96E4C" w:rsidRPr="005C3EC8">
        <w:rPr>
          <w:rFonts w:ascii="Calibri" w:hAnsi="Calibri"/>
        </w:rPr>
        <w:t xml:space="preserve">on </w:t>
      </w:r>
      <w:hyperlink r:id="rId107" w:history="1">
        <w:r w:rsidR="00E96E4C" w:rsidRPr="005C3EC8">
          <w:rPr>
            <w:rStyle w:val="Hyperlink"/>
            <w:rFonts w:ascii="Calibri" w:hAnsi="Calibri" w:cs="Calibri"/>
          </w:rPr>
          <w:t>https://www.parliament.uk/business/publications/written-questions-answers-statements/written-questions-answers/</w:t>
        </w:r>
      </w:hyperlink>
      <w:r w:rsidR="00E96E4C" w:rsidRPr="005C3EC8">
        <w:rPr>
          <w:rFonts w:ascii="Calibri" w:hAnsi="Calibri"/>
        </w:rPr>
        <w:t xml:space="preserve"> </w:t>
      </w:r>
    </w:p>
    <w:p w14:paraId="29A03C3E" w14:textId="6FC19BC3" w:rsidR="009D043B" w:rsidRPr="005C3EC8" w:rsidRDefault="005A36AA" w:rsidP="005A36AA">
      <w:pPr>
        <w:pStyle w:val="Heading3"/>
      </w:pPr>
      <w:r w:rsidRPr="005C3EC8">
        <w:t>Oil and gas</w:t>
      </w:r>
    </w:p>
    <w:p w14:paraId="01ED97E3" w14:textId="16D40674" w:rsidR="0053757D" w:rsidRPr="005C3EC8" w:rsidRDefault="0053757D" w:rsidP="003210C0">
      <w:pPr>
        <w:numPr>
          <w:ilvl w:val="0"/>
          <w:numId w:val="4"/>
        </w:numPr>
        <w:spacing w:before="120"/>
        <w:rPr>
          <w:rFonts w:ascii="Calibri" w:hAnsi="Calibri"/>
        </w:rPr>
      </w:pPr>
      <w:r w:rsidRPr="005C3EC8">
        <w:rPr>
          <w:rFonts w:ascii="Calibri" w:hAnsi="Calibri"/>
        </w:rPr>
        <w:t>Gov.uk, ‘Collection: Energy trends’, accesse</w:t>
      </w:r>
      <w:r w:rsidR="00E96E4C" w:rsidRPr="005C3EC8">
        <w:rPr>
          <w:rFonts w:ascii="Calibri" w:hAnsi="Calibri"/>
        </w:rPr>
        <w:t xml:space="preserve">d on </w:t>
      </w:r>
      <w:hyperlink r:id="rId108" w:history="1">
        <w:r w:rsidR="00E96E4C" w:rsidRPr="005C3EC8">
          <w:rPr>
            <w:rStyle w:val="Hyperlink"/>
            <w:rFonts w:ascii="Calibri" w:hAnsi="Calibri" w:cs="Calibri"/>
          </w:rPr>
          <w:t>https://www.gov.uk/government/collections/energy-trends</w:t>
        </w:r>
      </w:hyperlink>
      <w:r w:rsidR="00E96E4C" w:rsidRPr="005C3EC8">
        <w:rPr>
          <w:rFonts w:ascii="Calibri" w:hAnsi="Calibri"/>
        </w:rPr>
        <w:t xml:space="preserve"> </w:t>
      </w:r>
    </w:p>
    <w:p w14:paraId="12E88B73" w14:textId="56B70905" w:rsidR="0053757D" w:rsidRPr="005C3EC8" w:rsidRDefault="0053757D" w:rsidP="003210C0">
      <w:pPr>
        <w:numPr>
          <w:ilvl w:val="0"/>
          <w:numId w:val="4"/>
        </w:numPr>
        <w:spacing w:before="120"/>
        <w:rPr>
          <w:rFonts w:ascii="Calibri" w:hAnsi="Calibri"/>
        </w:rPr>
      </w:pPr>
      <w:r w:rsidRPr="005C3EC8">
        <w:rPr>
          <w:rFonts w:ascii="Calibri" w:hAnsi="Calibri"/>
        </w:rPr>
        <w:t xml:space="preserve">Gov.uk, ‘Digest of UK Energy Statistics (DUKES)’, accessed </w:t>
      </w:r>
      <w:r w:rsidR="00E96E4C" w:rsidRPr="005C3EC8">
        <w:rPr>
          <w:rFonts w:ascii="Calibri" w:hAnsi="Calibri"/>
        </w:rPr>
        <w:t xml:space="preserve">on </w:t>
      </w:r>
      <w:hyperlink r:id="rId109" w:history="1">
        <w:r w:rsidR="00E96E4C" w:rsidRPr="005C3EC8">
          <w:rPr>
            <w:rStyle w:val="Hyperlink"/>
            <w:rFonts w:ascii="Calibri" w:hAnsi="Calibri" w:cs="Calibri"/>
          </w:rPr>
          <w:t>https://www.gov.uk/government/statistics/energy-chapter-1-digest-of-united-kingdom-energy-statistics-dukes</w:t>
        </w:r>
      </w:hyperlink>
      <w:r w:rsidR="00E96E4C" w:rsidRPr="005C3EC8">
        <w:rPr>
          <w:rFonts w:ascii="Calibri" w:hAnsi="Calibri"/>
        </w:rPr>
        <w:t xml:space="preserve"> </w:t>
      </w:r>
    </w:p>
    <w:p w14:paraId="7E3A8627" w14:textId="1AEB8E42" w:rsidR="0053757D" w:rsidRPr="005C3EC8" w:rsidRDefault="0053757D" w:rsidP="00BF3628">
      <w:pPr>
        <w:numPr>
          <w:ilvl w:val="0"/>
          <w:numId w:val="4"/>
        </w:numPr>
        <w:spacing w:before="120"/>
        <w:rPr>
          <w:rFonts w:ascii="Calibri" w:hAnsi="Calibri"/>
        </w:rPr>
      </w:pPr>
      <w:r w:rsidRPr="005C3EC8">
        <w:t xml:space="preserve">Gov.uk, ‘Government revenues from UK oil and gas production’, accessed </w:t>
      </w:r>
      <w:r w:rsidR="00E96E4C" w:rsidRPr="005C3EC8">
        <w:t xml:space="preserve">on </w:t>
      </w:r>
      <w:hyperlink r:id="rId110" w:history="1">
        <w:r w:rsidR="00E96E4C" w:rsidRPr="005C3EC8">
          <w:rPr>
            <w:rStyle w:val="Hyperlink"/>
            <w:rFonts w:cs="Calibri"/>
          </w:rPr>
          <w:t>https://www.gov.uk/government/collections/petroleum-revenue-tax-prt-and-government-revenues-from-uk-oil-and-gas-production</w:t>
        </w:r>
      </w:hyperlink>
      <w:r w:rsidR="00E96E4C" w:rsidRPr="005C3EC8">
        <w:t xml:space="preserve"> </w:t>
      </w:r>
    </w:p>
    <w:p w14:paraId="26399309" w14:textId="454A14BE" w:rsidR="0053757D" w:rsidRPr="005C3EC8" w:rsidRDefault="0053757D" w:rsidP="00BF3628">
      <w:pPr>
        <w:numPr>
          <w:ilvl w:val="0"/>
          <w:numId w:val="4"/>
        </w:numPr>
        <w:spacing w:before="120"/>
        <w:rPr>
          <w:rFonts w:ascii="Calibri" w:hAnsi="Calibri"/>
        </w:rPr>
      </w:pPr>
      <w:r w:rsidRPr="005C3EC8">
        <w:t xml:space="preserve">Oil and Gas UK website, Publications shop, accessed </w:t>
      </w:r>
      <w:r w:rsidR="00E96E4C" w:rsidRPr="005C3EC8">
        <w:t xml:space="preserve">on </w:t>
      </w:r>
      <w:hyperlink r:id="rId111" w:history="1">
        <w:r w:rsidR="00E96E4C" w:rsidRPr="005C3EC8">
          <w:rPr>
            <w:rStyle w:val="Hyperlink"/>
            <w:rFonts w:cs="Calibri"/>
          </w:rPr>
          <w:t>https://oilandgasuk.co.uk/publications-shop/</w:t>
        </w:r>
      </w:hyperlink>
      <w:r w:rsidR="00E96E4C" w:rsidRPr="005C3EC8">
        <w:t xml:space="preserve"> </w:t>
      </w:r>
    </w:p>
    <w:p w14:paraId="09CA8655" w14:textId="49057C35" w:rsidR="0053757D" w:rsidRPr="005C3EC8" w:rsidRDefault="0053757D" w:rsidP="00CE3CEA">
      <w:pPr>
        <w:numPr>
          <w:ilvl w:val="0"/>
          <w:numId w:val="4"/>
        </w:numPr>
        <w:spacing w:before="120"/>
        <w:rPr>
          <w:rFonts w:ascii="Calibri" w:hAnsi="Calibri"/>
        </w:rPr>
      </w:pPr>
      <w:r w:rsidRPr="005C3EC8">
        <w:rPr>
          <w:rFonts w:ascii="Calibri" w:hAnsi="Calibri"/>
        </w:rPr>
        <w:t xml:space="preserve">The Oil and Gas Authority (August 2018), ‘Financial Guidance’, accessed </w:t>
      </w:r>
      <w:r w:rsidR="00E96E4C" w:rsidRPr="005C3EC8">
        <w:rPr>
          <w:rFonts w:ascii="Calibri" w:hAnsi="Calibri"/>
        </w:rPr>
        <w:t xml:space="preserve">on </w:t>
      </w:r>
      <w:hyperlink r:id="rId112" w:history="1">
        <w:r w:rsidR="00E96E4C" w:rsidRPr="005C3EC8">
          <w:rPr>
            <w:rStyle w:val="Hyperlink"/>
            <w:rFonts w:ascii="Calibri" w:hAnsi="Calibri" w:cs="Calibri"/>
          </w:rPr>
          <w:t>https://www.ogauthority.co.uk/news-publications/publications/2018/financial-guidance/</w:t>
        </w:r>
      </w:hyperlink>
      <w:r w:rsidR="00E96E4C" w:rsidRPr="005C3EC8">
        <w:rPr>
          <w:rFonts w:ascii="Calibri" w:hAnsi="Calibri"/>
        </w:rPr>
        <w:t xml:space="preserve"> </w:t>
      </w:r>
    </w:p>
    <w:p w14:paraId="399017FD" w14:textId="3F265FD2" w:rsidR="0053757D" w:rsidRPr="005C3EC8" w:rsidRDefault="0053757D" w:rsidP="00BF3628">
      <w:pPr>
        <w:numPr>
          <w:ilvl w:val="0"/>
          <w:numId w:val="4"/>
        </w:numPr>
        <w:spacing w:before="120"/>
        <w:rPr>
          <w:rFonts w:ascii="Calibri" w:hAnsi="Calibri"/>
        </w:rPr>
      </w:pPr>
      <w:r w:rsidRPr="005C3EC8">
        <w:t xml:space="preserve">The Oil and Gas Authority (July 2017), OGA Annual Report and Accounts 2016-17, accessed </w:t>
      </w:r>
      <w:r w:rsidR="00E96E4C" w:rsidRPr="005C3EC8">
        <w:t xml:space="preserve">on </w:t>
      </w:r>
      <w:hyperlink r:id="rId113" w:history="1">
        <w:r w:rsidR="00E96E4C" w:rsidRPr="005C3EC8">
          <w:rPr>
            <w:rStyle w:val="Hyperlink"/>
            <w:rFonts w:cs="Calibri"/>
          </w:rPr>
          <w:t>https://www.ogauthority.co.uk/news-publications/publications/2017/oga-annual-report-and-accounts-2016-17/</w:t>
        </w:r>
      </w:hyperlink>
      <w:r w:rsidR="00E96E4C" w:rsidRPr="005C3EC8">
        <w:t xml:space="preserve"> </w:t>
      </w:r>
    </w:p>
    <w:p w14:paraId="67F505B9" w14:textId="2E3B7BB8" w:rsidR="0053757D" w:rsidRPr="005C3EC8" w:rsidRDefault="0053757D" w:rsidP="00BF3628">
      <w:pPr>
        <w:numPr>
          <w:ilvl w:val="0"/>
          <w:numId w:val="4"/>
        </w:numPr>
        <w:spacing w:before="120"/>
        <w:rPr>
          <w:rFonts w:ascii="Calibri" w:hAnsi="Calibri"/>
        </w:rPr>
      </w:pPr>
      <w:r w:rsidRPr="005C3EC8">
        <w:rPr>
          <w:rFonts w:ascii="Calibri" w:hAnsi="Calibri"/>
        </w:rPr>
        <w:t xml:space="preserve">The Oil and Gas Authority </w:t>
      </w:r>
      <w:r w:rsidRPr="005C3EC8">
        <w:t xml:space="preserve">(November 2017), ‘New Government-funded ‘Frontier’ exploration data now available’, accessed </w:t>
      </w:r>
      <w:r w:rsidR="00E96E4C" w:rsidRPr="005C3EC8">
        <w:t xml:space="preserve">on </w:t>
      </w:r>
      <w:hyperlink r:id="rId114" w:history="1">
        <w:r w:rsidR="00E96E4C" w:rsidRPr="005C3EC8">
          <w:rPr>
            <w:rStyle w:val="Hyperlink"/>
            <w:rFonts w:cs="Calibri"/>
          </w:rPr>
          <w:t>https://www.ogauthority.co.uk/news-publications/news/2017/gov-funded-seismic-data-launch/</w:t>
        </w:r>
      </w:hyperlink>
      <w:r w:rsidR="00E96E4C" w:rsidRPr="005C3EC8">
        <w:t xml:space="preserve"> </w:t>
      </w:r>
    </w:p>
    <w:p w14:paraId="3DE9689E" w14:textId="53E9B524" w:rsidR="0053757D" w:rsidRPr="005C3EC8" w:rsidRDefault="0053757D" w:rsidP="00BF3628">
      <w:pPr>
        <w:numPr>
          <w:ilvl w:val="0"/>
          <w:numId w:val="4"/>
        </w:numPr>
        <w:spacing w:before="120"/>
        <w:rPr>
          <w:rFonts w:ascii="Calibri" w:hAnsi="Calibri"/>
        </w:rPr>
      </w:pPr>
      <w:r w:rsidRPr="005C3EC8">
        <w:lastRenderedPageBreak/>
        <w:t>The Oil and Gas Authority (OGA)</w:t>
      </w:r>
      <w:r w:rsidRPr="005C3EC8">
        <w:rPr>
          <w:rFonts w:ascii="Calibri" w:hAnsi="Calibri"/>
        </w:rPr>
        <w:t xml:space="preserve"> </w:t>
      </w:r>
      <w:r w:rsidRPr="005C3EC8">
        <w:t xml:space="preserve">(September 2017), ‘OGA welcomes further government support for exploration’, accessed </w:t>
      </w:r>
      <w:r w:rsidR="00E96E4C" w:rsidRPr="005C3EC8">
        <w:t xml:space="preserve">on </w:t>
      </w:r>
      <w:hyperlink r:id="rId115" w:history="1">
        <w:r w:rsidR="00E96E4C" w:rsidRPr="005C3EC8">
          <w:rPr>
            <w:rStyle w:val="Hyperlink"/>
            <w:rFonts w:cs="Calibri"/>
          </w:rPr>
          <w:t>https://www.ogauthority.co.uk/news-publications/news/2017/oga-welcomes-further-government-support-for-exploration/</w:t>
        </w:r>
      </w:hyperlink>
      <w:r w:rsidR="00E96E4C" w:rsidRPr="005C3EC8">
        <w:t xml:space="preserve"> </w:t>
      </w:r>
    </w:p>
    <w:p w14:paraId="249073DD" w14:textId="373DF824" w:rsidR="0053757D" w:rsidRPr="005C3EC8" w:rsidRDefault="0053757D" w:rsidP="0053757D">
      <w:pPr>
        <w:numPr>
          <w:ilvl w:val="0"/>
          <w:numId w:val="4"/>
        </w:numPr>
        <w:spacing w:before="120"/>
        <w:rPr>
          <w:rFonts w:ascii="Calibri" w:hAnsi="Calibri"/>
        </w:rPr>
      </w:pPr>
      <w:r w:rsidRPr="005C3EC8">
        <w:t>The Oil and Gas Authority (OGA)</w:t>
      </w:r>
      <w:r w:rsidRPr="005C3EC8">
        <w:rPr>
          <w:rFonts w:ascii="Calibri" w:hAnsi="Calibri"/>
        </w:rPr>
        <w:t xml:space="preserve">, Energy Portal, accessed </w:t>
      </w:r>
      <w:r w:rsidR="00E96E4C" w:rsidRPr="005C3EC8">
        <w:rPr>
          <w:rFonts w:ascii="Calibri" w:hAnsi="Calibri"/>
        </w:rPr>
        <w:t xml:space="preserve">on </w:t>
      </w:r>
      <w:hyperlink r:id="rId116" w:history="1">
        <w:r w:rsidR="00E96E4C" w:rsidRPr="005C3EC8">
          <w:rPr>
            <w:rStyle w:val="Hyperlink"/>
            <w:rFonts w:ascii="Calibri" w:hAnsi="Calibri" w:cs="Calibri"/>
          </w:rPr>
          <w:t>https://itportal.ogauthority.co.uk/web_files/recent_licences/oglicences.htm</w:t>
        </w:r>
      </w:hyperlink>
      <w:r w:rsidR="00E96E4C" w:rsidRPr="005C3EC8">
        <w:rPr>
          <w:rFonts w:ascii="Calibri" w:hAnsi="Calibri"/>
        </w:rPr>
        <w:t xml:space="preserve"> </w:t>
      </w:r>
    </w:p>
    <w:p w14:paraId="01EC0973" w14:textId="25CD8E49" w:rsidR="0053757D" w:rsidRPr="005C3EC8" w:rsidRDefault="0053757D" w:rsidP="0053757D">
      <w:pPr>
        <w:numPr>
          <w:ilvl w:val="0"/>
          <w:numId w:val="4"/>
        </w:numPr>
        <w:spacing w:before="120"/>
        <w:rPr>
          <w:rFonts w:ascii="Calibri" w:hAnsi="Calibri"/>
        </w:rPr>
      </w:pPr>
      <w:r w:rsidRPr="005C3EC8">
        <w:t xml:space="preserve">The Oil and Gas Authority (OGA) </w:t>
      </w:r>
      <w:r w:rsidRPr="005C3EC8">
        <w:rPr>
          <w:rFonts w:ascii="Calibri" w:hAnsi="Calibri"/>
        </w:rPr>
        <w:t xml:space="preserve">website, ‘Data centre’, accessed </w:t>
      </w:r>
      <w:r w:rsidR="00E96E4C" w:rsidRPr="005C3EC8">
        <w:rPr>
          <w:rFonts w:ascii="Calibri" w:hAnsi="Calibri"/>
        </w:rPr>
        <w:t xml:space="preserve">on </w:t>
      </w:r>
      <w:hyperlink r:id="rId117" w:history="1">
        <w:r w:rsidR="00E96E4C" w:rsidRPr="005C3EC8">
          <w:rPr>
            <w:rStyle w:val="Hyperlink"/>
            <w:rFonts w:ascii="Calibri" w:hAnsi="Calibri" w:cs="Calibri"/>
          </w:rPr>
          <w:t>https://www.ogauthority.co.uk/data-centre/</w:t>
        </w:r>
      </w:hyperlink>
      <w:r w:rsidR="00E96E4C" w:rsidRPr="005C3EC8">
        <w:rPr>
          <w:rFonts w:ascii="Calibri" w:hAnsi="Calibri"/>
        </w:rPr>
        <w:t xml:space="preserve"> </w:t>
      </w:r>
    </w:p>
    <w:p w14:paraId="285FE54A" w14:textId="21EADD2D" w:rsidR="0053757D" w:rsidRPr="005C3EC8" w:rsidRDefault="0053757D" w:rsidP="0053757D">
      <w:pPr>
        <w:numPr>
          <w:ilvl w:val="0"/>
          <w:numId w:val="4"/>
        </w:numPr>
        <w:spacing w:before="120"/>
        <w:rPr>
          <w:rFonts w:ascii="Calibri" w:hAnsi="Calibri"/>
        </w:rPr>
      </w:pPr>
      <w:r w:rsidRPr="005C3EC8">
        <w:t xml:space="preserve">The Oil and Gas Authority (OGA) </w:t>
      </w:r>
      <w:r w:rsidRPr="005C3EC8">
        <w:rPr>
          <w:rFonts w:ascii="Calibri" w:hAnsi="Calibri"/>
        </w:rPr>
        <w:t xml:space="preserve">website, Overview section, accessed </w:t>
      </w:r>
      <w:r w:rsidR="00E96E4C" w:rsidRPr="005C3EC8">
        <w:rPr>
          <w:rFonts w:ascii="Calibri" w:hAnsi="Calibri"/>
        </w:rPr>
        <w:t xml:space="preserve">on </w:t>
      </w:r>
      <w:hyperlink r:id="rId118" w:history="1">
        <w:r w:rsidR="00E96E4C" w:rsidRPr="005C3EC8">
          <w:rPr>
            <w:rStyle w:val="Hyperlink"/>
            <w:rFonts w:ascii="Calibri" w:hAnsi="Calibri" w:cs="Calibri"/>
          </w:rPr>
          <w:t>https://www.ogauthority.co.uk/licensing-consents/overview/</w:t>
        </w:r>
      </w:hyperlink>
      <w:r w:rsidR="00E96E4C" w:rsidRPr="005C3EC8">
        <w:rPr>
          <w:rFonts w:ascii="Calibri" w:hAnsi="Calibri"/>
        </w:rPr>
        <w:t xml:space="preserve"> </w:t>
      </w:r>
    </w:p>
    <w:p w14:paraId="2956B833" w14:textId="0F282C07" w:rsidR="0053757D" w:rsidRPr="005C3EC8" w:rsidRDefault="0053757D" w:rsidP="0053757D">
      <w:pPr>
        <w:numPr>
          <w:ilvl w:val="0"/>
          <w:numId w:val="4"/>
        </w:numPr>
        <w:spacing w:before="120"/>
        <w:rPr>
          <w:rFonts w:ascii="Calibri" w:hAnsi="Calibri"/>
        </w:rPr>
      </w:pPr>
      <w:r w:rsidRPr="005C3EC8">
        <w:t xml:space="preserve">The Oil and Gas Authority (OGA) </w:t>
      </w:r>
      <w:r w:rsidRPr="005C3EC8">
        <w:rPr>
          <w:rFonts w:ascii="Calibri" w:hAnsi="Calibri"/>
        </w:rPr>
        <w:t xml:space="preserve">website, About us section, accessed </w:t>
      </w:r>
      <w:r w:rsidR="00E96E4C" w:rsidRPr="005C3EC8">
        <w:rPr>
          <w:rFonts w:ascii="Calibri" w:hAnsi="Calibri"/>
        </w:rPr>
        <w:t xml:space="preserve">on </w:t>
      </w:r>
      <w:hyperlink r:id="rId119" w:history="1">
        <w:r w:rsidR="00E96E4C" w:rsidRPr="005C3EC8">
          <w:rPr>
            <w:rStyle w:val="Hyperlink"/>
            <w:rFonts w:ascii="Calibri" w:hAnsi="Calibri" w:cs="Calibri"/>
          </w:rPr>
          <w:t>https://www.ogauthority.co.uk/about-us/</w:t>
        </w:r>
      </w:hyperlink>
      <w:r w:rsidRPr="005C3EC8">
        <w:rPr>
          <w:rFonts w:ascii="Calibri" w:hAnsi="Calibri"/>
        </w:rPr>
        <w:t xml:space="preserve"> </w:t>
      </w:r>
    </w:p>
    <w:p w14:paraId="4EF32201" w14:textId="070CD09C" w:rsidR="0053757D" w:rsidRPr="005C3EC8" w:rsidRDefault="0053757D" w:rsidP="00CE3CEA">
      <w:pPr>
        <w:numPr>
          <w:ilvl w:val="0"/>
          <w:numId w:val="4"/>
        </w:numPr>
        <w:spacing w:before="120"/>
        <w:rPr>
          <w:rFonts w:ascii="Calibri" w:hAnsi="Calibri"/>
        </w:rPr>
      </w:pPr>
      <w:r w:rsidRPr="005C3EC8">
        <w:t xml:space="preserve">The Oil and Gas Authority (OGA) </w:t>
      </w:r>
      <w:r w:rsidRPr="005C3EC8">
        <w:rPr>
          <w:rFonts w:ascii="Calibri" w:hAnsi="Calibri"/>
        </w:rPr>
        <w:t xml:space="preserve">website, ‘Interactive maps and tools’, accessed </w:t>
      </w:r>
      <w:r w:rsidR="00E96E4C" w:rsidRPr="005C3EC8">
        <w:rPr>
          <w:rFonts w:ascii="Calibri" w:hAnsi="Calibri"/>
        </w:rPr>
        <w:t xml:space="preserve">on </w:t>
      </w:r>
      <w:hyperlink r:id="rId120" w:history="1">
        <w:r w:rsidR="00E96E4C" w:rsidRPr="005C3EC8">
          <w:rPr>
            <w:rStyle w:val="Hyperlink"/>
            <w:rFonts w:ascii="Calibri" w:hAnsi="Calibri" w:cs="Calibri"/>
          </w:rPr>
          <w:t>https://www.ogauthority.co.uk/data-centre/interactive-maps-and-tools/</w:t>
        </w:r>
      </w:hyperlink>
      <w:r w:rsidR="00E96E4C" w:rsidRPr="005C3EC8">
        <w:rPr>
          <w:rFonts w:ascii="Calibri" w:hAnsi="Calibri"/>
        </w:rPr>
        <w:t xml:space="preserve"> </w:t>
      </w:r>
    </w:p>
    <w:p w14:paraId="48B14AB3" w14:textId="14E6DFA9" w:rsidR="0053757D" w:rsidRPr="005C3EC8" w:rsidRDefault="0053757D" w:rsidP="003210C0">
      <w:pPr>
        <w:numPr>
          <w:ilvl w:val="0"/>
          <w:numId w:val="4"/>
        </w:numPr>
        <w:spacing w:before="120"/>
        <w:rPr>
          <w:rFonts w:ascii="Calibri" w:hAnsi="Calibri"/>
        </w:rPr>
      </w:pPr>
      <w:r w:rsidRPr="005C3EC8">
        <w:t xml:space="preserve">The Oil and Gas Authority (OGA) </w:t>
      </w:r>
      <w:r w:rsidRPr="005C3EC8">
        <w:rPr>
          <w:rFonts w:ascii="Calibri" w:hAnsi="Calibri"/>
        </w:rPr>
        <w:t xml:space="preserve">website, ‘Oil and Gas Authority Open Data’, accessed </w:t>
      </w:r>
      <w:r w:rsidR="00E96E4C" w:rsidRPr="005C3EC8">
        <w:rPr>
          <w:rFonts w:ascii="Calibri" w:hAnsi="Calibri"/>
        </w:rPr>
        <w:t xml:space="preserve">on </w:t>
      </w:r>
      <w:hyperlink r:id="rId121" w:history="1">
        <w:r w:rsidR="00E96E4C" w:rsidRPr="005C3EC8">
          <w:rPr>
            <w:rStyle w:val="Hyperlink"/>
            <w:rFonts w:ascii="Calibri" w:hAnsi="Calibri" w:cs="Calibri"/>
          </w:rPr>
          <w:t>http://data-ogauthority.opendata.arcgis.com/</w:t>
        </w:r>
      </w:hyperlink>
      <w:r w:rsidR="00E96E4C" w:rsidRPr="005C3EC8">
        <w:rPr>
          <w:rFonts w:ascii="Calibri" w:hAnsi="Calibri"/>
        </w:rPr>
        <w:t xml:space="preserve"> </w:t>
      </w:r>
    </w:p>
    <w:p w14:paraId="548B91A3" w14:textId="4ADD3C4F" w:rsidR="0053757D" w:rsidRPr="005C3EC8" w:rsidRDefault="0053757D" w:rsidP="00CE3CEA">
      <w:pPr>
        <w:numPr>
          <w:ilvl w:val="0"/>
          <w:numId w:val="4"/>
        </w:numPr>
        <w:spacing w:before="120"/>
        <w:rPr>
          <w:rFonts w:ascii="Calibri" w:hAnsi="Calibri"/>
        </w:rPr>
      </w:pPr>
      <w:r w:rsidRPr="005C3EC8">
        <w:t xml:space="preserve">The Oil and Gas Authority (OGA) </w:t>
      </w:r>
      <w:r w:rsidRPr="005C3EC8">
        <w:rPr>
          <w:rFonts w:ascii="Calibri" w:hAnsi="Calibri"/>
        </w:rPr>
        <w:t xml:space="preserve">website, ‘Regulatory framework’ section, accessed </w:t>
      </w:r>
      <w:r w:rsidR="00E96E4C" w:rsidRPr="005C3EC8">
        <w:rPr>
          <w:rFonts w:ascii="Calibri" w:hAnsi="Calibri"/>
        </w:rPr>
        <w:t xml:space="preserve">on </w:t>
      </w:r>
      <w:hyperlink r:id="rId122" w:history="1">
        <w:r w:rsidR="00E96E4C" w:rsidRPr="005C3EC8">
          <w:rPr>
            <w:rStyle w:val="Hyperlink"/>
            <w:rFonts w:ascii="Calibri" w:hAnsi="Calibri" w:cs="Calibri"/>
          </w:rPr>
          <w:t>https://www.ogauthority.co.uk/regulatory-framework/</w:t>
        </w:r>
      </w:hyperlink>
      <w:r w:rsidR="00E96E4C" w:rsidRPr="005C3EC8">
        <w:rPr>
          <w:rFonts w:ascii="Calibri" w:hAnsi="Calibri"/>
        </w:rPr>
        <w:t xml:space="preserve"> </w:t>
      </w:r>
    </w:p>
    <w:p w14:paraId="1DB0ED23" w14:textId="1C7D4D6B" w:rsidR="0053757D" w:rsidRPr="005C3EC8" w:rsidRDefault="0053757D" w:rsidP="00BF3628">
      <w:pPr>
        <w:numPr>
          <w:ilvl w:val="0"/>
          <w:numId w:val="4"/>
        </w:numPr>
        <w:spacing w:before="120"/>
        <w:rPr>
          <w:rFonts w:ascii="Calibri" w:hAnsi="Calibri"/>
        </w:rPr>
      </w:pPr>
      <w:r w:rsidRPr="005C3EC8">
        <w:t xml:space="preserve">The Oil and Gas Authority (OGA) website, EITI webpage, accessed </w:t>
      </w:r>
      <w:r w:rsidR="00E96E4C" w:rsidRPr="005C3EC8">
        <w:t xml:space="preserve">on </w:t>
      </w:r>
      <w:hyperlink r:id="rId123" w:history="1">
        <w:r w:rsidR="00E96E4C" w:rsidRPr="005C3EC8">
          <w:rPr>
            <w:rStyle w:val="Hyperlink"/>
            <w:rFonts w:cs="Calibri"/>
          </w:rPr>
          <w:t>https://www.ogauthority.co.uk/exploration-production/taxation/extractive-industries-transparency-initiative/</w:t>
        </w:r>
      </w:hyperlink>
      <w:r w:rsidR="00E96E4C" w:rsidRPr="005C3EC8">
        <w:t xml:space="preserve"> </w:t>
      </w:r>
    </w:p>
    <w:p w14:paraId="27860D71" w14:textId="6D2E12DC" w:rsidR="0053757D" w:rsidRPr="005C3EC8" w:rsidRDefault="0053757D" w:rsidP="00CE3CEA">
      <w:pPr>
        <w:numPr>
          <w:ilvl w:val="0"/>
          <w:numId w:val="4"/>
        </w:numPr>
        <w:spacing w:before="120"/>
        <w:rPr>
          <w:rFonts w:ascii="Calibri" w:hAnsi="Calibri"/>
        </w:rPr>
      </w:pPr>
      <w:r w:rsidRPr="005C3EC8">
        <w:t xml:space="preserve">The Oil and Gas Authority (OGA) </w:t>
      </w:r>
      <w:r w:rsidRPr="005C3EC8">
        <w:rPr>
          <w:rFonts w:ascii="Calibri" w:hAnsi="Calibri"/>
        </w:rPr>
        <w:t xml:space="preserve">website, License data section, accessed </w:t>
      </w:r>
      <w:r w:rsidR="00E96E4C" w:rsidRPr="005C3EC8">
        <w:rPr>
          <w:rFonts w:ascii="Calibri" w:hAnsi="Calibri"/>
        </w:rPr>
        <w:t xml:space="preserve">on </w:t>
      </w:r>
      <w:hyperlink r:id="rId124" w:history="1">
        <w:r w:rsidR="00E96E4C" w:rsidRPr="005C3EC8">
          <w:rPr>
            <w:rStyle w:val="Hyperlink"/>
            <w:rFonts w:ascii="Calibri" w:hAnsi="Calibri" w:cs="Calibri"/>
          </w:rPr>
          <w:t>https://www.ogauthority.co.uk/data-centre/data-downloads-and-publications/licence-data/</w:t>
        </w:r>
      </w:hyperlink>
      <w:r w:rsidR="00E96E4C" w:rsidRPr="005C3EC8">
        <w:rPr>
          <w:rFonts w:ascii="Calibri" w:hAnsi="Calibri"/>
        </w:rPr>
        <w:t xml:space="preserve"> </w:t>
      </w:r>
    </w:p>
    <w:p w14:paraId="5CBE6497" w14:textId="17A20FF5" w:rsidR="0053757D" w:rsidRPr="005C3EC8" w:rsidRDefault="0053757D" w:rsidP="00CE3CEA">
      <w:pPr>
        <w:numPr>
          <w:ilvl w:val="0"/>
          <w:numId w:val="4"/>
        </w:numPr>
        <w:spacing w:before="120"/>
        <w:rPr>
          <w:rFonts w:ascii="Calibri" w:hAnsi="Calibri"/>
        </w:rPr>
      </w:pPr>
      <w:r w:rsidRPr="005C3EC8">
        <w:t xml:space="preserve">The Oil and Gas Authority (OGA) </w:t>
      </w:r>
      <w:r w:rsidRPr="005C3EC8">
        <w:rPr>
          <w:rFonts w:ascii="Calibri" w:hAnsi="Calibri"/>
        </w:rPr>
        <w:t xml:space="preserve">website, Licensee criteria section, accessed </w:t>
      </w:r>
      <w:r w:rsidR="00E96E4C" w:rsidRPr="005C3EC8">
        <w:rPr>
          <w:rFonts w:ascii="Calibri" w:hAnsi="Calibri"/>
        </w:rPr>
        <w:t xml:space="preserve">on </w:t>
      </w:r>
      <w:hyperlink r:id="rId125" w:history="1">
        <w:r w:rsidR="00E96E4C" w:rsidRPr="005C3EC8">
          <w:rPr>
            <w:rStyle w:val="Hyperlink"/>
            <w:rFonts w:ascii="Calibri" w:hAnsi="Calibri" w:cs="Calibri"/>
          </w:rPr>
          <w:t>https://www.ogauthority.co.uk/licensing-consents/licensing-system/licensee-criteria/</w:t>
        </w:r>
      </w:hyperlink>
      <w:r w:rsidR="00E96E4C" w:rsidRPr="005C3EC8">
        <w:rPr>
          <w:rFonts w:ascii="Calibri" w:hAnsi="Calibri"/>
        </w:rPr>
        <w:t xml:space="preserve"> </w:t>
      </w:r>
    </w:p>
    <w:p w14:paraId="0F25EC12" w14:textId="67B68815" w:rsidR="0053757D" w:rsidRPr="005C3EC8" w:rsidRDefault="0053757D" w:rsidP="00CE3CEA">
      <w:pPr>
        <w:numPr>
          <w:ilvl w:val="0"/>
          <w:numId w:val="4"/>
        </w:numPr>
        <w:spacing w:before="120"/>
        <w:rPr>
          <w:rFonts w:ascii="Calibri" w:hAnsi="Calibri"/>
        </w:rPr>
      </w:pPr>
      <w:r w:rsidRPr="005C3EC8">
        <w:t xml:space="preserve">The Oil and Gas Authority (OGA) </w:t>
      </w:r>
      <w:r w:rsidRPr="005C3EC8">
        <w:rPr>
          <w:rFonts w:ascii="Calibri" w:hAnsi="Calibri"/>
        </w:rPr>
        <w:t xml:space="preserve">website, Licensing round, accessed </w:t>
      </w:r>
      <w:r w:rsidR="00E96E4C" w:rsidRPr="005C3EC8">
        <w:rPr>
          <w:rFonts w:ascii="Calibri" w:hAnsi="Calibri"/>
        </w:rPr>
        <w:t xml:space="preserve">on </w:t>
      </w:r>
      <w:hyperlink r:id="rId126" w:history="1">
        <w:r w:rsidR="00E96E4C" w:rsidRPr="005C3EC8">
          <w:rPr>
            <w:rStyle w:val="Hyperlink"/>
            <w:rFonts w:ascii="Calibri" w:hAnsi="Calibri" w:cs="Calibri"/>
          </w:rPr>
          <w:t>https://www.ogauthority.co.uk/licensing-consents/licensing-rounds/</w:t>
        </w:r>
      </w:hyperlink>
      <w:r w:rsidR="00E96E4C" w:rsidRPr="005C3EC8">
        <w:rPr>
          <w:rFonts w:ascii="Calibri" w:hAnsi="Calibri"/>
        </w:rPr>
        <w:t xml:space="preserve"> </w:t>
      </w:r>
    </w:p>
    <w:p w14:paraId="588BB2E8" w14:textId="73AB282B" w:rsidR="0053757D" w:rsidRPr="005C3EC8" w:rsidRDefault="0053757D" w:rsidP="0053757D">
      <w:pPr>
        <w:numPr>
          <w:ilvl w:val="0"/>
          <w:numId w:val="4"/>
        </w:numPr>
        <w:spacing w:before="120"/>
        <w:rPr>
          <w:rFonts w:ascii="Calibri" w:hAnsi="Calibri"/>
        </w:rPr>
      </w:pPr>
      <w:r w:rsidRPr="005C3EC8">
        <w:t xml:space="preserve">The Oil and Gas Authority (OGA) </w:t>
      </w:r>
      <w:r w:rsidRPr="005C3EC8">
        <w:rPr>
          <w:rFonts w:ascii="Calibri" w:hAnsi="Calibri"/>
        </w:rPr>
        <w:t xml:space="preserve">website, ‘Field consents’, accessed </w:t>
      </w:r>
      <w:r w:rsidR="00EA7B6D" w:rsidRPr="005C3EC8">
        <w:rPr>
          <w:rFonts w:ascii="Calibri" w:hAnsi="Calibri"/>
        </w:rPr>
        <w:t xml:space="preserve">on </w:t>
      </w:r>
      <w:hyperlink r:id="rId127" w:history="1">
        <w:r w:rsidR="00EA7B6D" w:rsidRPr="005C3EC8">
          <w:rPr>
            <w:rStyle w:val="Hyperlink"/>
            <w:rFonts w:ascii="Calibri" w:hAnsi="Calibri" w:cs="Calibri"/>
          </w:rPr>
          <w:t>https://www.ogauthority.co.uk/data-centre/data-downloads-and-publications/field-data/</w:t>
        </w:r>
      </w:hyperlink>
      <w:r w:rsidR="00EA7B6D" w:rsidRPr="005C3EC8">
        <w:rPr>
          <w:rFonts w:ascii="Calibri" w:hAnsi="Calibri"/>
        </w:rPr>
        <w:t xml:space="preserve"> </w:t>
      </w:r>
    </w:p>
    <w:p w14:paraId="0DF06A7E" w14:textId="407F78E0" w:rsidR="0053757D" w:rsidRPr="005C3EC8" w:rsidRDefault="0053757D" w:rsidP="0053757D">
      <w:pPr>
        <w:numPr>
          <w:ilvl w:val="0"/>
          <w:numId w:val="4"/>
        </w:numPr>
        <w:spacing w:before="120"/>
        <w:rPr>
          <w:rFonts w:ascii="Calibri" w:hAnsi="Calibri"/>
        </w:rPr>
      </w:pPr>
      <w:r w:rsidRPr="005C3EC8">
        <w:lastRenderedPageBreak/>
        <w:t xml:space="preserve">The Oil and Gas Authority (OGA) </w:t>
      </w:r>
      <w:r w:rsidRPr="005C3EC8">
        <w:rPr>
          <w:rFonts w:ascii="Calibri" w:hAnsi="Calibri"/>
        </w:rPr>
        <w:t xml:space="preserve">website, ‘License assignments’, accessed </w:t>
      </w:r>
      <w:r w:rsidR="00EA7B6D" w:rsidRPr="005C3EC8">
        <w:rPr>
          <w:rFonts w:ascii="Calibri" w:hAnsi="Calibri"/>
        </w:rPr>
        <w:t xml:space="preserve">on </w:t>
      </w:r>
      <w:hyperlink r:id="rId128" w:history="1">
        <w:r w:rsidR="00EA7B6D" w:rsidRPr="005C3EC8">
          <w:rPr>
            <w:rStyle w:val="Hyperlink"/>
            <w:rFonts w:ascii="Calibri" w:hAnsi="Calibri" w:cs="Calibri"/>
          </w:rPr>
          <w:t>https://www.ogauthority.co.uk/licensing-consents/licensing-system/licence-assignments/</w:t>
        </w:r>
      </w:hyperlink>
      <w:r w:rsidR="00EA7B6D" w:rsidRPr="005C3EC8">
        <w:rPr>
          <w:rFonts w:ascii="Calibri" w:hAnsi="Calibri"/>
        </w:rPr>
        <w:t xml:space="preserve"> </w:t>
      </w:r>
    </w:p>
    <w:p w14:paraId="37812494" w14:textId="5F06EBAA" w:rsidR="0053757D" w:rsidRPr="005C3EC8" w:rsidRDefault="0053757D" w:rsidP="0053757D">
      <w:pPr>
        <w:numPr>
          <w:ilvl w:val="0"/>
          <w:numId w:val="4"/>
        </w:numPr>
        <w:spacing w:before="120"/>
        <w:rPr>
          <w:rFonts w:ascii="Calibri" w:hAnsi="Calibri"/>
        </w:rPr>
      </w:pPr>
      <w:r w:rsidRPr="005C3EC8">
        <w:t xml:space="preserve">The Oil and Gas Authority (OGA) </w:t>
      </w:r>
      <w:r w:rsidRPr="005C3EC8">
        <w:rPr>
          <w:rFonts w:ascii="Calibri" w:hAnsi="Calibri"/>
        </w:rPr>
        <w:t xml:space="preserve">website, ‘Dates of previous and indicative timings for future licence rounds’, accessed </w:t>
      </w:r>
      <w:r w:rsidR="00EA7B6D" w:rsidRPr="005C3EC8">
        <w:rPr>
          <w:rFonts w:ascii="Calibri" w:hAnsi="Calibri"/>
        </w:rPr>
        <w:t xml:space="preserve">on </w:t>
      </w:r>
      <w:hyperlink r:id="rId129" w:anchor="tabs" w:history="1">
        <w:r w:rsidR="00EA7B6D" w:rsidRPr="005C3EC8">
          <w:rPr>
            <w:rStyle w:val="Hyperlink"/>
            <w:rFonts w:ascii="Calibri" w:hAnsi="Calibri" w:cs="Calibri"/>
          </w:rPr>
          <w:t>https://www.ogauthority.co.uk/licensing-consents/licensing-rounds/offshore-licensing-rounds#tabs</w:t>
        </w:r>
      </w:hyperlink>
      <w:r w:rsidR="00EA7B6D" w:rsidRPr="005C3EC8">
        <w:rPr>
          <w:rFonts w:ascii="Calibri" w:hAnsi="Calibri"/>
        </w:rPr>
        <w:t xml:space="preserve"> </w:t>
      </w:r>
    </w:p>
    <w:p w14:paraId="6CF6248F" w14:textId="5E37C2A3" w:rsidR="0053757D" w:rsidRPr="005C3EC8" w:rsidRDefault="0053757D" w:rsidP="00CE3CEA">
      <w:pPr>
        <w:numPr>
          <w:ilvl w:val="0"/>
          <w:numId w:val="4"/>
        </w:numPr>
        <w:spacing w:before="120"/>
        <w:rPr>
          <w:rFonts w:ascii="Calibri" w:hAnsi="Calibri"/>
        </w:rPr>
      </w:pPr>
      <w:r w:rsidRPr="005C3EC8">
        <w:t xml:space="preserve">The Oil and Gas Authority (OGA) </w:t>
      </w:r>
      <w:r w:rsidRPr="005C3EC8">
        <w:rPr>
          <w:rFonts w:ascii="Calibri" w:hAnsi="Calibri"/>
        </w:rPr>
        <w:t xml:space="preserve">website, Petroleum e-business assignments and relinquishment system (PEARS), accessed </w:t>
      </w:r>
      <w:r w:rsidR="00EA7B6D" w:rsidRPr="005C3EC8">
        <w:rPr>
          <w:rFonts w:ascii="Calibri" w:hAnsi="Calibri"/>
        </w:rPr>
        <w:t xml:space="preserve">on </w:t>
      </w:r>
      <w:hyperlink r:id="rId130" w:history="1">
        <w:r w:rsidR="00EA7B6D" w:rsidRPr="005C3EC8">
          <w:rPr>
            <w:rStyle w:val="Hyperlink"/>
            <w:rFonts w:ascii="Calibri" w:hAnsi="Calibri" w:cs="Calibri"/>
          </w:rPr>
          <w:t>https://www.ogauthority.co.uk/licensing-consents/licensing-system/petroleum-e-business-assignments-and-relinquishment-system-pears/</w:t>
        </w:r>
      </w:hyperlink>
      <w:r w:rsidR="00EA7B6D" w:rsidRPr="005C3EC8">
        <w:rPr>
          <w:rFonts w:ascii="Calibri" w:hAnsi="Calibri"/>
        </w:rPr>
        <w:t xml:space="preserve"> </w:t>
      </w:r>
    </w:p>
    <w:p w14:paraId="579A51DD" w14:textId="0192C9C8" w:rsidR="00BF3628" w:rsidRPr="005C3EC8" w:rsidRDefault="005A36AA" w:rsidP="005A36AA">
      <w:pPr>
        <w:pStyle w:val="Heading3"/>
      </w:pPr>
      <w:r w:rsidRPr="005C3EC8">
        <w:t>Mining and quarrying</w:t>
      </w:r>
    </w:p>
    <w:p w14:paraId="30987CFA" w14:textId="4E2B28F4" w:rsidR="009D043B" w:rsidRPr="005C3EC8" w:rsidRDefault="00CE3CEA" w:rsidP="00CE3CEA">
      <w:pPr>
        <w:numPr>
          <w:ilvl w:val="0"/>
          <w:numId w:val="4"/>
        </w:numPr>
        <w:spacing w:before="120"/>
        <w:rPr>
          <w:rFonts w:ascii="Calibri" w:hAnsi="Calibri"/>
        </w:rPr>
      </w:pPr>
      <w:r w:rsidRPr="005C3EC8">
        <w:rPr>
          <w:rFonts w:ascii="Calibri" w:hAnsi="Calibri"/>
        </w:rPr>
        <w:t xml:space="preserve">British Geological Survey, Legislation &amp; policy section, accessed </w:t>
      </w:r>
      <w:r w:rsidR="00EA7B6D" w:rsidRPr="005C3EC8">
        <w:rPr>
          <w:rFonts w:ascii="Calibri" w:hAnsi="Calibri"/>
        </w:rPr>
        <w:t xml:space="preserve">on </w:t>
      </w:r>
      <w:hyperlink r:id="rId131" w:history="1">
        <w:r w:rsidR="00EA7B6D" w:rsidRPr="005C3EC8">
          <w:rPr>
            <w:rStyle w:val="Hyperlink"/>
            <w:rFonts w:ascii="Calibri" w:hAnsi="Calibri" w:cs="Calibri"/>
          </w:rPr>
          <w:t>https://www.bgs.ac.uk/mineralsuk/planning/legislation/home.html</w:t>
        </w:r>
      </w:hyperlink>
      <w:r w:rsidR="00EA7B6D" w:rsidRPr="005C3EC8">
        <w:rPr>
          <w:rFonts w:ascii="Calibri" w:hAnsi="Calibri"/>
        </w:rPr>
        <w:t xml:space="preserve"> </w:t>
      </w:r>
    </w:p>
    <w:p w14:paraId="3F1CA9E4" w14:textId="0B492F0B" w:rsidR="009D043B" w:rsidRPr="005C3EC8" w:rsidRDefault="00CE3CEA" w:rsidP="00CE3CEA">
      <w:pPr>
        <w:numPr>
          <w:ilvl w:val="0"/>
          <w:numId w:val="4"/>
        </w:numPr>
        <w:spacing w:before="120"/>
        <w:rPr>
          <w:rFonts w:ascii="Calibri" w:hAnsi="Calibri"/>
        </w:rPr>
      </w:pPr>
      <w:r w:rsidRPr="005C3EC8">
        <w:rPr>
          <w:rFonts w:ascii="Calibri" w:hAnsi="Calibri"/>
        </w:rPr>
        <w:t xml:space="preserve">British Geological Survey website, About us section, accessed </w:t>
      </w:r>
      <w:r w:rsidR="00EA7B6D" w:rsidRPr="005C3EC8">
        <w:rPr>
          <w:rFonts w:ascii="Calibri" w:hAnsi="Calibri"/>
        </w:rPr>
        <w:t xml:space="preserve">on </w:t>
      </w:r>
      <w:hyperlink r:id="rId132" w:history="1">
        <w:r w:rsidR="00EA7B6D" w:rsidRPr="005C3EC8">
          <w:rPr>
            <w:rStyle w:val="Hyperlink"/>
            <w:rFonts w:ascii="Calibri" w:hAnsi="Calibri" w:cs="Calibri"/>
          </w:rPr>
          <w:t>https://www.bgs.ac.uk/mineralsuk/aboutus.html</w:t>
        </w:r>
      </w:hyperlink>
      <w:r w:rsidR="00EA7B6D" w:rsidRPr="005C3EC8">
        <w:rPr>
          <w:rFonts w:ascii="Calibri" w:hAnsi="Calibri"/>
        </w:rPr>
        <w:t xml:space="preserve"> </w:t>
      </w:r>
    </w:p>
    <w:p w14:paraId="0CDE3130" w14:textId="755A407B" w:rsidR="009D043B" w:rsidRPr="005C3EC8" w:rsidRDefault="00CE3CEA" w:rsidP="00CE3CEA">
      <w:pPr>
        <w:numPr>
          <w:ilvl w:val="0"/>
          <w:numId w:val="4"/>
        </w:numPr>
        <w:spacing w:before="120"/>
        <w:rPr>
          <w:rFonts w:ascii="Calibri" w:hAnsi="Calibri"/>
        </w:rPr>
      </w:pPr>
      <w:r w:rsidRPr="005C3EC8">
        <w:rPr>
          <w:rFonts w:ascii="Calibri" w:hAnsi="Calibri"/>
        </w:rPr>
        <w:t>British Geological Survey website, Legislation &amp; policy: mineral ownership, accesse</w:t>
      </w:r>
      <w:r w:rsidR="00EA7B6D" w:rsidRPr="005C3EC8">
        <w:rPr>
          <w:rFonts w:ascii="Calibri" w:hAnsi="Calibri"/>
        </w:rPr>
        <w:t xml:space="preserve">d on </w:t>
      </w:r>
      <w:hyperlink r:id="rId133" w:history="1">
        <w:r w:rsidR="00EA7B6D" w:rsidRPr="005C3EC8">
          <w:rPr>
            <w:rStyle w:val="Hyperlink"/>
            <w:rFonts w:ascii="Calibri" w:hAnsi="Calibri" w:cs="Calibri"/>
          </w:rPr>
          <w:t>https://www.bgs.ac.uk/mineralsUK/planning/legislation/mineralOwnership.html</w:t>
        </w:r>
      </w:hyperlink>
      <w:r w:rsidR="00EA7B6D" w:rsidRPr="005C3EC8">
        <w:rPr>
          <w:rFonts w:ascii="Calibri" w:hAnsi="Calibri"/>
        </w:rPr>
        <w:t xml:space="preserve"> </w:t>
      </w:r>
    </w:p>
    <w:p w14:paraId="01942F8B" w14:textId="76F289DD" w:rsidR="001A1B77" w:rsidRPr="005C3EC8" w:rsidRDefault="001A1B77" w:rsidP="00CE3CEA">
      <w:pPr>
        <w:numPr>
          <w:ilvl w:val="0"/>
          <w:numId w:val="4"/>
        </w:numPr>
        <w:spacing w:before="120"/>
        <w:rPr>
          <w:rFonts w:ascii="Calibri" w:hAnsi="Calibri"/>
        </w:rPr>
      </w:pPr>
      <w:r w:rsidRPr="005C3EC8">
        <w:t>British geological Survey website, ‘Mineral Planning Factsheets’, accesse</w:t>
      </w:r>
      <w:r w:rsidR="00EA7B6D" w:rsidRPr="005C3EC8">
        <w:t xml:space="preserve">d on </w:t>
      </w:r>
      <w:hyperlink r:id="rId134" w:history="1">
        <w:r w:rsidR="00EA7B6D" w:rsidRPr="005C3EC8">
          <w:rPr>
            <w:rStyle w:val="Hyperlink"/>
            <w:rFonts w:cs="Calibri"/>
          </w:rPr>
          <w:t>https://www.bgs.ac.uk/mineralsuk/planning/mineralPlanningFactsheets.html</w:t>
        </w:r>
      </w:hyperlink>
      <w:r w:rsidR="00EA7B6D" w:rsidRPr="005C3EC8">
        <w:t xml:space="preserve"> </w:t>
      </w:r>
    </w:p>
    <w:p w14:paraId="29395EF7" w14:textId="636FB7CC" w:rsidR="001A1B77" w:rsidRPr="005C3EC8" w:rsidRDefault="001A1B77" w:rsidP="00CE3CEA">
      <w:pPr>
        <w:numPr>
          <w:ilvl w:val="0"/>
          <w:numId w:val="4"/>
        </w:numPr>
        <w:spacing w:before="120"/>
        <w:rPr>
          <w:rFonts w:ascii="Calibri" w:hAnsi="Calibri"/>
        </w:rPr>
      </w:pPr>
      <w:r w:rsidRPr="005C3EC8">
        <w:t xml:space="preserve">British geological Survey website, ‘Minerals Publications’, accessed </w:t>
      </w:r>
      <w:r w:rsidR="00EA7B6D" w:rsidRPr="005C3EC8">
        <w:t xml:space="preserve">on </w:t>
      </w:r>
      <w:hyperlink r:id="rId135" w:history="1">
        <w:r w:rsidR="00EA7B6D" w:rsidRPr="005C3EC8">
          <w:rPr>
            <w:rStyle w:val="Hyperlink"/>
            <w:rFonts w:cs="Calibri"/>
          </w:rPr>
          <w:t>http://shop.bgs.ac.uk/bookshop/catalogue.cfm?id=5</w:t>
        </w:r>
      </w:hyperlink>
      <w:r w:rsidR="00EA7B6D" w:rsidRPr="005C3EC8">
        <w:t xml:space="preserve"> </w:t>
      </w:r>
    </w:p>
    <w:p w14:paraId="25F9A017" w14:textId="17369F4E" w:rsidR="001A1B77" w:rsidRPr="005C3EC8" w:rsidRDefault="001A1B77" w:rsidP="00CE3CEA">
      <w:pPr>
        <w:numPr>
          <w:ilvl w:val="0"/>
          <w:numId w:val="4"/>
        </w:numPr>
        <w:spacing w:before="120"/>
        <w:rPr>
          <w:rFonts w:ascii="Calibri" w:hAnsi="Calibri"/>
        </w:rPr>
      </w:pPr>
      <w:r w:rsidRPr="005C3EC8">
        <w:t xml:space="preserve">British Geological Survey (February 2016), ‘UK Minerals Yearbook 2015’, accessed </w:t>
      </w:r>
      <w:r w:rsidR="00EA7B6D" w:rsidRPr="005C3EC8">
        <w:t xml:space="preserve">on </w:t>
      </w:r>
      <w:hyperlink r:id="rId136" w:history="1">
        <w:r w:rsidR="00EA7B6D" w:rsidRPr="005C3EC8">
          <w:rPr>
            <w:rStyle w:val="Hyperlink"/>
            <w:rFonts w:cs="Calibri"/>
          </w:rPr>
          <w:t>http://shop.bgs.ac.uk/bookshop/catalogue.cfm?id=5</w:t>
        </w:r>
      </w:hyperlink>
      <w:r w:rsidR="00EA7B6D" w:rsidRPr="005C3EC8">
        <w:t xml:space="preserve"> </w:t>
      </w:r>
    </w:p>
    <w:p w14:paraId="1189C711" w14:textId="18E0AD5B" w:rsidR="001A1B77" w:rsidRPr="005C3EC8" w:rsidRDefault="001A1B77" w:rsidP="00CE3CEA">
      <w:pPr>
        <w:numPr>
          <w:ilvl w:val="0"/>
          <w:numId w:val="4"/>
        </w:numPr>
        <w:spacing w:before="120"/>
        <w:rPr>
          <w:rFonts w:ascii="Calibri" w:hAnsi="Calibri"/>
        </w:rPr>
      </w:pPr>
      <w:r w:rsidRPr="005C3EC8">
        <w:t xml:space="preserve">British Geological Survey, </w:t>
      </w:r>
      <w:proofErr w:type="spellStart"/>
      <w:r w:rsidRPr="005C3EC8">
        <w:t>MineralsUK</w:t>
      </w:r>
      <w:proofErr w:type="spellEnd"/>
      <w:r w:rsidRPr="005C3EC8">
        <w:t xml:space="preserve">, ‘Minerals Information Online’, accessed </w:t>
      </w:r>
      <w:r w:rsidR="00EA7B6D" w:rsidRPr="005C3EC8">
        <w:t xml:space="preserve">on </w:t>
      </w:r>
      <w:hyperlink r:id="rId137" w:history="1">
        <w:r w:rsidR="00EA7B6D" w:rsidRPr="005C3EC8">
          <w:rPr>
            <w:rStyle w:val="Hyperlink"/>
            <w:rFonts w:cs="Calibri"/>
          </w:rPr>
          <w:t>https://www.bgs.ac.uk/mineralsuk/maps/maps.html</w:t>
        </w:r>
      </w:hyperlink>
      <w:r w:rsidR="00EA7B6D" w:rsidRPr="005C3EC8">
        <w:t xml:space="preserve"> </w:t>
      </w:r>
    </w:p>
    <w:p w14:paraId="7704C244" w14:textId="0CB5CFF2" w:rsidR="0053757D" w:rsidRPr="005C3EC8" w:rsidRDefault="001A1B77" w:rsidP="00CE3CEA">
      <w:pPr>
        <w:numPr>
          <w:ilvl w:val="0"/>
          <w:numId w:val="4"/>
        </w:numPr>
        <w:spacing w:before="120"/>
        <w:rPr>
          <w:rFonts w:ascii="Calibri" w:hAnsi="Calibri"/>
        </w:rPr>
      </w:pPr>
      <w:r w:rsidRPr="005C3EC8">
        <w:t xml:space="preserve">British Geological Survey, UK Minerals Yearbook, accessed </w:t>
      </w:r>
      <w:r w:rsidR="00EA7B6D" w:rsidRPr="005C3EC8">
        <w:t xml:space="preserve">on </w:t>
      </w:r>
      <w:hyperlink r:id="rId138" w:history="1">
        <w:r w:rsidR="00EA7B6D" w:rsidRPr="005C3EC8">
          <w:rPr>
            <w:rStyle w:val="Hyperlink"/>
            <w:rFonts w:cs="Calibri"/>
          </w:rPr>
          <w:t>http://shop.bgs.ac.uk/bookshop/subcategory.cfm?series_id=M1210&amp;sort=PRODUCT_TITLE%20ASC&amp;PAGE_NO=1</w:t>
        </w:r>
      </w:hyperlink>
      <w:r w:rsidR="00EA7B6D" w:rsidRPr="005C3EC8">
        <w:t xml:space="preserve"> </w:t>
      </w:r>
    </w:p>
    <w:p w14:paraId="2B8A16FB" w14:textId="2B58627E" w:rsidR="001A1B77" w:rsidRPr="005C3EC8" w:rsidRDefault="001A1B77" w:rsidP="00CE3CEA">
      <w:pPr>
        <w:numPr>
          <w:ilvl w:val="0"/>
          <w:numId w:val="4"/>
        </w:numPr>
        <w:spacing w:before="120"/>
        <w:rPr>
          <w:rFonts w:ascii="Calibri" w:hAnsi="Calibri"/>
        </w:rPr>
      </w:pPr>
      <w:r w:rsidRPr="005C3EC8">
        <w:t xml:space="preserve">British Geological Survey, ‘United Kingdom mineral statistics’, accessed </w:t>
      </w:r>
      <w:r w:rsidR="00EA7B6D" w:rsidRPr="005C3EC8">
        <w:t xml:space="preserve">on </w:t>
      </w:r>
      <w:hyperlink r:id="rId139" w:history="1">
        <w:r w:rsidR="00EA7B6D" w:rsidRPr="005C3EC8">
          <w:rPr>
            <w:rStyle w:val="Hyperlink"/>
            <w:rFonts w:cs="Calibri"/>
          </w:rPr>
          <w:t>https://www.bgs.ac.uk/mineralsUK/statistics/ukStatistics.html</w:t>
        </w:r>
      </w:hyperlink>
      <w:r w:rsidR="00EA7B6D" w:rsidRPr="005C3EC8">
        <w:t xml:space="preserve"> </w:t>
      </w:r>
    </w:p>
    <w:p w14:paraId="79D1BD23" w14:textId="01FF006C" w:rsidR="009D043B" w:rsidRPr="005C3EC8" w:rsidRDefault="00CE3CEA" w:rsidP="00CE3CEA">
      <w:pPr>
        <w:numPr>
          <w:ilvl w:val="0"/>
          <w:numId w:val="4"/>
        </w:numPr>
        <w:spacing w:before="120"/>
        <w:rPr>
          <w:rFonts w:ascii="Calibri" w:hAnsi="Calibri"/>
        </w:rPr>
      </w:pPr>
      <w:r w:rsidRPr="005C3EC8">
        <w:rPr>
          <w:rFonts w:ascii="Calibri" w:hAnsi="Calibri"/>
        </w:rPr>
        <w:lastRenderedPageBreak/>
        <w:t xml:space="preserve">Gov.uk, ‘Guidance: Minerals’, accessed </w:t>
      </w:r>
      <w:r w:rsidR="00EA7B6D" w:rsidRPr="005C3EC8">
        <w:rPr>
          <w:rFonts w:ascii="Calibri" w:hAnsi="Calibri"/>
        </w:rPr>
        <w:t xml:space="preserve">on </w:t>
      </w:r>
      <w:hyperlink r:id="rId140" w:history="1">
        <w:r w:rsidR="00EA7B6D" w:rsidRPr="005C3EC8">
          <w:rPr>
            <w:rStyle w:val="Hyperlink"/>
            <w:rFonts w:ascii="Calibri" w:hAnsi="Calibri" w:cs="Calibri"/>
          </w:rPr>
          <w:t>https://www.gov.uk/guidance/minerals</w:t>
        </w:r>
      </w:hyperlink>
      <w:r w:rsidR="00EA7B6D" w:rsidRPr="005C3EC8">
        <w:rPr>
          <w:rFonts w:ascii="Calibri" w:hAnsi="Calibri"/>
        </w:rPr>
        <w:t xml:space="preserve"> </w:t>
      </w:r>
    </w:p>
    <w:p w14:paraId="6F565375" w14:textId="2E72AB50" w:rsidR="00F55AC9" w:rsidRPr="005C3EC8" w:rsidRDefault="00F55AC9" w:rsidP="00CE3CEA">
      <w:pPr>
        <w:numPr>
          <w:ilvl w:val="0"/>
          <w:numId w:val="4"/>
        </w:numPr>
        <w:spacing w:before="120"/>
        <w:rPr>
          <w:rFonts w:ascii="Calibri" w:hAnsi="Calibri"/>
        </w:rPr>
      </w:pPr>
      <w:r w:rsidRPr="005C3EC8">
        <w:t xml:space="preserve">Gov.uk, ‘Building materials and components: monthly statistics’, accessed </w:t>
      </w:r>
      <w:r w:rsidR="00EA7B6D" w:rsidRPr="005C3EC8">
        <w:t xml:space="preserve">on </w:t>
      </w:r>
      <w:hyperlink r:id="rId141" w:history="1">
        <w:r w:rsidR="00EA7B6D" w:rsidRPr="005C3EC8">
          <w:rPr>
            <w:rStyle w:val="Hyperlink"/>
            <w:rFonts w:cs="Calibri"/>
          </w:rPr>
          <w:t>https://www.gov.uk/government/collections/building-materials-and-components-monthly-statistics-2012</w:t>
        </w:r>
      </w:hyperlink>
      <w:r w:rsidR="00EA7B6D" w:rsidRPr="005C3EC8">
        <w:t xml:space="preserve"> </w:t>
      </w:r>
    </w:p>
    <w:p w14:paraId="700A4931" w14:textId="1D7F98E5" w:rsidR="00F55AC9" w:rsidRPr="005C3EC8" w:rsidRDefault="00F55AC9" w:rsidP="00CE3CEA">
      <w:pPr>
        <w:numPr>
          <w:ilvl w:val="0"/>
          <w:numId w:val="4"/>
        </w:numPr>
        <w:spacing w:before="120"/>
        <w:rPr>
          <w:rFonts w:ascii="Calibri" w:hAnsi="Calibri"/>
        </w:rPr>
      </w:pPr>
      <w:r w:rsidRPr="005C3EC8">
        <w:t xml:space="preserve">Local Government Association website, ‘S106 obligations overview’, accessed </w:t>
      </w:r>
      <w:r w:rsidR="00EA7B6D" w:rsidRPr="005C3EC8">
        <w:t xml:space="preserve">on </w:t>
      </w:r>
      <w:hyperlink r:id="rId142" w:history="1">
        <w:r w:rsidR="00EA7B6D" w:rsidRPr="005C3EC8">
          <w:rPr>
            <w:rStyle w:val="Hyperlink"/>
            <w:rFonts w:cs="Calibri"/>
          </w:rPr>
          <w:t>https://www.local.gov.uk/pas/pas-topics/infrastructure/s106-obligations-overview</w:t>
        </w:r>
      </w:hyperlink>
      <w:r w:rsidR="00EA7B6D" w:rsidRPr="005C3EC8">
        <w:t xml:space="preserve"> </w:t>
      </w:r>
    </w:p>
    <w:p w14:paraId="09B8D670" w14:textId="4CB8643A" w:rsidR="00033D56" w:rsidRPr="005C3EC8" w:rsidRDefault="00033D56" w:rsidP="00CE3CEA">
      <w:pPr>
        <w:numPr>
          <w:ilvl w:val="0"/>
          <w:numId w:val="4"/>
        </w:numPr>
        <w:spacing w:before="120"/>
        <w:rPr>
          <w:rFonts w:ascii="Calibri" w:hAnsi="Calibri"/>
        </w:rPr>
      </w:pPr>
      <w:r w:rsidRPr="005C3EC8">
        <w:t xml:space="preserve">Litchfield District Council website, ‘Section 106’, accessed </w:t>
      </w:r>
      <w:r w:rsidR="00EA7B6D" w:rsidRPr="005C3EC8">
        <w:t xml:space="preserve">on </w:t>
      </w:r>
      <w:hyperlink r:id="rId143" w:history="1">
        <w:r w:rsidR="00EA7B6D" w:rsidRPr="005C3EC8">
          <w:rPr>
            <w:rStyle w:val="Hyperlink"/>
            <w:rFonts w:cs="Calibri"/>
          </w:rPr>
          <w:t>https://www.lichfielddc.gov.uk/Council/Planning/The-local-plan-and-planning-policy/Planning-obligations/Section-106.aspx</w:t>
        </w:r>
      </w:hyperlink>
      <w:r w:rsidR="00EA7B6D" w:rsidRPr="005C3EC8">
        <w:t xml:space="preserve"> </w:t>
      </w:r>
    </w:p>
    <w:p w14:paraId="25A8863A" w14:textId="7A899FAC" w:rsidR="009D043B" w:rsidRPr="005C3EC8" w:rsidRDefault="005A36AA" w:rsidP="005A36AA">
      <w:pPr>
        <w:pStyle w:val="Heading3"/>
      </w:pPr>
      <w:r w:rsidRPr="005C3EC8">
        <w:t>Marine  aggregates and The Crown Estate</w:t>
      </w:r>
    </w:p>
    <w:p w14:paraId="568F8487" w14:textId="2514509C" w:rsidR="0053757D" w:rsidRPr="005C3EC8" w:rsidRDefault="0053757D" w:rsidP="009D043B">
      <w:pPr>
        <w:numPr>
          <w:ilvl w:val="0"/>
          <w:numId w:val="4"/>
        </w:numPr>
        <w:spacing w:before="120"/>
        <w:rPr>
          <w:rFonts w:ascii="Calibri" w:hAnsi="Calibri"/>
        </w:rPr>
      </w:pPr>
      <w:r w:rsidRPr="005C3EC8">
        <w:t xml:space="preserve">British Marine Aggregate Producers Association (BMAPA) website, ‘Reference library’, accessed </w:t>
      </w:r>
      <w:r w:rsidR="00EA7B6D" w:rsidRPr="005C3EC8">
        <w:t xml:space="preserve">on </w:t>
      </w:r>
      <w:hyperlink r:id="rId144" w:history="1">
        <w:r w:rsidR="00EA7B6D" w:rsidRPr="005C3EC8">
          <w:rPr>
            <w:rStyle w:val="Hyperlink"/>
            <w:rFonts w:cs="Calibri"/>
          </w:rPr>
          <w:t>http://www.bmapa.org/downloads/reference.php</w:t>
        </w:r>
      </w:hyperlink>
      <w:r w:rsidR="00EA7B6D" w:rsidRPr="005C3EC8">
        <w:t xml:space="preserve"> </w:t>
      </w:r>
    </w:p>
    <w:p w14:paraId="5ADC219B" w14:textId="3B166C10" w:rsidR="0053757D" w:rsidRPr="005C3EC8" w:rsidRDefault="0053757D" w:rsidP="00CE3CEA">
      <w:pPr>
        <w:numPr>
          <w:ilvl w:val="0"/>
          <w:numId w:val="4"/>
        </w:numPr>
        <w:spacing w:before="120"/>
        <w:rPr>
          <w:rFonts w:ascii="Calibri" w:hAnsi="Calibri"/>
        </w:rPr>
      </w:pPr>
      <w:r w:rsidRPr="005C3EC8">
        <w:rPr>
          <w:rFonts w:ascii="Calibri" w:hAnsi="Calibri"/>
        </w:rPr>
        <w:t xml:space="preserve">Crown Estate Scotland website, ‘Mines Royal option process’, accessed </w:t>
      </w:r>
      <w:r w:rsidR="00100B37" w:rsidRPr="005C3EC8">
        <w:rPr>
          <w:rFonts w:ascii="Calibri" w:hAnsi="Calibri"/>
        </w:rPr>
        <w:t xml:space="preserve">on </w:t>
      </w:r>
      <w:hyperlink r:id="rId145" w:history="1">
        <w:r w:rsidR="00100B37" w:rsidRPr="005C3EC8">
          <w:rPr>
            <w:rStyle w:val="Hyperlink"/>
            <w:rFonts w:ascii="Calibri" w:hAnsi="Calibri" w:cs="Calibri"/>
          </w:rPr>
          <w:t>http://www.crownestatescotland.com/bundles/app/downloads/58ff4e954cc2e_20170418%20mines-royal-option-process.pdf</w:t>
        </w:r>
      </w:hyperlink>
      <w:r w:rsidR="00100B37" w:rsidRPr="005C3EC8">
        <w:rPr>
          <w:rFonts w:ascii="Calibri" w:hAnsi="Calibri"/>
        </w:rPr>
        <w:t xml:space="preserve"> </w:t>
      </w:r>
    </w:p>
    <w:p w14:paraId="4A022D18" w14:textId="007943C3" w:rsidR="0053757D" w:rsidRPr="005C3EC8" w:rsidRDefault="0053757D" w:rsidP="00CE3CEA">
      <w:pPr>
        <w:numPr>
          <w:ilvl w:val="0"/>
          <w:numId w:val="4"/>
        </w:numPr>
        <w:spacing w:before="120"/>
        <w:rPr>
          <w:rFonts w:ascii="Calibri" w:hAnsi="Calibri"/>
        </w:rPr>
      </w:pPr>
      <w:r w:rsidRPr="005C3EC8">
        <w:rPr>
          <w:rFonts w:ascii="Calibri" w:hAnsi="Calibri"/>
        </w:rPr>
        <w:t xml:space="preserve">Crown Estate Scotland, ‘Policy statement: gold panning’, accessed </w:t>
      </w:r>
      <w:r w:rsidR="00100B37" w:rsidRPr="005C3EC8">
        <w:rPr>
          <w:rFonts w:ascii="Calibri" w:hAnsi="Calibri"/>
        </w:rPr>
        <w:t xml:space="preserve">on </w:t>
      </w:r>
      <w:hyperlink r:id="rId146" w:history="1">
        <w:r w:rsidR="00100B37" w:rsidRPr="005C3EC8">
          <w:rPr>
            <w:rStyle w:val="Hyperlink"/>
            <w:rFonts w:ascii="Calibri" w:hAnsi="Calibri" w:cs="Calibri"/>
          </w:rPr>
          <w:t>http://www.crownestatescotland.com/maps-and-publications/download/74</w:t>
        </w:r>
      </w:hyperlink>
      <w:r w:rsidR="00100B37" w:rsidRPr="005C3EC8">
        <w:rPr>
          <w:rFonts w:ascii="Calibri" w:hAnsi="Calibri"/>
        </w:rPr>
        <w:t xml:space="preserve"> </w:t>
      </w:r>
    </w:p>
    <w:p w14:paraId="5088E03D" w14:textId="6EF74E44" w:rsidR="0053757D" w:rsidRPr="005C3EC8" w:rsidRDefault="0053757D" w:rsidP="009D043B">
      <w:pPr>
        <w:numPr>
          <w:ilvl w:val="0"/>
          <w:numId w:val="4"/>
        </w:numPr>
        <w:spacing w:before="120"/>
        <w:rPr>
          <w:rFonts w:ascii="Calibri" w:hAnsi="Calibri"/>
        </w:rPr>
      </w:pPr>
      <w:r w:rsidRPr="005C3EC8">
        <w:rPr>
          <w:rFonts w:ascii="Calibri" w:hAnsi="Calibri"/>
        </w:rPr>
        <w:t xml:space="preserve">Crown Estate website, Marine aggregate downloads webpage, accessed </w:t>
      </w:r>
      <w:r w:rsidR="00100B37" w:rsidRPr="005C3EC8">
        <w:rPr>
          <w:rFonts w:ascii="Calibri" w:hAnsi="Calibri"/>
        </w:rPr>
        <w:t xml:space="preserve">on </w:t>
      </w:r>
      <w:hyperlink r:id="rId147" w:history="1">
        <w:r w:rsidR="00100B37" w:rsidRPr="005C3EC8">
          <w:rPr>
            <w:rStyle w:val="Hyperlink"/>
            <w:rFonts w:ascii="Calibri" w:hAnsi="Calibri" w:cs="Calibri"/>
          </w:rPr>
          <w:t>http://www.thecrownestate.co.uk/energy-minerals-and-infrastructure/downloads/marine-aggregate-downloads/</w:t>
        </w:r>
      </w:hyperlink>
      <w:r w:rsidR="00100B37" w:rsidRPr="005C3EC8">
        <w:rPr>
          <w:rFonts w:ascii="Calibri" w:hAnsi="Calibri"/>
        </w:rPr>
        <w:t xml:space="preserve"> </w:t>
      </w:r>
    </w:p>
    <w:p w14:paraId="2E0F5AEE" w14:textId="6EDA1E7F" w:rsidR="0053757D" w:rsidRPr="005C3EC8" w:rsidRDefault="0053757D" w:rsidP="00CE3CEA">
      <w:pPr>
        <w:numPr>
          <w:ilvl w:val="0"/>
          <w:numId w:val="4"/>
        </w:numPr>
        <w:spacing w:before="120"/>
        <w:rPr>
          <w:rFonts w:ascii="Calibri" w:hAnsi="Calibri"/>
        </w:rPr>
      </w:pPr>
      <w:r w:rsidRPr="005C3EC8">
        <w:rPr>
          <w:rFonts w:ascii="Calibri" w:hAnsi="Calibri"/>
        </w:rPr>
        <w:t xml:space="preserve">Gov.uk, ‘Gold and silver agreement for lease (England and Wales)’, accessed </w:t>
      </w:r>
      <w:r w:rsidR="00100B37" w:rsidRPr="005C3EC8">
        <w:rPr>
          <w:rFonts w:ascii="Calibri" w:hAnsi="Calibri"/>
        </w:rPr>
        <w:t xml:space="preserve">on </w:t>
      </w:r>
      <w:hyperlink r:id="rId148" w:history="1">
        <w:r w:rsidR="00100B37" w:rsidRPr="005C3EC8">
          <w:rPr>
            <w:rStyle w:val="Hyperlink"/>
            <w:rFonts w:ascii="Calibri" w:hAnsi="Calibri" w:cs="Calibri"/>
          </w:rPr>
          <w:t>https://www.gov.uk/gold-and-silver-agreement-for-lease</w:t>
        </w:r>
      </w:hyperlink>
      <w:r w:rsidR="00100B37" w:rsidRPr="005C3EC8">
        <w:rPr>
          <w:rFonts w:ascii="Calibri" w:hAnsi="Calibri"/>
        </w:rPr>
        <w:t xml:space="preserve"> </w:t>
      </w:r>
    </w:p>
    <w:p w14:paraId="1E201CFA" w14:textId="35A53359" w:rsidR="0053757D" w:rsidRPr="005C3EC8" w:rsidRDefault="0053757D" w:rsidP="009D043B">
      <w:pPr>
        <w:numPr>
          <w:ilvl w:val="0"/>
          <w:numId w:val="4"/>
        </w:numPr>
        <w:spacing w:before="120"/>
        <w:rPr>
          <w:rFonts w:ascii="Calibri" w:hAnsi="Calibri"/>
        </w:rPr>
      </w:pPr>
      <w:r w:rsidRPr="005C3EC8">
        <w:rPr>
          <w:rFonts w:ascii="Calibri" w:hAnsi="Calibri"/>
        </w:rPr>
        <w:t xml:space="preserve">Marine Aggregates Information website, ‘Regional dredging area charts’, accessed </w:t>
      </w:r>
      <w:r w:rsidR="00100B37" w:rsidRPr="005C3EC8">
        <w:rPr>
          <w:rFonts w:ascii="Calibri" w:hAnsi="Calibri"/>
        </w:rPr>
        <w:t xml:space="preserve">on </w:t>
      </w:r>
      <w:hyperlink r:id="rId149" w:history="1">
        <w:r w:rsidR="00100B37" w:rsidRPr="005C3EC8">
          <w:rPr>
            <w:rStyle w:val="Hyperlink"/>
            <w:rFonts w:ascii="Calibri" w:hAnsi="Calibri" w:cs="Calibri"/>
          </w:rPr>
          <w:t>http://www.marineaggregates.info/downloads-and-links/regional-dredging-area-charts.html</w:t>
        </w:r>
      </w:hyperlink>
      <w:r w:rsidR="00100B37" w:rsidRPr="005C3EC8">
        <w:rPr>
          <w:rFonts w:ascii="Calibri" w:hAnsi="Calibri"/>
        </w:rPr>
        <w:t xml:space="preserve"> </w:t>
      </w:r>
    </w:p>
    <w:p w14:paraId="5104655B" w14:textId="09FD11B1" w:rsidR="0053757D" w:rsidRPr="005C3EC8" w:rsidRDefault="0053757D" w:rsidP="00CE3CEA">
      <w:pPr>
        <w:numPr>
          <w:ilvl w:val="0"/>
          <w:numId w:val="4"/>
        </w:numPr>
        <w:spacing w:before="120"/>
        <w:rPr>
          <w:rFonts w:ascii="Calibri" w:hAnsi="Calibri"/>
        </w:rPr>
      </w:pPr>
      <w:r w:rsidRPr="005C3EC8">
        <w:rPr>
          <w:rFonts w:ascii="Calibri" w:hAnsi="Calibri"/>
        </w:rPr>
        <w:t xml:space="preserve">The Crown Estate (2017), ‘The area involved – 19th annual report’, accessed </w:t>
      </w:r>
      <w:r w:rsidR="00100B37" w:rsidRPr="005C3EC8">
        <w:rPr>
          <w:rFonts w:ascii="Calibri" w:hAnsi="Calibri"/>
        </w:rPr>
        <w:t xml:space="preserve">on </w:t>
      </w:r>
      <w:hyperlink r:id="rId150" w:history="1">
        <w:r w:rsidR="00100B37" w:rsidRPr="005C3EC8">
          <w:rPr>
            <w:rStyle w:val="Hyperlink"/>
            <w:rFonts w:ascii="Calibri" w:hAnsi="Calibri" w:cs="Calibri"/>
          </w:rPr>
          <w:t>https://www.thecrownestate.co.uk/media/2478/bmapa-ce-19th-ann-rep-singles-021117.pdf</w:t>
        </w:r>
      </w:hyperlink>
      <w:r w:rsidR="00100B37" w:rsidRPr="005C3EC8">
        <w:rPr>
          <w:rFonts w:ascii="Calibri" w:hAnsi="Calibri"/>
        </w:rPr>
        <w:t xml:space="preserve"> </w:t>
      </w:r>
    </w:p>
    <w:p w14:paraId="30B1394A" w14:textId="3DC80EA9" w:rsidR="0053757D" w:rsidRPr="005C3EC8" w:rsidRDefault="0053757D" w:rsidP="00CE3CEA">
      <w:pPr>
        <w:numPr>
          <w:ilvl w:val="0"/>
          <w:numId w:val="4"/>
        </w:numPr>
        <w:spacing w:before="120"/>
        <w:rPr>
          <w:rFonts w:ascii="Calibri" w:hAnsi="Calibri"/>
        </w:rPr>
      </w:pPr>
      <w:r w:rsidRPr="005C3EC8">
        <w:rPr>
          <w:rFonts w:ascii="Calibri" w:hAnsi="Calibri"/>
        </w:rPr>
        <w:t xml:space="preserve">The Crown Estate (2018), ‘The area involved – 20th annual report’, accessed </w:t>
      </w:r>
      <w:r w:rsidR="00100B37" w:rsidRPr="005C3EC8">
        <w:rPr>
          <w:rFonts w:ascii="Calibri" w:hAnsi="Calibri"/>
        </w:rPr>
        <w:t xml:space="preserve">on </w:t>
      </w:r>
      <w:hyperlink r:id="rId151" w:history="1">
        <w:r w:rsidR="00100B37" w:rsidRPr="005C3EC8">
          <w:rPr>
            <w:rStyle w:val="Hyperlink"/>
            <w:rFonts w:ascii="Calibri" w:hAnsi="Calibri" w:cs="Calibri"/>
          </w:rPr>
          <w:t>https://bmapa.org/documents/BMAPA_CE_20th_Ann_Rep_Aug18.pdf</w:t>
        </w:r>
      </w:hyperlink>
      <w:r w:rsidR="00100B37" w:rsidRPr="005C3EC8">
        <w:rPr>
          <w:rFonts w:ascii="Calibri" w:hAnsi="Calibri"/>
        </w:rPr>
        <w:t xml:space="preserve"> </w:t>
      </w:r>
    </w:p>
    <w:p w14:paraId="19EF8E92" w14:textId="2073E72D" w:rsidR="0053757D" w:rsidRPr="005C3EC8" w:rsidRDefault="0053757D" w:rsidP="009D043B">
      <w:pPr>
        <w:numPr>
          <w:ilvl w:val="0"/>
          <w:numId w:val="4"/>
        </w:numPr>
        <w:spacing w:before="120"/>
        <w:rPr>
          <w:rFonts w:ascii="Calibri" w:hAnsi="Calibri"/>
        </w:rPr>
      </w:pPr>
      <w:r w:rsidRPr="005C3EC8">
        <w:rPr>
          <w:rFonts w:ascii="Calibri" w:hAnsi="Calibri"/>
        </w:rPr>
        <w:lastRenderedPageBreak/>
        <w:t xml:space="preserve">The Crown Estate website, ‘Marine aggregates: downloads and links’, accessed </w:t>
      </w:r>
      <w:r w:rsidR="00100B37" w:rsidRPr="005C3EC8">
        <w:rPr>
          <w:rFonts w:ascii="Calibri" w:hAnsi="Calibri"/>
        </w:rPr>
        <w:t xml:space="preserve">on </w:t>
      </w:r>
      <w:hyperlink r:id="rId152" w:history="1">
        <w:r w:rsidR="00100B37" w:rsidRPr="005C3EC8">
          <w:rPr>
            <w:rStyle w:val="Hyperlink"/>
            <w:rFonts w:ascii="Calibri" w:hAnsi="Calibri" w:cs="Calibri"/>
          </w:rPr>
          <w:t>http://www.marineaggregates.info/downloads-and-links.html</w:t>
        </w:r>
      </w:hyperlink>
      <w:r w:rsidR="00100B37" w:rsidRPr="005C3EC8">
        <w:rPr>
          <w:rFonts w:ascii="Calibri" w:hAnsi="Calibri"/>
        </w:rPr>
        <w:t xml:space="preserve"> </w:t>
      </w:r>
    </w:p>
    <w:p w14:paraId="163D43D8" w14:textId="037C0BF3" w:rsidR="0053757D" w:rsidRPr="005C3EC8" w:rsidRDefault="0053757D" w:rsidP="009D043B">
      <w:pPr>
        <w:numPr>
          <w:ilvl w:val="0"/>
          <w:numId w:val="4"/>
        </w:numPr>
        <w:spacing w:before="120"/>
        <w:rPr>
          <w:rFonts w:ascii="Calibri" w:hAnsi="Calibri"/>
        </w:rPr>
      </w:pPr>
      <w:r w:rsidRPr="005C3EC8">
        <w:rPr>
          <w:rFonts w:ascii="Calibri" w:hAnsi="Calibri"/>
        </w:rPr>
        <w:t xml:space="preserve">The Crown Estate website, ‘Minerals and Dredging’ webpage, accessed </w:t>
      </w:r>
      <w:r w:rsidR="00100B37" w:rsidRPr="005C3EC8">
        <w:rPr>
          <w:rFonts w:ascii="Calibri" w:hAnsi="Calibri"/>
        </w:rPr>
        <w:t xml:space="preserve">on </w:t>
      </w:r>
      <w:hyperlink r:id="rId153" w:history="1">
        <w:r w:rsidR="00100B37" w:rsidRPr="005C3EC8">
          <w:rPr>
            <w:rStyle w:val="Hyperlink"/>
            <w:rFonts w:ascii="Calibri" w:hAnsi="Calibri" w:cs="Calibri"/>
          </w:rPr>
          <w:t>https://www.thecrownestate.co.uk/en-gb/what-we-do/on-the-seabed/minerals-dredging/</w:t>
        </w:r>
      </w:hyperlink>
      <w:r w:rsidR="00100B37" w:rsidRPr="005C3EC8">
        <w:rPr>
          <w:rFonts w:ascii="Calibri" w:hAnsi="Calibri"/>
        </w:rPr>
        <w:t xml:space="preserve"> </w:t>
      </w:r>
    </w:p>
    <w:p w14:paraId="47606FEA" w14:textId="6D6519D1" w:rsidR="0053757D" w:rsidRPr="005C3EC8" w:rsidRDefault="0053757D" w:rsidP="009D043B">
      <w:pPr>
        <w:numPr>
          <w:ilvl w:val="0"/>
          <w:numId w:val="4"/>
        </w:numPr>
        <w:spacing w:before="120"/>
        <w:rPr>
          <w:rFonts w:ascii="Calibri" w:hAnsi="Calibri"/>
        </w:rPr>
      </w:pPr>
      <w:r w:rsidRPr="005C3EC8">
        <w:rPr>
          <w:rFonts w:ascii="Calibri" w:hAnsi="Calibri"/>
        </w:rPr>
        <w:t xml:space="preserve">The Crown Estate website, ‘On the land and coast’, accessed </w:t>
      </w:r>
      <w:r w:rsidR="00100B37" w:rsidRPr="005C3EC8">
        <w:rPr>
          <w:rFonts w:ascii="Calibri" w:hAnsi="Calibri"/>
        </w:rPr>
        <w:t xml:space="preserve">on </w:t>
      </w:r>
      <w:hyperlink r:id="rId154" w:history="1">
        <w:r w:rsidR="00100B37" w:rsidRPr="005C3EC8">
          <w:rPr>
            <w:rStyle w:val="Hyperlink"/>
            <w:rFonts w:ascii="Calibri" w:hAnsi="Calibri" w:cs="Calibri"/>
          </w:rPr>
          <w:t>https://www.thecrownestate.co.uk/en-gb/what-we-do/on-the-land-and-coast/</w:t>
        </w:r>
      </w:hyperlink>
      <w:r w:rsidR="00100B37" w:rsidRPr="005C3EC8">
        <w:rPr>
          <w:rFonts w:ascii="Calibri" w:hAnsi="Calibri"/>
        </w:rPr>
        <w:t xml:space="preserve"> </w:t>
      </w:r>
    </w:p>
    <w:p w14:paraId="59B2318F" w14:textId="466AA180" w:rsidR="0053757D" w:rsidRPr="005C3EC8" w:rsidRDefault="0053757D" w:rsidP="009D043B">
      <w:pPr>
        <w:numPr>
          <w:ilvl w:val="0"/>
          <w:numId w:val="4"/>
        </w:numPr>
        <w:spacing w:before="120"/>
        <w:rPr>
          <w:rFonts w:ascii="Calibri" w:hAnsi="Calibri"/>
        </w:rPr>
      </w:pPr>
      <w:r w:rsidRPr="005C3EC8">
        <w:rPr>
          <w:rFonts w:ascii="Calibri" w:hAnsi="Calibri"/>
        </w:rPr>
        <w:t xml:space="preserve">The Crown Estate website, ‘Our Assets”, accessed </w:t>
      </w:r>
      <w:r w:rsidR="00100B37" w:rsidRPr="005C3EC8">
        <w:rPr>
          <w:rFonts w:ascii="Calibri" w:hAnsi="Calibri"/>
        </w:rPr>
        <w:t xml:space="preserve">on </w:t>
      </w:r>
      <w:hyperlink r:id="rId155" w:history="1">
        <w:r w:rsidR="00100B37" w:rsidRPr="005C3EC8">
          <w:rPr>
            <w:rStyle w:val="Hyperlink"/>
            <w:rFonts w:ascii="Calibri" w:hAnsi="Calibri" w:cs="Calibri"/>
          </w:rPr>
          <w:t>https://www.thecrownestate.co.uk/en-gb/our-places/asset-map/</w:t>
        </w:r>
      </w:hyperlink>
      <w:r w:rsidR="00100B37" w:rsidRPr="005C3EC8">
        <w:rPr>
          <w:rFonts w:ascii="Calibri" w:hAnsi="Calibri"/>
        </w:rPr>
        <w:t xml:space="preserve"> </w:t>
      </w:r>
    </w:p>
    <w:p w14:paraId="242414B7" w14:textId="5C850F1A" w:rsidR="0053757D" w:rsidRPr="005C3EC8" w:rsidRDefault="0053757D" w:rsidP="00CE3CEA">
      <w:pPr>
        <w:numPr>
          <w:ilvl w:val="0"/>
          <w:numId w:val="4"/>
        </w:numPr>
        <w:spacing w:before="120"/>
        <w:rPr>
          <w:rFonts w:ascii="Calibri" w:hAnsi="Calibri"/>
        </w:rPr>
      </w:pPr>
      <w:r w:rsidRPr="005C3EC8">
        <w:rPr>
          <w:rFonts w:ascii="Calibri" w:hAnsi="Calibri"/>
        </w:rPr>
        <w:t xml:space="preserve">The Crown Estate website, accessed </w:t>
      </w:r>
      <w:r w:rsidR="00100B37" w:rsidRPr="005C3EC8">
        <w:rPr>
          <w:rFonts w:ascii="Calibri" w:hAnsi="Calibri"/>
        </w:rPr>
        <w:t xml:space="preserve">on </w:t>
      </w:r>
      <w:hyperlink r:id="rId156" w:history="1">
        <w:r w:rsidR="00100B37" w:rsidRPr="005C3EC8">
          <w:rPr>
            <w:rStyle w:val="Hyperlink"/>
            <w:rFonts w:ascii="Calibri" w:hAnsi="Calibri" w:cs="Calibri"/>
          </w:rPr>
          <w:t>https://www.thecrownestate.co.uk/</w:t>
        </w:r>
      </w:hyperlink>
      <w:r w:rsidR="00100B37" w:rsidRPr="005C3EC8">
        <w:rPr>
          <w:rFonts w:ascii="Calibri" w:hAnsi="Calibri"/>
        </w:rPr>
        <w:t xml:space="preserve"> </w:t>
      </w:r>
    </w:p>
    <w:p w14:paraId="173B7B30" w14:textId="46E89736" w:rsidR="0053757D" w:rsidRPr="005C3EC8" w:rsidRDefault="0053757D" w:rsidP="009D043B">
      <w:pPr>
        <w:numPr>
          <w:ilvl w:val="0"/>
          <w:numId w:val="4"/>
        </w:numPr>
        <w:spacing w:before="120"/>
        <w:rPr>
          <w:rFonts w:ascii="Calibri" w:hAnsi="Calibri"/>
        </w:rPr>
      </w:pPr>
      <w:r w:rsidRPr="005C3EC8">
        <w:t xml:space="preserve">The Crown Estate website, Integrated Annual Report, accessed </w:t>
      </w:r>
      <w:r w:rsidR="00100B37" w:rsidRPr="005C3EC8">
        <w:t xml:space="preserve">on </w:t>
      </w:r>
      <w:hyperlink r:id="rId157" w:history="1">
        <w:r w:rsidR="00100B37" w:rsidRPr="005C3EC8">
          <w:rPr>
            <w:rStyle w:val="Hyperlink"/>
            <w:rFonts w:cs="Calibri"/>
          </w:rPr>
          <w:t>https://www.thecrownestate.co.uk/en-gb/our-business/integrated-annual-report/</w:t>
        </w:r>
      </w:hyperlink>
      <w:r w:rsidR="00100B37" w:rsidRPr="005C3EC8">
        <w:t xml:space="preserve"> </w:t>
      </w:r>
    </w:p>
    <w:p w14:paraId="5FF19795" w14:textId="51356F50" w:rsidR="0053757D" w:rsidRPr="005C3EC8" w:rsidRDefault="0053757D" w:rsidP="009D043B">
      <w:pPr>
        <w:numPr>
          <w:ilvl w:val="0"/>
          <w:numId w:val="4"/>
        </w:numPr>
        <w:spacing w:before="120"/>
        <w:rPr>
          <w:rFonts w:ascii="Calibri" w:hAnsi="Calibri"/>
        </w:rPr>
      </w:pPr>
      <w:r w:rsidRPr="005C3EC8">
        <w:rPr>
          <w:rFonts w:ascii="Calibri" w:hAnsi="Calibri"/>
        </w:rPr>
        <w:t>The Crown Estate website, Maps and GIS Data, accesse</w:t>
      </w:r>
      <w:r w:rsidR="008D21E8" w:rsidRPr="005C3EC8">
        <w:rPr>
          <w:rFonts w:ascii="Calibri" w:hAnsi="Calibri"/>
        </w:rPr>
        <w:t xml:space="preserve">d on </w:t>
      </w:r>
      <w:hyperlink r:id="rId158" w:history="1">
        <w:r w:rsidR="008D21E8" w:rsidRPr="005C3EC8">
          <w:rPr>
            <w:rStyle w:val="Hyperlink"/>
            <w:rFonts w:ascii="Calibri" w:hAnsi="Calibri" w:cs="Calibri"/>
          </w:rPr>
          <w:t>https://www.thecrownestate.co.uk/en-gb/resources/maps-and-gis-data/</w:t>
        </w:r>
      </w:hyperlink>
      <w:r w:rsidR="008D21E8" w:rsidRPr="005C3EC8">
        <w:rPr>
          <w:rFonts w:ascii="Calibri" w:hAnsi="Calibri"/>
        </w:rPr>
        <w:t xml:space="preserve"> </w:t>
      </w:r>
    </w:p>
    <w:p w14:paraId="0DC5B63F" w14:textId="63E5A4B1" w:rsidR="0053757D" w:rsidRPr="005C3EC8" w:rsidRDefault="0053757D" w:rsidP="001422AF">
      <w:pPr>
        <w:numPr>
          <w:ilvl w:val="0"/>
          <w:numId w:val="4"/>
        </w:numPr>
        <w:spacing w:before="120"/>
        <w:rPr>
          <w:rFonts w:ascii="Calibri" w:hAnsi="Calibri"/>
        </w:rPr>
      </w:pPr>
      <w:r w:rsidRPr="005C3EC8">
        <w:rPr>
          <w:rFonts w:ascii="Calibri" w:hAnsi="Calibri"/>
        </w:rPr>
        <w:t>The Crown Estate website, Minerals potash webpage, accesse</w:t>
      </w:r>
      <w:r w:rsidR="008D21E8" w:rsidRPr="005C3EC8">
        <w:rPr>
          <w:rFonts w:ascii="Calibri" w:hAnsi="Calibri"/>
        </w:rPr>
        <w:t xml:space="preserve">d on </w:t>
      </w:r>
      <w:hyperlink r:id="rId159" w:history="1">
        <w:r w:rsidR="008D21E8" w:rsidRPr="005C3EC8">
          <w:rPr>
            <w:rStyle w:val="Hyperlink"/>
            <w:rFonts w:ascii="Calibri" w:hAnsi="Calibri" w:cs="Calibri"/>
          </w:rPr>
          <w:t>https://www.thecrownestate.co.uk/en-gb/what-we-do/on-the-seabed/minerals-dredging/</w:t>
        </w:r>
      </w:hyperlink>
      <w:r w:rsidR="008D21E8" w:rsidRPr="005C3EC8">
        <w:rPr>
          <w:rFonts w:ascii="Calibri" w:hAnsi="Calibri"/>
        </w:rPr>
        <w:t xml:space="preserve"> </w:t>
      </w:r>
    </w:p>
    <w:p w14:paraId="74ED491A" w14:textId="7BDDBA59" w:rsidR="0053757D" w:rsidRPr="005C3EC8" w:rsidRDefault="0053757D" w:rsidP="00CE3CEA">
      <w:pPr>
        <w:numPr>
          <w:ilvl w:val="0"/>
          <w:numId w:val="4"/>
        </w:numPr>
        <w:spacing w:before="120"/>
        <w:rPr>
          <w:rFonts w:ascii="Calibri" w:hAnsi="Calibri"/>
        </w:rPr>
      </w:pPr>
      <w:r w:rsidRPr="005C3EC8">
        <w:rPr>
          <w:rFonts w:ascii="Calibri" w:hAnsi="Calibri"/>
        </w:rPr>
        <w:t>The Crown Estate website, Our business section, accesse</w:t>
      </w:r>
      <w:r w:rsidR="00133CA2" w:rsidRPr="005C3EC8">
        <w:rPr>
          <w:rFonts w:ascii="Calibri" w:hAnsi="Calibri"/>
        </w:rPr>
        <w:t xml:space="preserve">d on </w:t>
      </w:r>
      <w:hyperlink r:id="rId160" w:history="1">
        <w:r w:rsidR="00133CA2" w:rsidRPr="005C3EC8">
          <w:rPr>
            <w:rStyle w:val="Hyperlink"/>
            <w:rFonts w:ascii="Calibri" w:hAnsi="Calibri" w:cs="Calibri"/>
          </w:rPr>
          <w:t>https://www.thecrownestate.co.uk/en-gb/our-business/</w:t>
        </w:r>
      </w:hyperlink>
      <w:r w:rsidR="00133CA2" w:rsidRPr="005C3EC8">
        <w:rPr>
          <w:rFonts w:ascii="Calibri" w:hAnsi="Calibri"/>
        </w:rPr>
        <w:t xml:space="preserve"> </w:t>
      </w:r>
    </w:p>
    <w:p w14:paraId="4E1A6FD1" w14:textId="28E17B09" w:rsidR="0053757D" w:rsidRPr="005C3EC8" w:rsidRDefault="0053757D" w:rsidP="009D043B">
      <w:pPr>
        <w:numPr>
          <w:ilvl w:val="0"/>
          <w:numId w:val="4"/>
        </w:numPr>
        <w:spacing w:before="120"/>
        <w:rPr>
          <w:rFonts w:ascii="Calibri" w:hAnsi="Calibri"/>
        </w:rPr>
      </w:pPr>
      <w:r w:rsidRPr="005C3EC8">
        <w:rPr>
          <w:rFonts w:ascii="Calibri" w:hAnsi="Calibri"/>
        </w:rPr>
        <w:t>The Crown Estate website, Our Portfolio webpage, accesse</w:t>
      </w:r>
      <w:r w:rsidR="00133CA2" w:rsidRPr="005C3EC8">
        <w:rPr>
          <w:rFonts w:ascii="Calibri" w:hAnsi="Calibri"/>
        </w:rPr>
        <w:t xml:space="preserve">d on </w:t>
      </w:r>
      <w:hyperlink r:id="rId161" w:history="1">
        <w:r w:rsidR="00133CA2" w:rsidRPr="005C3EC8">
          <w:rPr>
            <w:rStyle w:val="Hyperlink"/>
            <w:rFonts w:ascii="Calibri" w:hAnsi="Calibri" w:cs="Calibri"/>
          </w:rPr>
          <w:t>https://www.thecrownestate.co.uk/en-gb/what-we-do/on-the-seabed/minerals-dredging/</w:t>
        </w:r>
      </w:hyperlink>
      <w:r w:rsidR="00133CA2" w:rsidRPr="005C3EC8">
        <w:rPr>
          <w:rFonts w:ascii="Calibri" w:hAnsi="Calibri"/>
        </w:rPr>
        <w:t xml:space="preserve"> </w:t>
      </w:r>
    </w:p>
    <w:p w14:paraId="501B3BCB" w14:textId="757C8CB5" w:rsidR="009D043B" w:rsidRPr="005C3EC8" w:rsidRDefault="005A36AA" w:rsidP="005A36AA">
      <w:pPr>
        <w:pStyle w:val="Heading3"/>
      </w:pPr>
      <w:r w:rsidRPr="005C3EC8">
        <w:t>Coal</w:t>
      </w:r>
    </w:p>
    <w:p w14:paraId="3CAA571C" w14:textId="3A73D541" w:rsidR="001422AF" w:rsidRPr="005C3EC8" w:rsidRDefault="001422AF" w:rsidP="001422AF">
      <w:pPr>
        <w:numPr>
          <w:ilvl w:val="0"/>
          <w:numId w:val="4"/>
        </w:numPr>
        <w:spacing w:before="120"/>
        <w:rPr>
          <w:rFonts w:ascii="Calibri" w:hAnsi="Calibri"/>
        </w:rPr>
      </w:pPr>
      <w:r w:rsidRPr="005C3EC8">
        <w:rPr>
          <w:rFonts w:ascii="Calibri" w:hAnsi="Calibri"/>
        </w:rPr>
        <w:t xml:space="preserve">The Coal Authority website, accessed </w:t>
      </w:r>
      <w:r w:rsidR="00133CA2" w:rsidRPr="005C3EC8">
        <w:rPr>
          <w:rFonts w:ascii="Calibri" w:hAnsi="Calibri"/>
        </w:rPr>
        <w:t xml:space="preserve">on </w:t>
      </w:r>
      <w:hyperlink r:id="rId162" w:history="1">
        <w:r w:rsidR="00133CA2" w:rsidRPr="005C3EC8">
          <w:rPr>
            <w:rStyle w:val="Hyperlink"/>
            <w:rFonts w:ascii="Calibri" w:hAnsi="Calibri" w:cs="Calibri"/>
          </w:rPr>
          <w:t>https://www.gov.uk/government/organisations/the-coal-authority</w:t>
        </w:r>
      </w:hyperlink>
      <w:r w:rsidR="00133CA2" w:rsidRPr="005C3EC8">
        <w:rPr>
          <w:rFonts w:ascii="Calibri" w:hAnsi="Calibri"/>
        </w:rPr>
        <w:t xml:space="preserve"> </w:t>
      </w:r>
    </w:p>
    <w:p w14:paraId="48119655" w14:textId="5066C458" w:rsidR="001422AF" w:rsidRPr="005C3EC8" w:rsidRDefault="001422AF" w:rsidP="00C64303">
      <w:pPr>
        <w:numPr>
          <w:ilvl w:val="0"/>
          <w:numId w:val="4"/>
        </w:numPr>
        <w:spacing w:before="120"/>
        <w:rPr>
          <w:rFonts w:ascii="Calibri" w:hAnsi="Calibri"/>
        </w:rPr>
      </w:pPr>
      <w:r w:rsidRPr="005C3EC8">
        <w:t xml:space="preserve">Gov.uk, ‘Coal mining reports and data’, accessed </w:t>
      </w:r>
      <w:r w:rsidR="00133CA2" w:rsidRPr="005C3EC8">
        <w:t xml:space="preserve">on </w:t>
      </w:r>
      <w:hyperlink r:id="rId163" w:history="1">
        <w:r w:rsidR="00133CA2" w:rsidRPr="005C3EC8">
          <w:rPr>
            <w:rStyle w:val="Hyperlink"/>
            <w:rFonts w:cs="Calibri"/>
          </w:rPr>
          <w:t>https://www.gov.uk/topic/coal/reports-data</w:t>
        </w:r>
      </w:hyperlink>
      <w:r w:rsidR="00133CA2" w:rsidRPr="005C3EC8">
        <w:t xml:space="preserve"> </w:t>
      </w:r>
    </w:p>
    <w:p w14:paraId="65C119E3" w14:textId="4E1A5C5F" w:rsidR="001422AF" w:rsidRPr="005C3EC8" w:rsidRDefault="001422AF" w:rsidP="00C64303">
      <w:pPr>
        <w:numPr>
          <w:ilvl w:val="0"/>
          <w:numId w:val="4"/>
        </w:numPr>
        <w:spacing w:before="120"/>
        <w:rPr>
          <w:rFonts w:ascii="Calibri" w:hAnsi="Calibri"/>
        </w:rPr>
      </w:pPr>
      <w:r w:rsidRPr="005C3EC8">
        <w:t xml:space="preserve">Gov.uk, ‘Coal Statistics’, accessed </w:t>
      </w:r>
      <w:r w:rsidR="00133CA2" w:rsidRPr="005C3EC8">
        <w:t xml:space="preserve">on </w:t>
      </w:r>
      <w:hyperlink r:id="rId164" w:history="1">
        <w:r w:rsidR="00133CA2" w:rsidRPr="005C3EC8">
          <w:rPr>
            <w:rStyle w:val="Hyperlink"/>
            <w:rFonts w:cs="Calibri"/>
          </w:rPr>
          <w:t>https://www.gov.uk/government/collections/coal-statistics</w:t>
        </w:r>
      </w:hyperlink>
      <w:r w:rsidR="00133CA2" w:rsidRPr="005C3EC8">
        <w:t xml:space="preserve"> </w:t>
      </w:r>
    </w:p>
    <w:p w14:paraId="3C0AFF98" w14:textId="54B152BF" w:rsidR="001422AF" w:rsidRPr="005C3EC8" w:rsidRDefault="001422AF" w:rsidP="00CE3CEA">
      <w:pPr>
        <w:numPr>
          <w:ilvl w:val="0"/>
          <w:numId w:val="4"/>
        </w:numPr>
        <w:spacing w:before="120"/>
        <w:rPr>
          <w:rFonts w:ascii="Calibri" w:hAnsi="Calibri"/>
        </w:rPr>
      </w:pPr>
      <w:r w:rsidRPr="005C3EC8">
        <w:rPr>
          <w:rFonts w:ascii="Calibri" w:hAnsi="Calibri"/>
        </w:rPr>
        <w:t xml:space="preserve">Gov.uk, ‘Guidance: Coal mining licence applications supporting documents’, accessed </w:t>
      </w:r>
      <w:r w:rsidR="00133CA2" w:rsidRPr="005C3EC8">
        <w:rPr>
          <w:rFonts w:ascii="Calibri" w:hAnsi="Calibri"/>
        </w:rPr>
        <w:t xml:space="preserve">on </w:t>
      </w:r>
      <w:hyperlink r:id="rId165" w:history="1">
        <w:r w:rsidR="00133CA2" w:rsidRPr="005C3EC8">
          <w:rPr>
            <w:rStyle w:val="Hyperlink"/>
            <w:rFonts w:ascii="Calibri" w:hAnsi="Calibri" w:cs="Calibri"/>
          </w:rPr>
          <w:t>https://www.gov.uk/government/publications/coal-mining-licence-applications-supporting-documents</w:t>
        </w:r>
      </w:hyperlink>
      <w:r w:rsidR="00133CA2" w:rsidRPr="005C3EC8">
        <w:rPr>
          <w:rFonts w:ascii="Calibri" w:hAnsi="Calibri"/>
        </w:rPr>
        <w:t xml:space="preserve"> </w:t>
      </w:r>
    </w:p>
    <w:p w14:paraId="0CFC33CD" w14:textId="355C479E" w:rsidR="001422AF" w:rsidRPr="005C3EC8" w:rsidRDefault="001422AF" w:rsidP="00C64303">
      <w:pPr>
        <w:numPr>
          <w:ilvl w:val="0"/>
          <w:numId w:val="4"/>
        </w:numPr>
        <w:spacing w:before="120"/>
        <w:rPr>
          <w:rFonts w:ascii="Calibri" w:hAnsi="Calibri"/>
        </w:rPr>
      </w:pPr>
      <w:r w:rsidRPr="005C3EC8">
        <w:lastRenderedPageBreak/>
        <w:t xml:space="preserve">Gov.uk, ‘Statistical data set: Historical coal data: coal production, availability and consumption’, accessed </w:t>
      </w:r>
      <w:r w:rsidR="00133CA2" w:rsidRPr="005C3EC8">
        <w:t xml:space="preserve">on </w:t>
      </w:r>
      <w:hyperlink r:id="rId166" w:history="1">
        <w:r w:rsidR="00133CA2" w:rsidRPr="005C3EC8">
          <w:rPr>
            <w:rStyle w:val="Hyperlink"/>
            <w:rFonts w:cs="Calibri"/>
          </w:rPr>
          <w:t>https://www.gov.uk/government/statistical-data-sets/historical-coal-data-coal-production-availability-and-consumption</w:t>
        </w:r>
      </w:hyperlink>
      <w:r w:rsidR="00133CA2" w:rsidRPr="005C3EC8">
        <w:t xml:space="preserve"> </w:t>
      </w:r>
    </w:p>
    <w:p w14:paraId="425C012F" w14:textId="1169C087" w:rsidR="001422AF" w:rsidRPr="005C3EC8" w:rsidRDefault="001422AF" w:rsidP="00C64303">
      <w:pPr>
        <w:numPr>
          <w:ilvl w:val="0"/>
          <w:numId w:val="4"/>
        </w:numPr>
        <w:spacing w:before="120"/>
        <w:rPr>
          <w:rFonts w:ascii="Calibri" w:hAnsi="Calibri"/>
        </w:rPr>
      </w:pPr>
      <w:r w:rsidRPr="005C3EC8">
        <w:t xml:space="preserve">Gov.uk, The Coal Authority Annual report and accounts 2016 to 2017, accessed </w:t>
      </w:r>
      <w:r w:rsidR="00133CA2" w:rsidRPr="005C3EC8">
        <w:t xml:space="preserve">on </w:t>
      </w:r>
      <w:hyperlink r:id="rId167" w:history="1">
        <w:r w:rsidR="00133CA2" w:rsidRPr="005C3EC8">
          <w:rPr>
            <w:rStyle w:val="Hyperlink"/>
            <w:rFonts w:cs="Calibri"/>
          </w:rPr>
          <w:t>https://www.gov.uk/government/publications/coal-authority-annual-report-and-accounts-2016-to-2017</w:t>
        </w:r>
      </w:hyperlink>
      <w:r w:rsidR="00133CA2" w:rsidRPr="005C3EC8">
        <w:t xml:space="preserve"> </w:t>
      </w:r>
    </w:p>
    <w:p w14:paraId="5EA64D60" w14:textId="32305E13" w:rsidR="001422AF" w:rsidRPr="005C3EC8" w:rsidRDefault="001422AF" w:rsidP="00CE3CEA">
      <w:pPr>
        <w:numPr>
          <w:ilvl w:val="0"/>
          <w:numId w:val="4"/>
        </w:numPr>
        <w:spacing w:before="120"/>
        <w:rPr>
          <w:rFonts w:ascii="Calibri" w:hAnsi="Calibri"/>
        </w:rPr>
      </w:pPr>
      <w:r w:rsidRPr="005C3EC8">
        <w:rPr>
          <w:rFonts w:ascii="Calibri" w:hAnsi="Calibri"/>
        </w:rPr>
        <w:t xml:space="preserve">The Coal Authority website, ‘Coal mining data: licence areas’, accessed </w:t>
      </w:r>
      <w:r w:rsidR="00133CA2" w:rsidRPr="005C3EC8">
        <w:rPr>
          <w:rFonts w:ascii="Calibri" w:hAnsi="Calibri"/>
        </w:rPr>
        <w:t xml:space="preserve">on </w:t>
      </w:r>
      <w:hyperlink r:id="rId168" w:history="1">
        <w:r w:rsidR="00133CA2" w:rsidRPr="005C3EC8">
          <w:rPr>
            <w:rStyle w:val="Hyperlink"/>
            <w:rFonts w:ascii="Calibri" w:hAnsi="Calibri" w:cs="Calibri"/>
          </w:rPr>
          <w:t>https://www.gov.uk/government/publications/coal-mining-data-licence-areas</w:t>
        </w:r>
      </w:hyperlink>
      <w:r w:rsidR="00133CA2" w:rsidRPr="005C3EC8">
        <w:rPr>
          <w:rFonts w:ascii="Calibri" w:hAnsi="Calibri"/>
        </w:rPr>
        <w:t xml:space="preserve"> </w:t>
      </w:r>
    </w:p>
    <w:p w14:paraId="2CF34BE5" w14:textId="3CD117CD" w:rsidR="001422AF" w:rsidRPr="005C3EC8" w:rsidRDefault="001422AF" w:rsidP="00CE3CEA">
      <w:pPr>
        <w:numPr>
          <w:ilvl w:val="0"/>
          <w:numId w:val="4"/>
        </w:numPr>
        <w:spacing w:before="120"/>
        <w:rPr>
          <w:rFonts w:ascii="Calibri" w:hAnsi="Calibri"/>
        </w:rPr>
      </w:pPr>
      <w:r w:rsidRPr="005C3EC8">
        <w:rPr>
          <w:rFonts w:ascii="Calibri" w:hAnsi="Calibri"/>
        </w:rPr>
        <w:t xml:space="preserve">The Coal Authority website, ‘Find out if a property is affected by coal mining’, accessed </w:t>
      </w:r>
      <w:r w:rsidR="00133CA2" w:rsidRPr="005C3EC8">
        <w:rPr>
          <w:rFonts w:ascii="Calibri" w:hAnsi="Calibri"/>
        </w:rPr>
        <w:t xml:space="preserve">on </w:t>
      </w:r>
      <w:hyperlink r:id="rId169" w:history="1">
        <w:r w:rsidR="00133CA2" w:rsidRPr="005C3EC8">
          <w:rPr>
            <w:rStyle w:val="Hyperlink"/>
            <w:rFonts w:ascii="Calibri" w:hAnsi="Calibri" w:cs="Calibri"/>
          </w:rPr>
          <w:t>https://www.gov.uk/check-if-property-is-affected-by-coal-mining</w:t>
        </w:r>
      </w:hyperlink>
      <w:r w:rsidR="00133CA2" w:rsidRPr="005C3EC8">
        <w:rPr>
          <w:rFonts w:ascii="Calibri" w:hAnsi="Calibri"/>
        </w:rPr>
        <w:t xml:space="preserve"> </w:t>
      </w:r>
    </w:p>
    <w:p w14:paraId="0CB358E0" w14:textId="4D1C63A8" w:rsidR="001422AF" w:rsidRPr="005C3EC8" w:rsidRDefault="001422AF" w:rsidP="00CE3CEA">
      <w:pPr>
        <w:numPr>
          <w:ilvl w:val="0"/>
          <w:numId w:val="4"/>
        </w:numPr>
        <w:spacing w:before="120"/>
        <w:rPr>
          <w:rFonts w:ascii="Calibri" w:hAnsi="Calibri"/>
        </w:rPr>
      </w:pPr>
      <w:r w:rsidRPr="005C3EC8">
        <w:rPr>
          <w:rFonts w:ascii="Calibri" w:hAnsi="Calibri"/>
        </w:rPr>
        <w:t xml:space="preserve">The Coal Authority website, ‘Latest documents by organisation’, accessed </w:t>
      </w:r>
      <w:r w:rsidR="00133CA2" w:rsidRPr="005C3EC8">
        <w:rPr>
          <w:rFonts w:ascii="Calibri" w:hAnsi="Calibri"/>
        </w:rPr>
        <w:t xml:space="preserve">on </w:t>
      </w:r>
      <w:hyperlink r:id="rId170" w:history="1">
        <w:r w:rsidR="00133CA2" w:rsidRPr="005C3EC8">
          <w:rPr>
            <w:rStyle w:val="Hyperlink"/>
            <w:rFonts w:ascii="Calibri" w:hAnsi="Calibri" w:cs="Calibri"/>
          </w:rPr>
          <w:t>https://www.gov.uk/government/organisations/latest?organisations%5B%5D=the-coal-authority</w:t>
        </w:r>
      </w:hyperlink>
      <w:r w:rsidR="00133CA2" w:rsidRPr="005C3EC8">
        <w:rPr>
          <w:rFonts w:ascii="Calibri" w:hAnsi="Calibri"/>
        </w:rPr>
        <w:t xml:space="preserve"> </w:t>
      </w:r>
    </w:p>
    <w:p w14:paraId="57654431" w14:textId="63A01207" w:rsidR="001422AF" w:rsidRPr="005C3EC8" w:rsidRDefault="001422AF" w:rsidP="00CE3CEA">
      <w:pPr>
        <w:numPr>
          <w:ilvl w:val="0"/>
          <w:numId w:val="4"/>
        </w:numPr>
        <w:spacing w:before="120"/>
        <w:rPr>
          <w:rFonts w:ascii="Calibri" w:hAnsi="Calibri"/>
        </w:rPr>
      </w:pPr>
      <w:r w:rsidRPr="005C3EC8">
        <w:rPr>
          <w:rFonts w:ascii="Calibri" w:hAnsi="Calibri"/>
        </w:rPr>
        <w:t xml:space="preserve">The Coal Authority website, About our services section, accessed </w:t>
      </w:r>
      <w:r w:rsidR="00133CA2" w:rsidRPr="005C3EC8">
        <w:rPr>
          <w:rFonts w:ascii="Calibri" w:hAnsi="Calibri"/>
        </w:rPr>
        <w:t xml:space="preserve">on </w:t>
      </w:r>
      <w:hyperlink r:id="rId171" w:history="1">
        <w:r w:rsidR="00133CA2" w:rsidRPr="005C3EC8">
          <w:rPr>
            <w:rStyle w:val="Hyperlink"/>
            <w:rFonts w:ascii="Calibri" w:hAnsi="Calibri" w:cs="Calibri"/>
          </w:rPr>
          <w:t>https://www.gov.uk/government/organisations/the-coal-authority/about-our-services</w:t>
        </w:r>
      </w:hyperlink>
      <w:r w:rsidR="00133CA2" w:rsidRPr="005C3EC8">
        <w:rPr>
          <w:rFonts w:ascii="Calibri" w:hAnsi="Calibri"/>
        </w:rPr>
        <w:t xml:space="preserve"> </w:t>
      </w:r>
    </w:p>
    <w:p w14:paraId="11D8CF53" w14:textId="4C15AB44" w:rsidR="001422AF" w:rsidRPr="005C3EC8" w:rsidRDefault="001422AF" w:rsidP="00CE3CEA">
      <w:pPr>
        <w:numPr>
          <w:ilvl w:val="0"/>
          <w:numId w:val="4"/>
        </w:numPr>
        <w:spacing w:before="120"/>
        <w:rPr>
          <w:rFonts w:ascii="Calibri" w:hAnsi="Calibri"/>
        </w:rPr>
      </w:pPr>
      <w:r w:rsidRPr="005C3EC8">
        <w:rPr>
          <w:rFonts w:ascii="Calibri" w:hAnsi="Calibri"/>
        </w:rPr>
        <w:t xml:space="preserve">The Coal Authority website, Licensing charges section, accessed </w:t>
      </w:r>
      <w:r w:rsidR="00133CA2" w:rsidRPr="005C3EC8">
        <w:rPr>
          <w:rFonts w:ascii="Calibri" w:hAnsi="Calibri"/>
        </w:rPr>
        <w:t xml:space="preserve">on </w:t>
      </w:r>
      <w:hyperlink r:id="rId172" w:anchor="licensing-charges" w:history="1">
        <w:r w:rsidR="00133CA2" w:rsidRPr="005C3EC8">
          <w:rPr>
            <w:rStyle w:val="Hyperlink"/>
            <w:rFonts w:ascii="Calibri" w:hAnsi="Calibri" w:cs="Calibri"/>
          </w:rPr>
          <w:t>https://www.gov.uk/government/organisations/the-coal-authority/about-our-services#licensing-charges</w:t>
        </w:r>
      </w:hyperlink>
      <w:r w:rsidR="00133CA2" w:rsidRPr="005C3EC8">
        <w:rPr>
          <w:rFonts w:ascii="Calibri" w:hAnsi="Calibri"/>
        </w:rPr>
        <w:t xml:space="preserve"> </w:t>
      </w:r>
    </w:p>
    <w:p w14:paraId="45966FBB" w14:textId="16F9F418" w:rsidR="001422AF" w:rsidRPr="005C3EC8" w:rsidRDefault="001422AF" w:rsidP="00CE3CEA">
      <w:pPr>
        <w:numPr>
          <w:ilvl w:val="0"/>
          <w:numId w:val="4"/>
        </w:numPr>
        <w:spacing w:before="120"/>
        <w:rPr>
          <w:rFonts w:ascii="Calibri" w:hAnsi="Calibri"/>
        </w:rPr>
      </w:pPr>
      <w:r w:rsidRPr="005C3EC8">
        <w:rPr>
          <w:rFonts w:ascii="Calibri" w:hAnsi="Calibri"/>
        </w:rPr>
        <w:t xml:space="preserve">The Coal Authority website, Mining permits and licenses webpage, accessed </w:t>
      </w:r>
      <w:r w:rsidR="00133CA2" w:rsidRPr="005C3EC8">
        <w:rPr>
          <w:rFonts w:ascii="Calibri" w:hAnsi="Calibri"/>
        </w:rPr>
        <w:t xml:space="preserve">on </w:t>
      </w:r>
      <w:hyperlink r:id="rId173" w:history="1">
        <w:r w:rsidR="00133CA2" w:rsidRPr="005C3EC8">
          <w:rPr>
            <w:rStyle w:val="Hyperlink"/>
            <w:rFonts w:ascii="Calibri" w:hAnsi="Calibri" w:cs="Calibri"/>
          </w:rPr>
          <w:t>https://www.gov.uk/topic/coal/permits-licences</w:t>
        </w:r>
      </w:hyperlink>
      <w:r w:rsidRPr="005C3EC8">
        <w:rPr>
          <w:rFonts w:ascii="Calibri" w:hAnsi="Calibri"/>
        </w:rPr>
        <w:t xml:space="preserve"> </w:t>
      </w:r>
    </w:p>
    <w:p w14:paraId="374924D6" w14:textId="72145DB1" w:rsidR="001422AF" w:rsidRPr="005C3EC8" w:rsidRDefault="001422AF" w:rsidP="00CE3CEA">
      <w:pPr>
        <w:numPr>
          <w:ilvl w:val="0"/>
          <w:numId w:val="4"/>
        </w:numPr>
        <w:spacing w:before="120"/>
        <w:rPr>
          <w:rFonts w:ascii="Calibri" w:hAnsi="Calibri"/>
        </w:rPr>
      </w:pPr>
      <w:r w:rsidRPr="005C3EC8">
        <w:rPr>
          <w:rFonts w:ascii="Calibri" w:hAnsi="Calibri"/>
        </w:rPr>
        <w:t xml:space="preserve">The Coal Authority, ‘Guidance: Coal mining licence applications supporting documents’, accessed </w:t>
      </w:r>
      <w:r w:rsidR="00133CA2" w:rsidRPr="005C3EC8">
        <w:rPr>
          <w:rFonts w:ascii="Calibri" w:hAnsi="Calibri"/>
        </w:rPr>
        <w:t xml:space="preserve">on </w:t>
      </w:r>
      <w:hyperlink r:id="rId174" w:history="1">
        <w:r w:rsidR="00133CA2" w:rsidRPr="005C3EC8">
          <w:rPr>
            <w:rStyle w:val="Hyperlink"/>
            <w:rFonts w:ascii="Calibri" w:hAnsi="Calibri" w:cs="Calibri"/>
          </w:rPr>
          <w:t>https://www.gov.uk/government/publications/coal-mining-licence-applications-supporting-documents</w:t>
        </w:r>
      </w:hyperlink>
      <w:r w:rsidR="00133CA2" w:rsidRPr="005C3EC8">
        <w:rPr>
          <w:rFonts w:ascii="Calibri" w:hAnsi="Calibri"/>
        </w:rPr>
        <w:t xml:space="preserve"> </w:t>
      </w:r>
    </w:p>
    <w:p w14:paraId="0C16FFA9" w14:textId="22F7E32A" w:rsidR="001422AF" w:rsidRPr="005C3EC8" w:rsidRDefault="001422AF" w:rsidP="00CE3CEA">
      <w:pPr>
        <w:numPr>
          <w:ilvl w:val="0"/>
          <w:numId w:val="4"/>
        </w:numPr>
        <w:spacing w:before="120"/>
        <w:rPr>
          <w:rFonts w:ascii="Calibri" w:hAnsi="Calibri"/>
        </w:rPr>
      </w:pPr>
      <w:r w:rsidRPr="005C3EC8">
        <w:rPr>
          <w:rFonts w:ascii="Calibri" w:hAnsi="Calibri"/>
        </w:rPr>
        <w:t xml:space="preserve">The Coal Authority, ‘Guidance: Get a coal mining licence or other consent’, accessed </w:t>
      </w:r>
      <w:r w:rsidR="00133CA2" w:rsidRPr="005C3EC8">
        <w:rPr>
          <w:rFonts w:ascii="Calibri" w:hAnsi="Calibri"/>
        </w:rPr>
        <w:t xml:space="preserve">on </w:t>
      </w:r>
      <w:hyperlink r:id="rId175" w:history="1">
        <w:r w:rsidR="00133CA2" w:rsidRPr="005C3EC8">
          <w:rPr>
            <w:rStyle w:val="Hyperlink"/>
            <w:rFonts w:ascii="Calibri" w:hAnsi="Calibri" w:cs="Calibri"/>
          </w:rPr>
          <w:t>https://www.gov.uk/guidance/get-a-licence-for-coal-mining</w:t>
        </w:r>
      </w:hyperlink>
      <w:r w:rsidR="00133CA2" w:rsidRPr="005C3EC8">
        <w:rPr>
          <w:rFonts w:ascii="Calibri" w:hAnsi="Calibri"/>
        </w:rPr>
        <w:t xml:space="preserve"> </w:t>
      </w:r>
    </w:p>
    <w:p w14:paraId="32B48BAB" w14:textId="72BFFAFD" w:rsidR="00C64303" w:rsidRPr="005C3EC8" w:rsidRDefault="005A36AA" w:rsidP="005A36AA">
      <w:pPr>
        <w:pStyle w:val="Heading3"/>
      </w:pPr>
      <w:r w:rsidRPr="005C3EC8">
        <w:t>Planning permissions</w:t>
      </w:r>
    </w:p>
    <w:p w14:paraId="31BCCD9F" w14:textId="67D1F4F3" w:rsidR="00C64303" w:rsidRPr="005C3EC8" w:rsidRDefault="00C64303" w:rsidP="00C64303">
      <w:pPr>
        <w:numPr>
          <w:ilvl w:val="0"/>
          <w:numId w:val="4"/>
        </w:numPr>
        <w:spacing w:before="120"/>
        <w:rPr>
          <w:rFonts w:ascii="Calibri" w:hAnsi="Calibri"/>
        </w:rPr>
      </w:pPr>
      <w:r w:rsidRPr="005C3EC8">
        <w:rPr>
          <w:rFonts w:ascii="Calibri" w:hAnsi="Calibri"/>
        </w:rPr>
        <w:t>Department for Communities and Local Government (DCLG), 2012 National Planning Policy Framework (England), accesse</w:t>
      </w:r>
      <w:r w:rsidR="00133CA2" w:rsidRPr="005C3EC8">
        <w:rPr>
          <w:rFonts w:ascii="Calibri" w:hAnsi="Calibri"/>
        </w:rPr>
        <w:t xml:space="preserve">d on </w:t>
      </w:r>
      <w:hyperlink r:id="rId176" w:history="1">
        <w:r w:rsidR="00133CA2" w:rsidRPr="005C3EC8">
          <w:rPr>
            <w:rStyle w:val="Hyperlink"/>
            <w:rFonts w:ascii="Calibri" w:hAnsi="Calibri" w:cs="Calibri"/>
          </w:rPr>
          <w:t>https://assets.publishing.service.gov.uk/government/uploads/system/uploads/attachment_data/file/740441/National_Planning_Policy_Framework_web_accessible_version.pdf</w:t>
        </w:r>
      </w:hyperlink>
      <w:r w:rsidR="00133CA2" w:rsidRPr="005C3EC8">
        <w:rPr>
          <w:rFonts w:ascii="Calibri" w:hAnsi="Calibri"/>
        </w:rPr>
        <w:t xml:space="preserve"> </w:t>
      </w:r>
    </w:p>
    <w:p w14:paraId="3D09A5CE" w14:textId="41C4563C" w:rsidR="00C64303" w:rsidRPr="005C3EC8" w:rsidRDefault="00C64303" w:rsidP="00C64303">
      <w:pPr>
        <w:numPr>
          <w:ilvl w:val="0"/>
          <w:numId w:val="4"/>
        </w:numPr>
        <w:spacing w:before="120"/>
        <w:rPr>
          <w:rFonts w:ascii="Calibri" w:hAnsi="Calibri"/>
        </w:rPr>
      </w:pPr>
      <w:r w:rsidRPr="005C3EC8">
        <w:rPr>
          <w:rFonts w:ascii="Calibri" w:hAnsi="Calibri"/>
        </w:rPr>
        <w:t xml:space="preserve">Marine Management Organisation on Gov.uk, ‘Marine licences’, accessed </w:t>
      </w:r>
      <w:r w:rsidR="00133CA2" w:rsidRPr="005C3EC8">
        <w:rPr>
          <w:rFonts w:ascii="Calibri" w:hAnsi="Calibri"/>
        </w:rPr>
        <w:t xml:space="preserve">on </w:t>
      </w:r>
      <w:hyperlink r:id="rId177" w:history="1">
        <w:r w:rsidR="00133CA2" w:rsidRPr="005C3EC8">
          <w:rPr>
            <w:rStyle w:val="Hyperlink"/>
            <w:rFonts w:ascii="Calibri" w:hAnsi="Calibri" w:cs="Calibri"/>
          </w:rPr>
          <w:t>https://www.gov.uk/topic/planning-development/marine-licences</w:t>
        </w:r>
      </w:hyperlink>
      <w:r w:rsidR="00133CA2" w:rsidRPr="005C3EC8">
        <w:rPr>
          <w:rFonts w:ascii="Calibri" w:hAnsi="Calibri"/>
        </w:rPr>
        <w:t xml:space="preserve"> </w:t>
      </w:r>
    </w:p>
    <w:p w14:paraId="362AAAF3" w14:textId="713CECD7" w:rsidR="00C64303" w:rsidRPr="005C3EC8" w:rsidRDefault="00C64303" w:rsidP="00C64303">
      <w:pPr>
        <w:numPr>
          <w:ilvl w:val="0"/>
          <w:numId w:val="4"/>
        </w:numPr>
        <w:spacing w:before="120"/>
        <w:rPr>
          <w:rFonts w:ascii="Calibri" w:hAnsi="Calibri"/>
        </w:rPr>
      </w:pPr>
      <w:r w:rsidRPr="005C3EC8">
        <w:rPr>
          <w:rFonts w:ascii="Calibri" w:hAnsi="Calibri"/>
        </w:rPr>
        <w:t xml:space="preserve">Marine Management Organisation on Gov.uk, ‘Guidance: Make a marine licence application’, accessed </w:t>
      </w:r>
      <w:r w:rsidR="00133CA2" w:rsidRPr="005C3EC8">
        <w:rPr>
          <w:rFonts w:ascii="Calibri" w:hAnsi="Calibri"/>
        </w:rPr>
        <w:t xml:space="preserve">on </w:t>
      </w:r>
      <w:hyperlink r:id="rId178" w:history="1">
        <w:r w:rsidR="00133CA2" w:rsidRPr="005C3EC8">
          <w:rPr>
            <w:rStyle w:val="Hyperlink"/>
            <w:rFonts w:ascii="Calibri" w:hAnsi="Calibri" w:cs="Calibri"/>
          </w:rPr>
          <w:t>https://www.gov.uk/guidance/make-a-marine-licence-application</w:t>
        </w:r>
      </w:hyperlink>
      <w:r w:rsidRPr="005C3EC8">
        <w:rPr>
          <w:rFonts w:ascii="Calibri" w:hAnsi="Calibri"/>
        </w:rPr>
        <w:t xml:space="preserve"> </w:t>
      </w:r>
    </w:p>
    <w:p w14:paraId="1DED0153" w14:textId="26394AB3" w:rsidR="00C64303" w:rsidRPr="005C3EC8" w:rsidRDefault="00C64303" w:rsidP="00C64303">
      <w:pPr>
        <w:numPr>
          <w:ilvl w:val="0"/>
          <w:numId w:val="4"/>
        </w:numPr>
        <w:spacing w:before="120"/>
        <w:rPr>
          <w:rFonts w:ascii="Calibri" w:hAnsi="Calibri"/>
        </w:rPr>
      </w:pPr>
      <w:r w:rsidRPr="005C3EC8">
        <w:rPr>
          <w:rFonts w:ascii="Calibri" w:hAnsi="Calibri"/>
        </w:rPr>
        <w:t xml:space="preserve">Marine Management Organisation on Gov.uk, ‘Public register of marine licenses’, accessed </w:t>
      </w:r>
      <w:r w:rsidR="00133CA2" w:rsidRPr="005C3EC8">
        <w:rPr>
          <w:rFonts w:ascii="Calibri" w:hAnsi="Calibri"/>
        </w:rPr>
        <w:t xml:space="preserve">on </w:t>
      </w:r>
      <w:hyperlink r:id="rId179" w:history="1">
        <w:r w:rsidR="00133CA2" w:rsidRPr="005C3EC8">
          <w:rPr>
            <w:rStyle w:val="Hyperlink"/>
            <w:rFonts w:ascii="Calibri" w:hAnsi="Calibri" w:cs="Calibri"/>
          </w:rPr>
          <w:t>https://www.gov.uk/check-marine-licence-register</w:t>
        </w:r>
      </w:hyperlink>
      <w:r w:rsidRPr="005C3EC8">
        <w:rPr>
          <w:rFonts w:ascii="Calibri" w:hAnsi="Calibri"/>
        </w:rPr>
        <w:t xml:space="preserve"> </w:t>
      </w:r>
    </w:p>
    <w:p w14:paraId="2CF72850" w14:textId="353E9AAE" w:rsidR="001422AF" w:rsidRPr="005C3EC8" w:rsidRDefault="001422AF" w:rsidP="001422AF">
      <w:pPr>
        <w:numPr>
          <w:ilvl w:val="0"/>
          <w:numId w:val="4"/>
        </w:numPr>
        <w:spacing w:before="120"/>
        <w:rPr>
          <w:rFonts w:ascii="Calibri" w:hAnsi="Calibri"/>
        </w:rPr>
      </w:pPr>
      <w:r w:rsidRPr="005C3EC8">
        <w:rPr>
          <w:rFonts w:ascii="Calibri" w:hAnsi="Calibri"/>
        </w:rPr>
        <w:t xml:space="preserve">North Yorkshire County Council, Kirby Misperton fracking operations’, accessed </w:t>
      </w:r>
      <w:r w:rsidR="00133CA2" w:rsidRPr="005C3EC8">
        <w:rPr>
          <w:rFonts w:ascii="Calibri" w:hAnsi="Calibri"/>
        </w:rPr>
        <w:t xml:space="preserve">on </w:t>
      </w:r>
      <w:hyperlink r:id="rId180" w:history="1">
        <w:r w:rsidR="00133CA2" w:rsidRPr="005C3EC8">
          <w:rPr>
            <w:rStyle w:val="Hyperlink"/>
            <w:rFonts w:ascii="Calibri" w:hAnsi="Calibri" w:cs="Calibri"/>
          </w:rPr>
          <w:t>https://www.northyorks.gov.uk/kirby-misperton-fracking-operations</w:t>
        </w:r>
      </w:hyperlink>
      <w:r w:rsidR="00133CA2" w:rsidRPr="005C3EC8">
        <w:rPr>
          <w:rFonts w:ascii="Calibri" w:hAnsi="Calibri"/>
        </w:rPr>
        <w:t xml:space="preserve"> </w:t>
      </w:r>
    </w:p>
    <w:p w14:paraId="0266632B" w14:textId="6D295D90" w:rsidR="001422AF" w:rsidRPr="005C3EC8" w:rsidRDefault="001422AF" w:rsidP="001422AF">
      <w:pPr>
        <w:numPr>
          <w:ilvl w:val="0"/>
          <w:numId w:val="4"/>
        </w:numPr>
        <w:spacing w:before="120"/>
        <w:rPr>
          <w:rFonts w:ascii="Calibri" w:hAnsi="Calibri"/>
        </w:rPr>
      </w:pPr>
      <w:r w:rsidRPr="005C3EC8">
        <w:rPr>
          <w:rFonts w:ascii="Calibri" w:hAnsi="Calibri"/>
        </w:rPr>
        <w:t xml:space="preserve">Nottinghamshire County Council, ‘Councillors approve planning application for county’s first exploratory shale gas wells’, accessed </w:t>
      </w:r>
      <w:r w:rsidR="00133CA2" w:rsidRPr="005C3EC8">
        <w:rPr>
          <w:rFonts w:ascii="Calibri" w:hAnsi="Calibri"/>
        </w:rPr>
        <w:t xml:space="preserve">on </w:t>
      </w:r>
      <w:hyperlink r:id="rId181" w:history="1">
        <w:r w:rsidR="00133CA2" w:rsidRPr="005C3EC8">
          <w:rPr>
            <w:rStyle w:val="Hyperlink"/>
            <w:rFonts w:ascii="Calibri" w:hAnsi="Calibri" w:cs="Calibri"/>
          </w:rPr>
          <w:t>http://www.nottinghamshire.gov.uk/planning-and-environment/shale-gas-development/shale-gas-development/latest-news/councillors-approve-planning-application-for-county-s-first-exploratory-shale-gas-wells</w:t>
        </w:r>
      </w:hyperlink>
      <w:r w:rsidR="00133CA2" w:rsidRPr="005C3EC8">
        <w:rPr>
          <w:rFonts w:ascii="Calibri" w:hAnsi="Calibri"/>
        </w:rPr>
        <w:t xml:space="preserve"> </w:t>
      </w:r>
    </w:p>
    <w:p w14:paraId="48C12166" w14:textId="17A5EC41" w:rsidR="00C64303" w:rsidRPr="005C3EC8" w:rsidRDefault="005A36AA" w:rsidP="005A36AA">
      <w:pPr>
        <w:pStyle w:val="Heading3"/>
      </w:pPr>
      <w:r w:rsidRPr="005C3EC8">
        <w:t>Wales</w:t>
      </w:r>
    </w:p>
    <w:p w14:paraId="759C6EA7" w14:textId="572B71F7" w:rsidR="00C64303" w:rsidRPr="005C3EC8" w:rsidRDefault="00C64303" w:rsidP="00C64303">
      <w:pPr>
        <w:numPr>
          <w:ilvl w:val="0"/>
          <w:numId w:val="4"/>
        </w:numPr>
        <w:spacing w:before="120"/>
        <w:rPr>
          <w:rFonts w:ascii="Calibri" w:hAnsi="Calibri"/>
        </w:rPr>
      </w:pPr>
      <w:r w:rsidRPr="005C3EC8">
        <w:rPr>
          <w:rFonts w:ascii="Calibri" w:hAnsi="Calibri"/>
        </w:rPr>
        <w:t xml:space="preserve">Welsh Government, Planning Policy Wales, accessed </w:t>
      </w:r>
      <w:r w:rsidR="00133CA2" w:rsidRPr="005C3EC8">
        <w:rPr>
          <w:rFonts w:ascii="Calibri" w:hAnsi="Calibri"/>
        </w:rPr>
        <w:t xml:space="preserve">on </w:t>
      </w:r>
      <w:hyperlink r:id="rId182" w:history="1">
        <w:r w:rsidR="00133CA2" w:rsidRPr="005C3EC8">
          <w:rPr>
            <w:rStyle w:val="Hyperlink"/>
            <w:rFonts w:ascii="Calibri" w:hAnsi="Calibri" w:cs="Calibri"/>
          </w:rPr>
          <w:t>https://gov.wales/topics/planning/policy/minerals/?lang=en</w:t>
        </w:r>
      </w:hyperlink>
      <w:r w:rsidR="00133CA2" w:rsidRPr="005C3EC8">
        <w:rPr>
          <w:rFonts w:ascii="Calibri" w:hAnsi="Calibri"/>
        </w:rPr>
        <w:t xml:space="preserve"> </w:t>
      </w:r>
    </w:p>
    <w:p w14:paraId="7F9A4EDD" w14:textId="7E4D60DF" w:rsidR="00C64303" w:rsidRPr="005C3EC8" w:rsidRDefault="00C64303" w:rsidP="00C64303">
      <w:pPr>
        <w:numPr>
          <w:ilvl w:val="0"/>
          <w:numId w:val="4"/>
        </w:numPr>
        <w:spacing w:before="120"/>
        <w:rPr>
          <w:rFonts w:ascii="Calibri" w:hAnsi="Calibri"/>
        </w:rPr>
      </w:pPr>
      <w:r w:rsidRPr="005C3EC8">
        <w:rPr>
          <w:rFonts w:ascii="Calibri" w:hAnsi="Calibri"/>
        </w:rPr>
        <w:t xml:space="preserve">Welsh Government website, Planning policy and guidance section, accessed </w:t>
      </w:r>
      <w:r w:rsidR="00133CA2" w:rsidRPr="005C3EC8">
        <w:rPr>
          <w:rFonts w:ascii="Calibri" w:hAnsi="Calibri"/>
        </w:rPr>
        <w:t xml:space="preserve">on </w:t>
      </w:r>
      <w:hyperlink r:id="rId183" w:history="1">
        <w:r w:rsidR="00133CA2" w:rsidRPr="005C3EC8">
          <w:rPr>
            <w:rStyle w:val="Hyperlink"/>
            <w:rFonts w:ascii="Calibri" w:hAnsi="Calibri" w:cs="Calibri"/>
          </w:rPr>
          <w:t>https://gov.wales/topics/planning/policy/?lang=en</w:t>
        </w:r>
      </w:hyperlink>
      <w:r w:rsidR="00133CA2" w:rsidRPr="005C3EC8">
        <w:rPr>
          <w:rFonts w:ascii="Calibri" w:hAnsi="Calibri"/>
        </w:rPr>
        <w:t xml:space="preserve"> </w:t>
      </w:r>
    </w:p>
    <w:p w14:paraId="3CECA34B" w14:textId="56A4F3E9" w:rsidR="00C64303" w:rsidRPr="005C3EC8" w:rsidRDefault="00C64303" w:rsidP="00C64303">
      <w:pPr>
        <w:numPr>
          <w:ilvl w:val="0"/>
          <w:numId w:val="4"/>
        </w:numPr>
        <w:spacing w:before="120"/>
        <w:rPr>
          <w:rFonts w:ascii="Calibri" w:hAnsi="Calibri"/>
        </w:rPr>
      </w:pPr>
      <w:r w:rsidRPr="005C3EC8">
        <w:rPr>
          <w:rFonts w:ascii="Calibri" w:hAnsi="Calibri"/>
        </w:rPr>
        <w:t xml:space="preserve">Natural </w:t>
      </w:r>
      <w:proofErr w:type="spellStart"/>
      <w:r w:rsidRPr="005C3EC8">
        <w:rPr>
          <w:rFonts w:ascii="Calibri" w:hAnsi="Calibri"/>
        </w:rPr>
        <w:t>Resouces</w:t>
      </w:r>
      <w:proofErr w:type="spellEnd"/>
      <w:r w:rsidRPr="005C3EC8">
        <w:rPr>
          <w:rFonts w:ascii="Calibri" w:hAnsi="Calibri"/>
        </w:rPr>
        <w:t xml:space="preserve"> Wales, ‘Marine licensing’, accessed </w:t>
      </w:r>
      <w:r w:rsidR="00133CA2" w:rsidRPr="005C3EC8">
        <w:rPr>
          <w:rFonts w:ascii="Calibri" w:hAnsi="Calibri"/>
        </w:rPr>
        <w:t xml:space="preserve">on </w:t>
      </w:r>
      <w:hyperlink r:id="rId184" w:history="1">
        <w:r w:rsidR="00133CA2" w:rsidRPr="005C3EC8">
          <w:rPr>
            <w:rStyle w:val="Hyperlink"/>
            <w:rFonts w:ascii="Calibri" w:hAnsi="Calibri" w:cs="Calibri"/>
          </w:rPr>
          <w:t>https://naturalresources.wales/permits-and-permissions/marine-licensing/?lang=en</w:t>
        </w:r>
      </w:hyperlink>
      <w:r w:rsidR="00133CA2" w:rsidRPr="005C3EC8">
        <w:rPr>
          <w:rFonts w:ascii="Calibri" w:hAnsi="Calibri"/>
        </w:rPr>
        <w:t xml:space="preserve"> </w:t>
      </w:r>
    </w:p>
    <w:p w14:paraId="200EFCCC" w14:textId="62D5A3DE" w:rsidR="00C64303" w:rsidRPr="005C3EC8" w:rsidRDefault="005A36AA" w:rsidP="005A36AA">
      <w:pPr>
        <w:pStyle w:val="Heading3"/>
      </w:pPr>
      <w:r w:rsidRPr="005C3EC8">
        <w:t>Scotland</w:t>
      </w:r>
    </w:p>
    <w:p w14:paraId="7216319C" w14:textId="3DB07DCF" w:rsidR="00C64303" w:rsidRPr="005C3EC8" w:rsidRDefault="00C64303" w:rsidP="00C64303">
      <w:pPr>
        <w:numPr>
          <w:ilvl w:val="0"/>
          <w:numId w:val="4"/>
        </w:numPr>
        <w:spacing w:before="120"/>
        <w:rPr>
          <w:rFonts w:ascii="Calibri" w:hAnsi="Calibri"/>
        </w:rPr>
      </w:pPr>
      <w:r w:rsidRPr="005C3EC8">
        <w:rPr>
          <w:rFonts w:ascii="Calibri" w:hAnsi="Calibri"/>
        </w:rPr>
        <w:t>Scottish Government, National Planning Framework for Scotland 3, accesse</w:t>
      </w:r>
      <w:r w:rsidR="00133CA2" w:rsidRPr="005C3EC8">
        <w:rPr>
          <w:rFonts w:ascii="Calibri" w:hAnsi="Calibri"/>
        </w:rPr>
        <w:t xml:space="preserve">d on </w:t>
      </w:r>
      <w:hyperlink r:id="rId185" w:history="1">
        <w:r w:rsidR="00133CA2" w:rsidRPr="005C3EC8">
          <w:rPr>
            <w:rStyle w:val="Hyperlink"/>
            <w:rFonts w:ascii="Calibri" w:hAnsi="Calibri" w:cs="Calibri"/>
          </w:rPr>
          <w:t>https://beta.gov.scot/publications/national-planning-framework-3/</w:t>
        </w:r>
      </w:hyperlink>
      <w:r w:rsidR="00133CA2" w:rsidRPr="005C3EC8">
        <w:rPr>
          <w:rFonts w:ascii="Calibri" w:hAnsi="Calibri"/>
        </w:rPr>
        <w:t xml:space="preserve"> </w:t>
      </w:r>
    </w:p>
    <w:p w14:paraId="7D541C61" w14:textId="5258D456" w:rsidR="00C64303" w:rsidRPr="005C3EC8" w:rsidRDefault="00C64303" w:rsidP="00C64303">
      <w:pPr>
        <w:numPr>
          <w:ilvl w:val="0"/>
          <w:numId w:val="4"/>
        </w:numPr>
        <w:spacing w:before="120"/>
        <w:rPr>
          <w:rFonts w:ascii="Calibri" w:hAnsi="Calibri"/>
        </w:rPr>
      </w:pPr>
      <w:r w:rsidRPr="005C3EC8">
        <w:rPr>
          <w:rFonts w:ascii="Calibri" w:hAnsi="Calibri"/>
        </w:rPr>
        <w:t xml:space="preserve">Scottish Government website, Planning and Architecture section, accessed </w:t>
      </w:r>
      <w:r w:rsidR="00133CA2" w:rsidRPr="005C3EC8">
        <w:rPr>
          <w:rFonts w:ascii="Calibri" w:hAnsi="Calibri"/>
        </w:rPr>
        <w:t xml:space="preserve">on </w:t>
      </w:r>
      <w:hyperlink r:id="rId186" w:history="1">
        <w:r w:rsidR="00133CA2" w:rsidRPr="005C3EC8">
          <w:rPr>
            <w:rStyle w:val="Hyperlink"/>
            <w:rFonts w:ascii="Calibri" w:hAnsi="Calibri" w:cs="Calibri"/>
          </w:rPr>
          <w:t>https://beta.gov.scot/policies/planning-architecture/</w:t>
        </w:r>
      </w:hyperlink>
      <w:r w:rsidR="00133CA2" w:rsidRPr="005C3EC8">
        <w:rPr>
          <w:rFonts w:ascii="Calibri" w:hAnsi="Calibri"/>
        </w:rPr>
        <w:t xml:space="preserve"> </w:t>
      </w:r>
    </w:p>
    <w:p w14:paraId="583BD7B7" w14:textId="719E32A6" w:rsidR="00C64303" w:rsidRPr="005C3EC8" w:rsidRDefault="00C64303" w:rsidP="00C64303">
      <w:pPr>
        <w:numPr>
          <w:ilvl w:val="0"/>
          <w:numId w:val="4"/>
        </w:numPr>
        <w:spacing w:before="120"/>
        <w:rPr>
          <w:rFonts w:ascii="Calibri" w:hAnsi="Calibri"/>
        </w:rPr>
      </w:pPr>
      <w:r w:rsidRPr="005C3EC8">
        <w:rPr>
          <w:rFonts w:ascii="Calibri" w:hAnsi="Calibri"/>
        </w:rPr>
        <w:t xml:space="preserve">Scottish Government, Marine Scotland Information, accessed </w:t>
      </w:r>
      <w:r w:rsidR="00133CA2" w:rsidRPr="005C3EC8">
        <w:rPr>
          <w:rFonts w:ascii="Calibri" w:hAnsi="Calibri"/>
        </w:rPr>
        <w:t xml:space="preserve">on </w:t>
      </w:r>
      <w:hyperlink r:id="rId187" w:history="1">
        <w:r w:rsidR="00133CA2" w:rsidRPr="005C3EC8">
          <w:rPr>
            <w:rStyle w:val="Hyperlink"/>
            <w:rFonts w:ascii="Calibri" w:hAnsi="Calibri" w:cs="Calibri"/>
          </w:rPr>
          <w:t>http://marine.gov.scot/</w:t>
        </w:r>
      </w:hyperlink>
      <w:r w:rsidRPr="005C3EC8">
        <w:rPr>
          <w:rFonts w:ascii="Calibri" w:hAnsi="Calibri"/>
        </w:rPr>
        <w:t xml:space="preserve"> </w:t>
      </w:r>
    </w:p>
    <w:p w14:paraId="038574AE" w14:textId="32BA6D73" w:rsidR="00F55AC9" w:rsidRPr="005C3EC8" w:rsidRDefault="00B30EB0" w:rsidP="00C64303">
      <w:pPr>
        <w:numPr>
          <w:ilvl w:val="0"/>
          <w:numId w:val="4"/>
        </w:numPr>
        <w:spacing w:before="120"/>
        <w:rPr>
          <w:rFonts w:ascii="Calibri" w:hAnsi="Calibri"/>
        </w:rPr>
      </w:pPr>
      <w:r w:rsidRPr="005C3EC8">
        <w:t>Scottish Government website, ‘Marine licensing in Scotland’, accesse</w:t>
      </w:r>
      <w:r w:rsidR="00133CA2" w:rsidRPr="005C3EC8">
        <w:t xml:space="preserve">d on </w:t>
      </w:r>
      <w:hyperlink r:id="rId188" w:history="1">
        <w:r w:rsidR="00133CA2" w:rsidRPr="005C3EC8">
          <w:rPr>
            <w:rStyle w:val="Hyperlink"/>
            <w:rFonts w:cs="Calibri"/>
          </w:rPr>
          <w:t>https://www.gov.scot/Topics/marine/Licensing/marine</w:t>
        </w:r>
      </w:hyperlink>
      <w:r w:rsidR="00133CA2" w:rsidRPr="005C3EC8">
        <w:t xml:space="preserve"> </w:t>
      </w:r>
    </w:p>
    <w:p w14:paraId="4180214C" w14:textId="33A61B0D" w:rsidR="00C64303" w:rsidRPr="005C3EC8" w:rsidRDefault="005A36AA" w:rsidP="005A36AA">
      <w:pPr>
        <w:pStyle w:val="Heading3"/>
      </w:pPr>
      <w:r w:rsidRPr="005C3EC8">
        <w:lastRenderedPageBreak/>
        <w:t>Northern Ireland</w:t>
      </w:r>
    </w:p>
    <w:p w14:paraId="43B257FC" w14:textId="0D64A14E" w:rsidR="005422C2" w:rsidRPr="005C3EC8" w:rsidRDefault="005422C2" w:rsidP="00C64303">
      <w:pPr>
        <w:numPr>
          <w:ilvl w:val="0"/>
          <w:numId w:val="4"/>
        </w:numPr>
        <w:spacing w:before="120"/>
        <w:rPr>
          <w:rFonts w:ascii="Calibri" w:hAnsi="Calibri"/>
        </w:rPr>
      </w:pPr>
      <w:r w:rsidRPr="005C3EC8">
        <w:rPr>
          <w:bCs/>
        </w:rPr>
        <w:t xml:space="preserve">Northern Ireland’s Public Income and Expenditure Account for the year ended 31 March 2017, accessed on </w:t>
      </w:r>
      <w:hyperlink r:id="rId189" w:history="1">
        <w:r w:rsidRPr="005C3EC8">
          <w:rPr>
            <w:rStyle w:val="Hyperlink"/>
            <w:rFonts w:cs="Calibri"/>
            <w:bCs/>
          </w:rPr>
          <w:t>https://www.finance-ni.gov.uk/sites/default/files/publications/dfp/final-pi-e-account-2016-17.pdf</w:t>
        </w:r>
      </w:hyperlink>
      <w:r w:rsidRPr="005C3EC8">
        <w:rPr>
          <w:bCs/>
        </w:rPr>
        <w:t xml:space="preserve"> </w:t>
      </w:r>
    </w:p>
    <w:p w14:paraId="688CD69F" w14:textId="7E126ED2" w:rsidR="00755063" w:rsidRPr="005C3EC8" w:rsidRDefault="00755063" w:rsidP="00C64303">
      <w:pPr>
        <w:numPr>
          <w:ilvl w:val="0"/>
          <w:numId w:val="4"/>
        </w:numPr>
        <w:spacing w:before="120"/>
        <w:rPr>
          <w:rFonts w:ascii="Calibri" w:hAnsi="Calibri"/>
        </w:rPr>
      </w:pPr>
      <w:r w:rsidRPr="005C3EC8">
        <w:rPr>
          <w:rFonts w:ascii="Calibri" w:hAnsi="Calibri"/>
        </w:rPr>
        <w:t xml:space="preserve">Northern Ireland Department for the Economy (June 2017), ‘Department for the Economy Annual Report 2016-17’, accessed on </w:t>
      </w:r>
      <w:hyperlink r:id="rId190" w:history="1">
        <w:r w:rsidRPr="005C3EC8">
          <w:rPr>
            <w:rStyle w:val="Hyperlink"/>
            <w:rFonts w:ascii="Calibri" w:hAnsi="Calibri" w:cs="Calibri"/>
          </w:rPr>
          <w:t>https://www.economy-ni.gov.uk/sites/default/files/publications/economy/dfe-Annual-Report-2017.pdf</w:t>
        </w:r>
      </w:hyperlink>
    </w:p>
    <w:p w14:paraId="2BE63038" w14:textId="77777777" w:rsidR="005422C2" w:rsidRPr="005C3EC8" w:rsidRDefault="005422C2" w:rsidP="00C64303">
      <w:pPr>
        <w:numPr>
          <w:ilvl w:val="0"/>
          <w:numId w:val="4"/>
        </w:numPr>
        <w:spacing w:before="120"/>
        <w:rPr>
          <w:rFonts w:ascii="Calibri" w:hAnsi="Calibri"/>
        </w:rPr>
      </w:pPr>
      <w:r w:rsidRPr="005C3EC8">
        <w:rPr>
          <w:rFonts w:ascii="Calibri" w:hAnsi="Calibri"/>
        </w:rPr>
        <w:t xml:space="preserve">Northern Ireland Department of the Environment, ‘Strategic Planning Policy Statement for Northern Ireland’, accessed on </w:t>
      </w:r>
      <w:hyperlink r:id="rId191" w:history="1">
        <w:r w:rsidRPr="005C3EC8">
          <w:rPr>
            <w:rStyle w:val="Hyperlink"/>
            <w:rFonts w:ascii="Calibri" w:hAnsi="Calibri" w:cs="Calibri"/>
          </w:rPr>
          <w:t>https://www.planningni.gov.uk/index/policy/spps.htm</w:t>
        </w:r>
      </w:hyperlink>
      <w:r w:rsidRPr="005C3EC8">
        <w:rPr>
          <w:rFonts w:ascii="Calibri" w:hAnsi="Calibri"/>
        </w:rPr>
        <w:t xml:space="preserve"> </w:t>
      </w:r>
    </w:p>
    <w:p w14:paraId="38D4ADBC" w14:textId="77777777" w:rsidR="005422C2" w:rsidRPr="005C3EC8" w:rsidRDefault="005422C2" w:rsidP="00C64303">
      <w:pPr>
        <w:numPr>
          <w:ilvl w:val="0"/>
          <w:numId w:val="4"/>
        </w:numPr>
        <w:spacing w:before="120"/>
        <w:rPr>
          <w:rFonts w:ascii="Calibri" w:hAnsi="Calibri"/>
        </w:rPr>
      </w:pPr>
      <w:r w:rsidRPr="005C3EC8">
        <w:rPr>
          <w:rFonts w:ascii="Calibri" w:hAnsi="Calibri"/>
        </w:rPr>
        <w:t xml:space="preserve">‘Planning Strategy for Rural Northern Ireland’, accessed on </w:t>
      </w:r>
      <w:hyperlink r:id="rId192" w:history="1">
        <w:r w:rsidRPr="005C3EC8">
          <w:rPr>
            <w:rStyle w:val="Hyperlink"/>
            <w:rFonts w:ascii="Calibri" w:hAnsi="Calibri" w:cs="Calibri"/>
          </w:rPr>
          <w:t>https://www.planningni.gov.uk/index/policy/rural_strategy.htm</w:t>
        </w:r>
      </w:hyperlink>
      <w:r w:rsidRPr="005C3EC8">
        <w:rPr>
          <w:rFonts w:ascii="Calibri" w:hAnsi="Calibri"/>
        </w:rPr>
        <w:t xml:space="preserve"> </w:t>
      </w:r>
    </w:p>
    <w:p w14:paraId="5219D385" w14:textId="77777777" w:rsidR="005422C2" w:rsidRPr="005C3EC8" w:rsidRDefault="005422C2" w:rsidP="00C64303">
      <w:pPr>
        <w:numPr>
          <w:ilvl w:val="0"/>
          <w:numId w:val="4"/>
        </w:numPr>
        <w:spacing w:before="120"/>
        <w:rPr>
          <w:rFonts w:ascii="Calibri" w:hAnsi="Calibri"/>
        </w:rPr>
      </w:pPr>
      <w:r w:rsidRPr="005C3EC8">
        <w:rPr>
          <w:rFonts w:ascii="Calibri" w:hAnsi="Calibri"/>
        </w:rPr>
        <w:t xml:space="preserve">Northern Ireland Department of Infrastructure, Planning section, accessed on </w:t>
      </w:r>
      <w:hyperlink r:id="rId193" w:history="1">
        <w:r w:rsidRPr="005C3EC8">
          <w:rPr>
            <w:rStyle w:val="Hyperlink"/>
            <w:rFonts w:ascii="Calibri" w:hAnsi="Calibri" w:cs="Calibri"/>
          </w:rPr>
          <w:t>https://www.infrastructure-ni.gov.uk/topics/planning</w:t>
        </w:r>
      </w:hyperlink>
      <w:r w:rsidRPr="005C3EC8">
        <w:rPr>
          <w:rFonts w:ascii="Calibri" w:hAnsi="Calibri"/>
        </w:rPr>
        <w:t xml:space="preserve"> </w:t>
      </w:r>
    </w:p>
    <w:p w14:paraId="43D4876F" w14:textId="77777777" w:rsidR="005422C2" w:rsidRPr="005C3EC8" w:rsidRDefault="005422C2" w:rsidP="00C64303">
      <w:pPr>
        <w:numPr>
          <w:ilvl w:val="0"/>
          <w:numId w:val="4"/>
        </w:numPr>
        <w:spacing w:before="120"/>
        <w:rPr>
          <w:rFonts w:ascii="Calibri" w:hAnsi="Calibri"/>
        </w:rPr>
      </w:pPr>
      <w:r w:rsidRPr="005C3EC8">
        <w:rPr>
          <w:rFonts w:ascii="Calibri" w:hAnsi="Calibri"/>
        </w:rPr>
        <w:t xml:space="preserve">Northern Ireland Department for the Economy website, Minerals and Petroleum section, accessed on </w:t>
      </w:r>
      <w:hyperlink r:id="rId194" w:history="1">
        <w:r w:rsidRPr="005C3EC8">
          <w:rPr>
            <w:rStyle w:val="Hyperlink"/>
            <w:rFonts w:ascii="Calibri" w:hAnsi="Calibri" w:cs="Calibri"/>
          </w:rPr>
          <w:t>https://www.economy-ni.gov.uk/topics/minerals-and-petroleum</w:t>
        </w:r>
      </w:hyperlink>
      <w:r w:rsidRPr="005C3EC8">
        <w:rPr>
          <w:rFonts w:ascii="Calibri" w:hAnsi="Calibri"/>
        </w:rPr>
        <w:t xml:space="preserve"> </w:t>
      </w:r>
    </w:p>
    <w:p w14:paraId="4B5C794D" w14:textId="77777777" w:rsidR="005422C2" w:rsidRPr="005C3EC8" w:rsidRDefault="005422C2" w:rsidP="00C64303">
      <w:pPr>
        <w:numPr>
          <w:ilvl w:val="0"/>
          <w:numId w:val="4"/>
        </w:numPr>
        <w:spacing w:before="120"/>
        <w:rPr>
          <w:rFonts w:ascii="Calibri" w:hAnsi="Calibri"/>
        </w:rPr>
      </w:pPr>
      <w:r w:rsidRPr="005C3EC8">
        <w:rPr>
          <w:rFonts w:ascii="Calibri" w:hAnsi="Calibri"/>
        </w:rPr>
        <w:t xml:space="preserve">Northern Ireland Department for the Economy website, Petroleum licensing section, accessed on </w:t>
      </w:r>
      <w:hyperlink r:id="rId195" w:history="1">
        <w:r w:rsidRPr="005C3EC8">
          <w:rPr>
            <w:rStyle w:val="Hyperlink"/>
            <w:rFonts w:ascii="Calibri" w:hAnsi="Calibri" w:cs="Calibri"/>
          </w:rPr>
          <w:t>https://www.economy-ni.gov.uk/articles/petroleum-licensing</w:t>
        </w:r>
      </w:hyperlink>
      <w:r w:rsidRPr="005C3EC8">
        <w:rPr>
          <w:rFonts w:ascii="Calibri" w:hAnsi="Calibri"/>
        </w:rPr>
        <w:t xml:space="preserve"> </w:t>
      </w:r>
    </w:p>
    <w:p w14:paraId="35A65FDB" w14:textId="77777777" w:rsidR="005422C2" w:rsidRPr="005C3EC8" w:rsidRDefault="005422C2" w:rsidP="00C64303">
      <w:pPr>
        <w:numPr>
          <w:ilvl w:val="0"/>
          <w:numId w:val="4"/>
        </w:numPr>
        <w:spacing w:before="120"/>
        <w:rPr>
          <w:rFonts w:ascii="Calibri" w:hAnsi="Calibri"/>
        </w:rPr>
      </w:pPr>
      <w:r w:rsidRPr="005C3EC8">
        <w:rPr>
          <w:rFonts w:ascii="Calibri" w:hAnsi="Calibri"/>
        </w:rPr>
        <w:t xml:space="preserve">Northern Ireland Department for the Economy website, ‘Appendix A – financial capacity’ accessed on </w:t>
      </w:r>
      <w:hyperlink r:id="rId196" w:history="1">
        <w:r w:rsidRPr="005C3EC8">
          <w:rPr>
            <w:rStyle w:val="Hyperlink"/>
            <w:rFonts w:ascii="Calibri" w:hAnsi="Calibri" w:cs="Calibri"/>
          </w:rPr>
          <w:t>https://www.economy-ni.gov.uk/publications/appendix-financial-capacity</w:t>
        </w:r>
      </w:hyperlink>
      <w:r w:rsidRPr="005C3EC8">
        <w:rPr>
          <w:rFonts w:ascii="Calibri" w:hAnsi="Calibri"/>
        </w:rPr>
        <w:t xml:space="preserve"> and ‘Appendix B – technical capacity’ accessed on </w:t>
      </w:r>
      <w:hyperlink r:id="rId197" w:history="1">
        <w:r w:rsidRPr="005C3EC8">
          <w:rPr>
            <w:rStyle w:val="Hyperlink"/>
            <w:rFonts w:ascii="Calibri" w:hAnsi="Calibri" w:cs="Calibri"/>
          </w:rPr>
          <w:t>https://www.economy-ni.gov.uk/publications/appendix-b-technical-capacity</w:t>
        </w:r>
      </w:hyperlink>
      <w:r w:rsidRPr="005C3EC8">
        <w:rPr>
          <w:rFonts w:ascii="Calibri" w:hAnsi="Calibri"/>
        </w:rPr>
        <w:t xml:space="preserve"> </w:t>
      </w:r>
    </w:p>
    <w:p w14:paraId="4AB82914" w14:textId="77777777" w:rsidR="005422C2" w:rsidRPr="005C3EC8" w:rsidRDefault="005422C2" w:rsidP="00C64303">
      <w:pPr>
        <w:numPr>
          <w:ilvl w:val="0"/>
          <w:numId w:val="4"/>
        </w:numPr>
        <w:spacing w:before="120"/>
        <w:rPr>
          <w:rFonts w:ascii="Calibri" w:hAnsi="Calibri"/>
        </w:rPr>
      </w:pPr>
      <w:r w:rsidRPr="005C3EC8">
        <w:rPr>
          <w:rFonts w:ascii="Calibri" w:hAnsi="Calibri"/>
        </w:rPr>
        <w:t xml:space="preserve">Northern Ireland Department for the Economy website, ‘Application for a mining licence’, accessed on </w:t>
      </w:r>
      <w:hyperlink r:id="rId198" w:history="1">
        <w:r w:rsidRPr="005C3EC8">
          <w:rPr>
            <w:rStyle w:val="Hyperlink"/>
            <w:rFonts w:ascii="Calibri" w:hAnsi="Calibri" w:cs="Calibri"/>
          </w:rPr>
          <w:t>https://www.economy-ni.gov.uk/publications/application-mining-licence</w:t>
        </w:r>
      </w:hyperlink>
      <w:r w:rsidRPr="005C3EC8">
        <w:rPr>
          <w:rFonts w:ascii="Calibri" w:hAnsi="Calibri"/>
        </w:rPr>
        <w:t xml:space="preserve"> </w:t>
      </w:r>
    </w:p>
    <w:p w14:paraId="160CB9E9" w14:textId="77777777" w:rsidR="005422C2" w:rsidRPr="005C3EC8" w:rsidRDefault="005422C2" w:rsidP="00C64303">
      <w:pPr>
        <w:numPr>
          <w:ilvl w:val="0"/>
          <w:numId w:val="4"/>
        </w:numPr>
        <w:spacing w:before="120"/>
        <w:rPr>
          <w:rFonts w:ascii="Calibri" w:hAnsi="Calibri"/>
        </w:rPr>
      </w:pPr>
      <w:r w:rsidRPr="005C3EC8">
        <w:rPr>
          <w:rFonts w:ascii="Calibri" w:hAnsi="Calibri"/>
        </w:rPr>
        <w:t xml:space="preserve">Northern Ireland Department for the Economy, ‘Minerals and petroleum legislation and policy’, accessed on </w:t>
      </w:r>
      <w:hyperlink r:id="rId199" w:history="1">
        <w:r w:rsidRPr="005C3EC8">
          <w:rPr>
            <w:rStyle w:val="Hyperlink"/>
            <w:rFonts w:ascii="Calibri" w:hAnsi="Calibri" w:cs="Calibri"/>
          </w:rPr>
          <w:t>https://www.economy-ni.gov.uk/publications/minerals-and-petroleum-legislation-and-policy</w:t>
        </w:r>
      </w:hyperlink>
      <w:r w:rsidRPr="005C3EC8">
        <w:rPr>
          <w:rFonts w:ascii="Calibri" w:hAnsi="Calibri"/>
        </w:rPr>
        <w:t xml:space="preserve"> </w:t>
      </w:r>
    </w:p>
    <w:p w14:paraId="0144EABA" w14:textId="77777777" w:rsidR="005422C2" w:rsidRPr="005C3EC8" w:rsidRDefault="005422C2" w:rsidP="00C64303">
      <w:pPr>
        <w:numPr>
          <w:ilvl w:val="0"/>
          <w:numId w:val="4"/>
        </w:numPr>
        <w:spacing w:before="120"/>
        <w:rPr>
          <w:rFonts w:ascii="Calibri" w:hAnsi="Calibri"/>
        </w:rPr>
      </w:pPr>
      <w:r w:rsidRPr="005C3EC8">
        <w:rPr>
          <w:rFonts w:ascii="Calibri" w:hAnsi="Calibri"/>
        </w:rPr>
        <w:t xml:space="preserve">Northern Ireland Department for the Economy, ‘Mineral Licences-Guidance for Applicants’, accessed on </w:t>
      </w:r>
      <w:hyperlink r:id="rId200" w:history="1">
        <w:r w:rsidRPr="005C3EC8">
          <w:rPr>
            <w:rStyle w:val="Hyperlink"/>
            <w:rFonts w:ascii="Calibri" w:hAnsi="Calibri" w:cs="Calibri"/>
          </w:rPr>
          <w:t>https://www.economy-ni.gov.uk/sites/default/files/publications/deti/mineral-prospecting-licences-Guidance%20for%20Applicants-dec-17.pdf</w:t>
        </w:r>
      </w:hyperlink>
      <w:r w:rsidRPr="005C3EC8">
        <w:rPr>
          <w:rFonts w:ascii="Calibri" w:hAnsi="Calibri"/>
        </w:rPr>
        <w:t xml:space="preserve"> </w:t>
      </w:r>
    </w:p>
    <w:p w14:paraId="4BED9532" w14:textId="77777777" w:rsidR="005422C2" w:rsidRPr="005C3EC8" w:rsidRDefault="005422C2" w:rsidP="00C64303">
      <w:pPr>
        <w:numPr>
          <w:ilvl w:val="0"/>
          <w:numId w:val="4"/>
        </w:numPr>
        <w:spacing w:before="120"/>
        <w:rPr>
          <w:rFonts w:ascii="Calibri" w:hAnsi="Calibri"/>
        </w:rPr>
      </w:pPr>
      <w:r w:rsidRPr="005C3EC8">
        <w:rPr>
          <w:rFonts w:ascii="Calibri" w:hAnsi="Calibri"/>
        </w:rPr>
        <w:t xml:space="preserve">Northern Ireland Department for the Economy website, ‘Minerals and petroleum legislation and </w:t>
      </w:r>
      <w:r w:rsidRPr="005C3EC8">
        <w:rPr>
          <w:rFonts w:ascii="Calibri" w:hAnsi="Calibri"/>
        </w:rPr>
        <w:lastRenderedPageBreak/>
        <w:t xml:space="preserve">policy’, accessed on </w:t>
      </w:r>
      <w:hyperlink r:id="rId201" w:history="1">
        <w:r w:rsidRPr="005C3EC8">
          <w:rPr>
            <w:rStyle w:val="Hyperlink"/>
            <w:rFonts w:ascii="Calibri" w:hAnsi="Calibri" w:cs="Calibri"/>
          </w:rPr>
          <w:t>https://www.economy-ni.gov.uk/publications/minerals-and-petroleum-legislation-and-policy</w:t>
        </w:r>
      </w:hyperlink>
      <w:r w:rsidRPr="005C3EC8">
        <w:rPr>
          <w:rFonts w:ascii="Calibri" w:hAnsi="Calibri"/>
        </w:rPr>
        <w:t xml:space="preserve"> </w:t>
      </w:r>
    </w:p>
    <w:p w14:paraId="74817EC5" w14:textId="77777777" w:rsidR="005422C2" w:rsidRPr="005C3EC8" w:rsidRDefault="005422C2" w:rsidP="00C64303">
      <w:pPr>
        <w:numPr>
          <w:ilvl w:val="0"/>
          <w:numId w:val="4"/>
        </w:numPr>
        <w:spacing w:before="120"/>
        <w:rPr>
          <w:rFonts w:ascii="Calibri" w:hAnsi="Calibri"/>
        </w:rPr>
      </w:pPr>
      <w:r w:rsidRPr="005C3EC8">
        <w:rPr>
          <w:rFonts w:ascii="Calibri" w:hAnsi="Calibri"/>
        </w:rPr>
        <w:t xml:space="preserve">Northern Ireland Department for the Economy, ‘Mineral prospecting licences – model clauses’, accessed on </w:t>
      </w:r>
      <w:hyperlink r:id="rId202" w:history="1">
        <w:r w:rsidRPr="005C3EC8">
          <w:rPr>
            <w:rStyle w:val="Hyperlink"/>
            <w:rFonts w:ascii="Calibri" w:hAnsi="Calibri" w:cs="Calibri"/>
          </w:rPr>
          <w:t>https://www.economy-ni.gov.uk/sites/default/files/publications/deti/model-clauses.pdf</w:t>
        </w:r>
      </w:hyperlink>
      <w:r w:rsidRPr="005C3EC8">
        <w:rPr>
          <w:rFonts w:ascii="Calibri" w:hAnsi="Calibri"/>
        </w:rPr>
        <w:t xml:space="preserve"> </w:t>
      </w:r>
    </w:p>
    <w:p w14:paraId="26E94E8B" w14:textId="77777777" w:rsidR="005422C2" w:rsidRPr="005C3EC8" w:rsidRDefault="005422C2" w:rsidP="00C64303">
      <w:pPr>
        <w:numPr>
          <w:ilvl w:val="0"/>
          <w:numId w:val="4"/>
        </w:numPr>
        <w:spacing w:before="120"/>
        <w:rPr>
          <w:rFonts w:ascii="Calibri" w:hAnsi="Calibri"/>
        </w:rPr>
      </w:pPr>
      <w:r w:rsidRPr="005C3EC8">
        <w:rPr>
          <w:rFonts w:ascii="Calibri" w:hAnsi="Calibri"/>
        </w:rPr>
        <w:t xml:space="preserve">Northern Ireland Department for the Economy website, Petroleum license documents, accessed on </w:t>
      </w:r>
      <w:hyperlink r:id="rId203" w:history="1">
        <w:r w:rsidRPr="005C3EC8">
          <w:rPr>
            <w:rStyle w:val="Hyperlink"/>
            <w:rFonts w:ascii="Calibri" w:hAnsi="Calibri" w:cs="Calibri"/>
          </w:rPr>
          <w:t>https://www.economy-ni.gov.uk/publications/petroleum-licence-documents</w:t>
        </w:r>
      </w:hyperlink>
      <w:r w:rsidRPr="005C3EC8">
        <w:rPr>
          <w:rFonts w:ascii="Calibri" w:hAnsi="Calibri"/>
        </w:rPr>
        <w:t xml:space="preserve"> </w:t>
      </w:r>
    </w:p>
    <w:p w14:paraId="5F76F174" w14:textId="77777777" w:rsidR="005422C2" w:rsidRPr="005C3EC8" w:rsidRDefault="005422C2" w:rsidP="00C64303">
      <w:pPr>
        <w:numPr>
          <w:ilvl w:val="0"/>
          <w:numId w:val="4"/>
        </w:numPr>
        <w:spacing w:before="120"/>
        <w:rPr>
          <w:rFonts w:ascii="Calibri" w:hAnsi="Calibri"/>
        </w:rPr>
      </w:pPr>
      <w:r w:rsidRPr="005C3EC8">
        <w:rPr>
          <w:rFonts w:ascii="Calibri" w:hAnsi="Calibri"/>
        </w:rPr>
        <w:t xml:space="preserve">Northern Ireland Department for the Economy, ‘Minerals licensing’ webpage, accessed on </w:t>
      </w:r>
      <w:hyperlink r:id="rId204" w:history="1">
        <w:r w:rsidRPr="005C3EC8">
          <w:rPr>
            <w:rStyle w:val="Hyperlink"/>
            <w:rFonts w:ascii="Calibri" w:hAnsi="Calibri" w:cs="Calibri"/>
          </w:rPr>
          <w:t>https://www.economy-ni.gov.uk/articles/minerals-licensing</w:t>
        </w:r>
      </w:hyperlink>
      <w:r w:rsidRPr="005C3EC8">
        <w:rPr>
          <w:rFonts w:ascii="Calibri" w:hAnsi="Calibri"/>
        </w:rPr>
        <w:t xml:space="preserve"> </w:t>
      </w:r>
    </w:p>
    <w:p w14:paraId="7119C980" w14:textId="77777777" w:rsidR="005422C2" w:rsidRPr="005C3EC8" w:rsidRDefault="005422C2" w:rsidP="00BF3628">
      <w:pPr>
        <w:numPr>
          <w:ilvl w:val="0"/>
          <w:numId w:val="4"/>
        </w:numPr>
        <w:spacing w:before="120"/>
        <w:rPr>
          <w:rFonts w:ascii="Calibri" w:hAnsi="Calibri"/>
        </w:rPr>
      </w:pPr>
      <w:r w:rsidRPr="005C3EC8">
        <w:rPr>
          <w:rFonts w:ascii="Calibri" w:hAnsi="Calibri"/>
        </w:rPr>
        <w:t xml:space="preserve">Northern Ireland’s Department of Agriculture, Environment and Rural Affairs (DAERA), ‘Marine licensing’, accessed on </w:t>
      </w:r>
      <w:hyperlink r:id="rId205" w:history="1">
        <w:r w:rsidRPr="005C3EC8">
          <w:rPr>
            <w:rStyle w:val="Hyperlink"/>
            <w:rFonts w:ascii="Calibri" w:hAnsi="Calibri" w:cs="Calibri"/>
          </w:rPr>
          <w:t>https://www.daera-ni.gov.uk/articles/marine-licensing</w:t>
        </w:r>
      </w:hyperlink>
      <w:r w:rsidRPr="005C3EC8">
        <w:rPr>
          <w:rFonts w:ascii="Calibri" w:hAnsi="Calibri"/>
        </w:rPr>
        <w:t xml:space="preserve"> </w:t>
      </w:r>
    </w:p>
    <w:p w14:paraId="055435F4" w14:textId="77777777" w:rsidR="005422C2" w:rsidRPr="005C3EC8" w:rsidRDefault="005422C2" w:rsidP="00BF3628">
      <w:pPr>
        <w:numPr>
          <w:ilvl w:val="0"/>
          <w:numId w:val="4"/>
        </w:numPr>
        <w:spacing w:before="120"/>
        <w:rPr>
          <w:rFonts w:ascii="Calibri" w:hAnsi="Calibri"/>
        </w:rPr>
      </w:pPr>
      <w:r w:rsidRPr="005C3EC8">
        <w:rPr>
          <w:rFonts w:ascii="Calibri" w:hAnsi="Calibri"/>
        </w:rPr>
        <w:t xml:space="preserve">Northern Ireland DfE website, ‘Minerals and petroleum annual reports’, accessed on </w:t>
      </w:r>
      <w:hyperlink r:id="rId206" w:history="1">
        <w:r w:rsidRPr="005C3EC8">
          <w:rPr>
            <w:rStyle w:val="Hyperlink"/>
            <w:rFonts w:ascii="Calibri" w:hAnsi="Calibri" w:cs="Calibri"/>
          </w:rPr>
          <w:t>https://www.economy-ni.gov.uk/articles/minerals-and-petroleum-annual-reports</w:t>
        </w:r>
      </w:hyperlink>
      <w:r w:rsidRPr="005C3EC8">
        <w:rPr>
          <w:rFonts w:ascii="Calibri" w:hAnsi="Calibri"/>
        </w:rPr>
        <w:t xml:space="preserve"> </w:t>
      </w:r>
    </w:p>
    <w:p w14:paraId="0AA68E43" w14:textId="77777777" w:rsidR="005422C2" w:rsidRPr="005C3EC8" w:rsidRDefault="005422C2" w:rsidP="00CE3CEA">
      <w:pPr>
        <w:numPr>
          <w:ilvl w:val="0"/>
          <w:numId w:val="4"/>
        </w:numPr>
        <w:spacing w:before="120"/>
        <w:rPr>
          <w:rFonts w:ascii="Calibri" w:hAnsi="Calibri"/>
        </w:rPr>
      </w:pPr>
      <w:r w:rsidRPr="005C3EC8">
        <w:t xml:space="preserve">Northern Ireland’s Department of Agriculture, Environment and Rural Affairs website, ‘Marine licensing and permits’, accessed on </w:t>
      </w:r>
      <w:hyperlink r:id="rId207" w:history="1">
        <w:r w:rsidRPr="005C3EC8">
          <w:rPr>
            <w:rStyle w:val="Hyperlink"/>
            <w:rFonts w:cs="Calibri"/>
          </w:rPr>
          <w:t>https://www.daera-ni.gov.uk/topics/marine/marine-licensing-and-permits</w:t>
        </w:r>
      </w:hyperlink>
      <w:r w:rsidRPr="005C3EC8">
        <w:t xml:space="preserve"> </w:t>
      </w:r>
    </w:p>
    <w:p w14:paraId="17CAAE18" w14:textId="107C58BA" w:rsidR="005422C2" w:rsidRPr="005C3EC8" w:rsidRDefault="005422C2" w:rsidP="00755063">
      <w:pPr>
        <w:numPr>
          <w:ilvl w:val="0"/>
          <w:numId w:val="4"/>
        </w:numPr>
        <w:spacing w:before="120"/>
        <w:rPr>
          <w:rFonts w:ascii="Calibri" w:hAnsi="Calibri"/>
        </w:rPr>
      </w:pPr>
      <w:r w:rsidRPr="005C3EC8">
        <w:rPr>
          <w:rFonts w:ascii="Calibri" w:hAnsi="Calibri"/>
        </w:rPr>
        <w:t xml:space="preserve">Northern Ireland Department for the Economy (June 2010), ‘Guidance for Applicants: Petroleum Licensing in Northern Ireland’, accessed on </w:t>
      </w:r>
      <w:hyperlink r:id="rId208" w:history="1">
        <w:r w:rsidRPr="005C3EC8">
          <w:rPr>
            <w:rStyle w:val="Hyperlink"/>
            <w:rFonts w:ascii="Calibri" w:hAnsi="Calibri" w:cs="Calibri"/>
          </w:rPr>
          <w:t>https://www.economy-ni.gov.uk/sites/default/files/publications/deti/petroleum-licensing-in-ni--guidance-for-applicants.pdf</w:t>
        </w:r>
      </w:hyperlink>
      <w:r w:rsidRPr="005C3EC8">
        <w:rPr>
          <w:rFonts w:ascii="Calibri" w:hAnsi="Calibri"/>
        </w:rPr>
        <w:t xml:space="preserve"> </w:t>
      </w:r>
    </w:p>
    <w:p w14:paraId="55857DEC" w14:textId="77777777" w:rsidR="005422C2" w:rsidRPr="005C3EC8" w:rsidRDefault="005422C2" w:rsidP="00C64303">
      <w:pPr>
        <w:numPr>
          <w:ilvl w:val="0"/>
          <w:numId w:val="4"/>
        </w:numPr>
        <w:spacing w:before="120"/>
        <w:rPr>
          <w:rFonts w:ascii="Calibri" w:hAnsi="Calibri"/>
        </w:rPr>
      </w:pPr>
      <w:r w:rsidRPr="005C3EC8">
        <w:rPr>
          <w:rFonts w:ascii="Calibri" w:hAnsi="Calibri"/>
        </w:rPr>
        <w:t xml:space="preserve">Northern Ireland Department for the Economy (April 2018), ‘Minerals License Map’, accessed on </w:t>
      </w:r>
      <w:hyperlink r:id="rId209" w:history="1">
        <w:r w:rsidRPr="005C3EC8">
          <w:rPr>
            <w:rStyle w:val="Hyperlink"/>
            <w:rFonts w:ascii="Calibri" w:hAnsi="Calibri" w:cs="Calibri"/>
          </w:rPr>
          <w:t>https://www.economy-ni.gov.uk/sites/default/files/publications/economy/minerals-licence-map.pdf</w:t>
        </w:r>
      </w:hyperlink>
      <w:r w:rsidRPr="005C3EC8">
        <w:rPr>
          <w:rFonts w:ascii="Calibri" w:hAnsi="Calibri"/>
        </w:rPr>
        <w:t xml:space="preserve"> </w:t>
      </w:r>
    </w:p>
    <w:p w14:paraId="7D3CB134" w14:textId="77777777" w:rsidR="005422C2" w:rsidRPr="005C3EC8" w:rsidRDefault="005422C2" w:rsidP="00C64303">
      <w:pPr>
        <w:numPr>
          <w:ilvl w:val="0"/>
          <w:numId w:val="4"/>
        </w:numPr>
        <w:spacing w:before="120"/>
        <w:rPr>
          <w:rFonts w:ascii="Calibri" w:hAnsi="Calibri"/>
        </w:rPr>
      </w:pPr>
      <w:r w:rsidRPr="005C3EC8">
        <w:rPr>
          <w:rFonts w:ascii="Calibri" w:hAnsi="Calibri"/>
        </w:rPr>
        <w:t xml:space="preserve">PL1/10 License document, accessed on </w:t>
      </w:r>
      <w:hyperlink r:id="rId210" w:history="1">
        <w:r w:rsidRPr="005C3EC8">
          <w:rPr>
            <w:rStyle w:val="Hyperlink"/>
            <w:rFonts w:ascii="Calibri" w:hAnsi="Calibri" w:cs="Calibri"/>
          </w:rPr>
          <w:t>https://www.economy-ni.gov.uk/sites/default/files/publications/deti/infrastrata-ecorp-pl1-10-original-licence-document.pdf</w:t>
        </w:r>
      </w:hyperlink>
      <w:r w:rsidRPr="005C3EC8">
        <w:rPr>
          <w:rFonts w:ascii="Calibri" w:hAnsi="Calibri"/>
        </w:rPr>
        <w:t xml:space="preserve"> </w:t>
      </w:r>
    </w:p>
    <w:p w14:paraId="55C65B97" w14:textId="3322801C" w:rsidR="00112D9C" w:rsidRPr="005C3EC8" w:rsidRDefault="009324FF" w:rsidP="00133CA2">
      <w:pPr>
        <w:pStyle w:val="Heading2notindexed"/>
      </w:pPr>
      <w:r w:rsidRPr="005C3EC8">
        <w:t xml:space="preserve">Secondary </w:t>
      </w:r>
      <w:r w:rsidR="00DD4178" w:rsidRPr="005C3EC8">
        <w:t>literature</w:t>
      </w:r>
      <w:r w:rsidR="006D6F48" w:rsidRPr="005C3EC8">
        <w:t xml:space="preserve">: </w:t>
      </w:r>
    </w:p>
    <w:p w14:paraId="070545D2" w14:textId="6ED23724" w:rsidR="00930868" w:rsidRPr="005C3EC8" w:rsidRDefault="00930868" w:rsidP="00930868">
      <w:pPr>
        <w:numPr>
          <w:ilvl w:val="0"/>
          <w:numId w:val="4"/>
        </w:numPr>
        <w:spacing w:before="120"/>
        <w:rPr>
          <w:rFonts w:ascii="Calibri" w:hAnsi="Calibri"/>
        </w:rPr>
      </w:pPr>
      <w:r w:rsidRPr="005C3EC8">
        <w:rPr>
          <w:rFonts w:ascii="Calibri" w:hAnsi="Calibri"/>
        </w:rPr>
        <w:t xml:space="preserve">Open Ownership and Global Witness (October 2017), ‘Learning the lessons from the UK’s public beneficial ownership register’, accessed </w:t>
      </w:r>
      <w:r w:rsidR="00B44B35" w:rsidRPr="005C3EC8">
        <w:rPr>
          <w:rFonts w:ascii="Calibri" w:hAnsi="Calibri"/>
        </w:rPr>
        <w:t xml:space="preserve">on </w:t>
      </w:r>
      <w:hyperlink r:id="rId211" w:history="1">
        <w:r w:rsidR="00B44B35" w:rsidRPr="005C3EC8">
          <w:rPr>
            <w:rStyle w:val="Hyperlink"/>
            <w:rFonts w:ascii="Calibri" w:hAnsi="Calibri" w:cs="Calibri"/>
          </w:rPr>
          <w:t>https://openownership.org/uploads/Learning%20the%20lessons%20briefing.pdf</w:t>
        </w:r>
      </w:hyperlink>
      <w:r w:rsidRPr="005C3EC8">
        <w:rPr>
          <w:rFonts w:ascii="Calibri" w:hAnsi="Calibri"/>
        </w:rPr>
        <w:t xml:space="preserve"> </w:t>
      </w:r>
    </w:p>
    <w:p w14:paraId="0B5D1D31" w14:textId="49848865" w:rsidR="00930868" w:rsidRPr="005C3EC8" w:rsidRDefault="00930868" w:rsidP="00930868">
      <w:pPr>
        <w:numPr>
          <w:ilvl w:val="0"/>
          <w:numId w:val="4"/>
        </w:numPr>
        <w:spacing w:before="120"/>
        <w:rPr>
          <w:rFonts w:ascii="Calibri" w:hAnsi="Calibri"/>
        </w:rPr>
      </w:pPr>
      <w:r w:rsidRPr="005C3EC8">
        <w:rPr>
          <w:rFonts w:ascii="Calibri" w:hAnsi="Calibri"/>
        </w:rPr>
        <w:lastRenderedPageBreak/>
        <w:t xml:space="preserve">Global Witness (November 2016), ‘What does the UK beneficial ownership data show us?’, accessed </w:t>
      </w:r>
      <w:r w:rsidR="00B44B35" w:rsidRPr="005C3EC8">
        <w:rPr>
          <w:rFonts w:ascii="Calibri" w:hAnsi="Calibri"/>
        </w:rPr>
        <w:t xml:space="preserve">on </w:t>
      </w:r>
      <w:hyperlink r:id="rId212" w:history="1">
        <w:r w:rsidR="00B44B35" w:rsidRPr="005C3EC8">
          <w:rPr>
            <w:rStyle w:val="Hyperlink"/>
            <w:rFonts w:ascii="Calibri" w:hAnsi="Calibri" w:cs="Calibri"/>
          </w:rPr>
          <w:t>https://www.globalwitness.org/en/blog/what-does-uk-beneficial-ownership-data-show-us/</w:t>
        </w:r>
      </w:hyperlink>
      <w:r w:rsidR="00B44B35" w:rsidRPr="005C3EC8">
        <w:rPr>
          <w:rFonts w:ascii="Calibri" w:hAnsi="Calibri"/>
        </w:rPr>
        <w:t xml:space="preserve"> </w:t>
      </w:r>
    </w:p>
    <w:p w14:paraId="14667452" w14:textId="5C610C7F" w:rsidR="00F55AC9" w:rsidRPr="005C3EC8" w:rsidRDefault="00F55AC9" w:rsidP="00930868">
      <w:pPr>
        <w:numPr>
          <w:ilvl w:val="0"/>
          <w:numId w:val="4"/>
        </w:numPr>
        <w:spacing w:before="120"/>
        <w:rPr>
          <w:rFonts w:ascii="Calibri" w:hAnsi="Calibri"/>
        </w:rPr>
      </w:pPr>
      <w:r w:rsidRPr="005C3EC8">
        <w:t xml:space="preserve">Publish What You Pay (PWYP) UK (September 2018), ‘New PWYP UK study explores UK EITI and mandatory payments data variances’, accessed </w:t>
      </w:r>
      <w:r w:rsidR="00B44B35" w:rsidRPr="005C3EC8">
        <w:t xml:space="preserve">on </w:t>
      </w:r>
      <w:hyperlink r:id="rId213" w:history="1">
        <w:r w:rsidR="00B44B35" w:rsidRPr="005C3EC8">
          <w:rPr>
            <w:rStyle w:val="Hyperlink"/>
            <w:rFonts w:cs="Calibri"/>
          </w:rPr>
          <w:t>http://www.publishwhatyoupay.org/pwyp-news/new-pwyp-uk-study-explores-uk-eiti-mandatory-payments-data-variances/</w:t>
        </w:r>
      </w:hyperlink>
      <w:r w:rsidR="00B44B35" w:rsidRPr="005C3EC8">
        <w:t xml:space="preserve"> </w:t>
      </w:r>
    </w:p>
    <w:p w14:paraId="05F80EE9" w14:textId="3C2466BE" w:rsidR="00F55AC9" w:rsidRPr="005C3EC8" w:rsidRDefault="00F55AC9" w:rsidP="00930868">
      <w:pPr>
        <w:numPr>
          <w:ilvl w:val="0"/>
          <w:numId w:val="4"/>
        </w:numPr>
        <w:spacing w:before="120"/>
        <w:rPr>
          <w:rFonts w:ascii="Calibri" w:hAnsi="Calibri"/>
        </w:rPr>
      </w:pPr>
      <w:r w:rsidRPr="005C3EC8">
        <w:t xml:space="preserve">Publish What You Pay (PWYP) UK (September 2018), ‘Comparing UK EITI and Mandatory Payments to Governments Data for 2016’, accessed </w:t>
      </w:r>
      <w:r w:rsidR="00B44B35" w:rsidRPr="005C3EC8">
        <w:t xml:space="preserve">on </w:t>
      </w:r>
      <w:hyperlink r:id="rId214" w:history="1">
        <w:r w:rsidR="00B44B35" w:rsidRPr="005C3EC8">
          <w:rPr>
            <w:rStyle w:val="Hyperlink"/>
            <w:rFonts w:cs="Calibri"/>
          </w:rPr>
          <w:t>http://www.publishwhatyoupay.org/wp-content/uploads/2018/09/Comparing-UK-EITI-mandatory-data-assessment-report-PWYP-UK-Sept18.pdf</w:t>
        </w:r>
      </w:hyperlink>
      <w:r w:rsidR="00B44B35" w:rsidRPr="005C3EC8">
        <w:t xml:space="preserve"> </w:t>
      </w:r>
    </w:p>
    <w:p w14:paraId="7A8BFDC0" w14:textId="77777777" w:rsidR="00930868" w:rsidRPr="005C3EC8" w:rsidRDefault="00930868" w:rsidP="00460ED2">
      <w:pPr>
        <w:spacing w:before="120"/>
        <w:rPr>
          <w:rFonts w:ascii="Calibri" w:hAnsi="Calibri"/>
        </w:rPr>
      </w:pPr>
    </w:p>
    <w:p w14:paraId="0D810FE2" w14:textId="723DE4F6" w:rsidR="002A170A" w:rsidRPr="005C3EC8" w:rsidRDefault="002A170A" w:rsidP="005F383B">
      <w:pPr>
        <w:widowControl/>
        <w:suppressAutoHyphens w:val="0"/>
        <w:spacing w:after="0" w:line="240" w:lineRule="auto"/>
        <w:rPr>
          <w:rFonts w:ascii="Calibri" w:hAnsi="Calibri"/>
          <w:b/>
          <w:bCs/>
          <w:color w:val="365F91"/>
        </w:rPr>
      </w:pPr>
    </w:p>
    <w:sectPr w:rsidR="002A170A" w:rsidRPr="005C3EC8" w:rsidSect="007364B0">
      <w:pgSz w:w="11905" w:h="16837"/>
      <w:pgMar w:top="1175" w:right="1276" w:bottom="1418" w:left="1134" w:header="567"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450D0" w14:textId="77777777" w:rsidR="001A1618" w:rsidRDefault="001A1618">
      <w:pPr>
        <w:spacing w:after="0" w:line="240" w:lineRule="auto"/>
      </w:pPr>
      <w:r>
        <w:separator/>
      </w:r>
    </w:p>
    <w:p w14:paraId="165D1807" w14:textId="77777777" w:rsidR="001A1618" w:rsidRDefault="001A1618"/>
    <w:p w14:paraId="0C6F7D91" w14:textId="77777777" w:rsidR="001A1618" w:rsidRDefault="001A1618"/>
  </w:endnote>
  <w:endnote w:type="continuationSeparator" w:id="0">
    <w:p w14:paraId="6A0B15B5" w14:textId="77777777" w:rsidR="001A1618" w:rsidRDefault="001A1618">
      <w:pPr>
        <w:spacing w:after="0" w:line="240" w:lineRule="auto"/>
      </w:pPr>
      <w:r>
        <w:continuationSeparator/>
      </w:r>
    </w:p>
    <w:p w14:paraId="464CAAB4" w14:textId="77777777" w:rsidR="001A1618" w:rsidRDefault="001A1618"/>
    <w:p w14:paraId="063D8F17" w14:textId="77777777" w:rsidR="001A1618" w:rsidRDefault="001A1618"/>
  </w:endnote>
  <w:endnote w:type="continuationNotice" w:id="1">
    <w:p w14:paraId="5ED25C2A" w14:textId="77777777" w:rsidR="001A1618" w:rsidRDefault="001A1618">
      <w:pPr>
        <w:spacing w:after="0" w:line="240" w:lineRule="auto"/>
      </w:pPr>
    </w:p>
    <w:p w14:paraId="47268D21" w14:textId="77777777" w:rsidR="001A1618" w:rsidRDefault="001A1618"/>
    <w:p w14:paraId="2D00FB9D" w14:textId="77777777" w:rsidR="001A1618" w:rsidRDefault="001A16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SemiCond">
    <w:altName w:val="Calibri"/>
    <w:panose1 w:val="00000000000000000000"/>
    <w:charset w:val="00"/>
    <w:family w:val="swiss"/>
    <w:notTrueType/>
    <w:pitch w:val="variable"/>
    <w:sig w:usb0="A00002AF" w:usb1="5000204B" w:usb2="00000000" w:usb3="00000000" w:csb0="0000009F" w:csb1="00000000"/>
  </w:font>
  <w:font w:name="Myriad Pro Light SemiCond">
    <w:altName w:val="Malgun Gothic"/>
    <w:panose1 w:val="00000000000000000000"/>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yriad Pro">
    <w:altName w:val="Calibri"/>
    <w:panose1 w:val="00000000000000000000"/>
    <w:charset w:val="00"/>
    <w:family w:val="swiss"/>
    <w:notTrueType/>
    <w:pitch w:val="variable"/>
    <w:sig w:usb0="A00002AF" w:usb1="5000204B" w:usb2="00000000" w:usb3="00000000" w:csb0="0000019F" w:csb1="00000000"/>
  </w:font>
  <w:font w:name="System">
    <w:panose1 w:val="00000000000000000000"/>
    <w:charset w:val="4D"/>
    <w:family w:val="swiss"/>
    <w:notTrueType/>
    <w:pitch w:val="variable"/>
    <w:sig w:usb0="00000003" w:usb1="00000000" w:usb2="00000000" w:usb3="00000000" w:csb0="00000001" w:csb1="00000000"/>
  </w:font>
  <w:font w:name="Heiti SC">
    <w:altName w:val="Yu Gothic"/>
    <w:charset w:val="86"/>
    <w:family w:val="swiss"/>
    <w:pitch w:val="variable"/>
    <w:sig w:usb0="8000002F" w:usb1="080E004A" w:usb2="00000010" w:usb3="00000000" w:csb0="003E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EED85" w14:textId="77777777" w:rsidR="001A1618" w:rsidRDefault="001A1618" w:rsidP="005E69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BEED86" w14:textId="77777777" w:rsidR="001A1618" w:rsidRDefault="001A1618" w:rsidP="00F149CB">
    <w:pPr>
      <w:pStyle w:val="Footer"/>
      <w:ind w:right="360"/>
    </w:pPr>
  </w:p>
  <w:p w14:paraId="07E8C7CB" w14:textId="77777777" w:rsidR="001A1618" w:rsidRDefault="001A1618"/>
  <w:p w14:paraId="16681215" w14:textId="77777777" w:rsidR="001A1618" w:rsidRDefault="001A161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EED87" w14:textId="12D587B0" w:rsidR="001A1618" w:rsidRPr="00F149CB" w:rsidRDefault="001A1618" w:rsidP="00F149CB">
    <w:pPr>
      <w:pStyle w:val="Footer"/>
      <w:framePr w:h="1102" w:hRule="exact" w:wrap="around" w:vAnchor="text" w:hAnchor="page" w:x="10510" w:y="-478"/>
      <w:rPr>
        <w:rStyle w:val="PageNumber"/>
        <w:rFonts w:ascii="Calibri" w:hAnsi="Calibri"/>
      </w:rPr>
    </w:pPr>
  </w:p>
  <w:p w14:paraId="02130298" w14:textId="3024F832" w:rsidR="001A1618" w:rsidRPr="00A2070A" w:rsidRDefault="001A1618" w:rsidP="00A5204B">
    <w:pPr>
      <w:widowControl/>
      <w:pBdr>
        <w:top w:val="single" w:sz="4" w:space="1" w:color="0076AF"/>
      </w:pBdr>
      <w:tabs>
        <w:tab w:val="right" w:pos="9639"/>
      </w:tabs>
      <w:suppressAutoHyphens w:val="0"/>
      <w:spacing w:after="0" w:line="240" w:lineRule="auto"/>
    </w:pPr>
    <w:r>
      <w:rPr>
        <w:rFonts w:ascii="Calibri" w:hAnsi="Calibri"/>
        <w:noProof/>
      </w:rPr>
      <w:drawing>
        <wp:anchor distT="0" distB="0" distL="114300" distR="114300" simplePos="0" relativeHeight="251658245" behindDoc="1" locked="0" layoutInCell="1" allowOverlap="1" wp14:anchorId="655880C2" wp14:editId="6B2941B6">
          <wp:simplePos x="0" y="0"/>
          <wp:positionH relativeFrom="column">
            <wp:posOffset>-733425</wp:posOffset>
          </wp:positionH>
          <wp:positionV relativeFrom="page">
            <wp:posOffset>10220325</wp:posOffset>
          </wp:positionV>
          <wp:extent cx="7563485" cy="467995"/>
          <wp:effectExtent l="0" t="0" r="0" b="8255"/>
          <wp:wrapTight wrapText="bothSides">
            <wp:wrapPolygon edited="0">
              <wp:start x="0" y="0"/>
              <wp:lineTo x="0" y="21102"/>
              <wp:lineTo x="21544" y="21102"/>
              <wp:lineTo x="2154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NEW.png"/>
                  <pic:cNvPicPr/>
                </pic:nvPicPr>
                <pic:blipFill>
                  <a:blip r:embed="rId1"/>
                  <a:stretch>
                    <a:fillRect/>
                  </a:stretch>
                </pic:blipFill>
                <pic:spPr>
                  <a:xfrm>
                    <a:off x="0" y="0"/>
                    <a:ext cx="7563485" cy="467995"/>
                  </a:xfrm>
                  <a:prstGeom prst="rect">
                    <a:avLst/>
                  </a:prstGeom>
                </pic:spPr>
              </pic:pic>
            </a:graphicData>
          </a:graphic>
          <wp14:sizeRelH relativeFrom="margin">
            <wp14:pctWidth>0</wp14:pctWidth>
          </wp14:sizeRelH>
          <wp14:sizeRelV relativeFrom="margin">
            <wp14:pctHeight>0</wp14:pctHeight>
          </wp14:sizeRelV>
        </wp:anchor>
      </w:drawing>
    </w:r>
    <w:r w:rsidRPr="00263937">
      <w:rPr>
        <w:rFonts w:ascii="Calibri" w:eastAsia="Calibri" w:hAnsi="Calibri" w:cs="Times New Roman"/>
        <w:sz w:val="18"/>
        <w:szCs w:val="18"/>
      </w:rPr>
      <w:t xml:space="preserve"> </w:t>
    </w:r>
    <w:r>
      <w:rPr>
        <w:rFonts w:ascii="Calibri" w:eastAsia="Calibri" w:hAnsi="Calibri" w:cs="Times New Roman"/>
        <w:sz w:val="18"/>
        <w:szCs w:val="18"/>
      </w:rPr>
      <w:br/>
    </w:r>
  </w:p>
  <w:p w14:paraId="70BEED89" w14:textId="760EC83E" w:rsidR="001A1618" w:rsidRPr="00EC431E" w:rsidRDefault="001A1618" w:rsidP="00C80AFC">
    <w:pPr>
      <w:pStyle w:val="Footer"/>
      <w:ind w:left="-993" w:right="360"/>
      <w:jc w:val="right"/>
      <w:rPr>
        <w:sz w:val="16"/>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3ABE4" w14:textId="63D5286A" w:rsidR="001A1618" w:rsidRPr="00C80AFC" w:rsidRDefault="001A1618" w:rsidP="00C80AFC">
    <w:pPr>
      <w:tabs>
        <w:tab w:val="center" w:pos="4320"/>
        <w:tab w:val="right" w:pos="8640"/>
      </w:tabs>
      <w:spacing w:after="0"/>
      <w:rPr>
        <w:rFonts w:ascii="Calibri" w:hAnsi="Calibri"/>
      </w:rPr>
    </w:pPr>
    <w:r>
      <w:rPr>
        <w:rFonts w:ascii="Calibri" w:hAnsi="Calibri"/>
        <w:noProof/>
      </w:rPr>
      <w:drawing>
        <wp:anchor distT="0" distB="0" distL="114300" distR="114300" simplePos="0" relativeHeight="251658244" behindDoc="1" locked="0" layoutInCell="1" allowOverlap="1" wp14:anchorId="037C53DC" wp14:editId="1ED2AF34">
          <wp:simplePos x="0" y="0"/>
          <wp:positionH relativeFrom="column">
            <wp:posOffset>-720090</wp:posOffset>
          </wp:positionH>
          <wp:positionV relativeFrom="page">
            <wp:align>bottom</wp:align>
          </wp:positionV>
          <wp:extent cx="7563600" cy="468000"/>
          <wp:effectExtent l="0" t="0" r="0" b="8255"/>
          <wp:wrapTight wrapText="bothSides">
            <wp:wrapPolygon edited="0">
              <wp:start x="0" y="0"/>
              <wp:lineTo x="0" y="21102"/>
              <wp:lineTo x="21544" y="21102"/>
              <wp:lineTo x="21544"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NEW.png"/>
                  <pic:cNvPicPr/>
                </pic:nvPicPr>
                <pic:blipFill>
                  <a:blip r:embed="rId1"/>
                  <a:stretch>
                    <a:fillRect/>
                  </a:stretch>
                </pic:blipFill>
                <pic:spPr>
                  <a:xfrm>
                    <a:off x="0" y="0"/>
                    <a:ext cx="7563600" cy="46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0C273" w14:textId="77777777" w:rsidR="001A1618" w:rsidRDefault="001A1618">
      <w:r>
        <w:separator/>
      </w:r>
    </w:p>
  </w:footnote>
  <w:footnote w:type="continuationSeparator" w:id="0">
    <w:p w14:paraId="1C05BFAC" w14:textId="77777777" w:rsidR="001A1618" w:rsidRDefault="001A1618">
      <w:r>
        <w:continuationSeparator/>
      </w:r>
    </w:p>
  </w:footnote>
  <w:footnote w:type="continuationNotice" w:id="1">
    <w:p w14:paraId="6DE3F852" w14:textId="77777777" w:rsidR="001A1618" w:rsidRPr="006F348B" w:rsidRDefault="001A1618" w:rsidP="006F348B">
      <w:pPr>
        <w:pStyle w:val="Footer"/>
      </w:pPr>
    </w:p>
  </w:footnote>
  <w:footnote w:id="2">
    <w:p w14:paraId="055B8F4B" w14:textId="77777777" w:rsidR="001A1618" w:rsidRPr="00AF0D2D" w:rsidRDefault="001A1618" w:rsidP="006B04D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w:t>
      </w:r>
      <w:hyperlink r:id="rId1" w:history="1">
        <w:r w:rsidRPr="00AF0D2D">
          <w:rPr>
            <w:rStyle w:val="Hyperlink"/>
            <w:rFonts w:ascii="Calibri Light" w:hAnsi="Calibri Light" w:cs="Calibri Light"/>
            <w:sz w:val="18"/>
            <w:szCs w:val="18"/>
            <w:lang w:val="en-GB"/>
          </w:rPr>
          <w:t>https://eiti.org/document/validation-schedule-decisions</w:t>
        </w:r>
      </w:hyperlink>
      <w:r w:rsidRPr="00AF0D2D">
        <w:rPr>
          <w:rFonts w:ascii="Calibri Light" w:hAnsi="Calibri Light" w:cs="Calibri Light"/>
          <w:sz w:val="18"/>
          <w:szCs w:val="18"/>
          <w:lang w:val="en-GB"/>
        </w:rPr>
        <w:t xml:space="preserve"> </w:t>
      </w:r>
    </w:p>
  </w:footnote>
  <w:footnote w:id="3">
    <w:p w14:paraId="44D64EDD" w14:textId="251EE89E" w:rsidR="001A1618" w:rsidRPr="00AF0D2D" w:rsidRDefault="001A1618" w:rsidP="00AF3875">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Economist (2016) “Flare-up: Tensions run high at an international transparency initiative” </w:t>
      </w:r>
      <w:hyperlink r:id="rId2" w:history="1">
        <w:r w:rsidRPr="00AF0D2D">
          <w:rPr>
            <w:rStyle w:val="Hyperlink"/>
            <w:rFonts w:ascii="Calibri Light" w:hAnsi="Calibri Light" w:cs="Calibri Light"/>
            <w:sz w:val="18"/>
            <w:szCs w:val="18"/>
            <w:lang w:val="en-GB"/>
          </w:rPr>
          <w:t>https://www.economist.com/business/2016/02/25/flare-up</w:t>
        </w:r>
      </w:hyperlink>
      <w:r w:rsidRPr="00AF0D2D">
        <w:rPr>
          <w:rFonts w:ascii="Calibri Light" w:hAnsi="Calibri Light" w:cs="Calibri Light"/>
          <w:sz w:val="18"/>
          <w:szCs w:val="18"/>
          <w:lang w:val="en-GB"/>
        </w:rPr>
        <w:t xml:space="preserve"> </w:t>
      </w:r>
    </w:p>
  </w:footnote>
  <w:footnote w:id="4">
    <w:p w14:paraId="483A5902" w14:textId="5725FFDE"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Clare Short (2016) “The former EITI chair Rt Hon Clare Short reflects”. </w:t>
      </w:r>
      <w:hyperlink r:id="rId3" w:history="1">
        <w:r w:rsidRPr="00AF0D2D">
          <w:rPr>
            <w:rStyle w:val="Hyperlink"/>
            <w:rFonts w:ascii="Calibri Light" w:hAnsi="Calibri Light" w:cs="Calibri Light"/>
            <w:sz w:val="18"/>
            <w:szCs w:val="18"/>
            <w:lang w:val="en-GB"/>
          </w:rPr>
          <w:t>https://eiti.org/blog/former-eiti-chair-rt-hon-clare-short-reflects</w:t>
        </w:r>
      </w:hyperlink>
      <w:r w:rsidRPr="00AF0D2D">
        <w:rPr>
          <w:rFonts w:ascii="Calibri Light" w:hAnsi="Calibri Light" w:cs="Calibri Light"/>
          <w:sz w:val="18"/>
          <w:szCs w:val="18"/>
          <w:lang w:val="en-GB"/>
        </w:rPr>
        <w:t xml:space="preserve"> </w:t>
      </w:r>
    </w:p>
  </w:footnote>
  <w:footnote w:id="5">
    <w:p w14:paraId="7FF7B656" w14:textId="4FE3CB6D"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Martin Brown (2017) “PWYP walks out of UK EITI (again)” </w:t>
      </w:r>
      <w:hyperlink r:id="rId4" w:history="1">
        <w:r w:rsidRPr="00AF0D2D">
          <w:rPr>
            <w:rStyle w:val="Hyperlink"/>
            <w:rFonts w:ascii="Calibri Light" w:hAnsi="Calibri Light" w:cs="Calibri Light"/>
            <w:sz w:val="18"/>
            <w:szCs w:val="18"/>
            <w:lang w:val="en-GB"/>
          </w:rPr>
          <w:t>http://goxi.org/profiles/blogs/pwyp-walks-out-of-ukeiti-again</w:t>
        </w:r>
      </w:hyperlink>
      <w:r w:rsidRPr="00AF0D2D">
        <w:rPr>
          <w:rFonts w:ascii="Calibri Light" w:hAnsi="Calibri Light" w:cs="Calibri Light"/>
          <w:sz w:val="18"/>
          <w:szCs w:val="18"/>
          <w:lang w:val="en-GB"/>
        </w:rPr>
        <w:t xml:space="preserve"> </w:t>
      </w:r>
    </w:p>
  </w:footnote>
  <w:footnote w:id="6">
    <w:p w14:paraId="3DC05E60" w14:textId="6885F950"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 EITI Civil Society Network (2017) “Civil Society Organisations withdraw from UK EITI” https://www.publishwhatyoupay.org/pwyp-news/civil-society-organisations-withdraw-from-uk-eiti/</w:t>
      </w:r>
    </w:p>
  </w:footnote>
  <w:footnote w:id="7">
    <w:p w14:paraId="302CD65A" w14:textId="62DB5398"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CBI (2018) Selection of Civil Society Representatives on the International EITI Board (2019-2022)  </w:t>
      </w:r>
      <w:hyperlink r:id="rId5" w:history="1">
        <w:r w:rsidRPr="00AF0D2D">
          <w:rPr>
            <w:rStyle w:val="Hyperlink"/>
            <w:rFonts w:ascii="Calibri Light" w:hAnsi="Calibri Light" w:cs="Calibri Light"/>
            <w:sz w:val="18"/>
            <w:szCs w:val="18"/>
            <w:lang w:val="en-GB"/>
          </w:rPr>
          <w:t>https://www.cbi.org/project/eiti-board-cso/</w:t>
        </w:r>
      </w:hyperlink>
      <w:r w:rsidRPr="00AF0D2D">
        <w:rPr>
          <w:rFonts w:ascii="Calibri Light" w:hAnsi="Calibri Light" w:cs="Calibri Light"/>
          <w:sz w:val="18"/>
          <w:szCs w:val="18"/>
          <w:lang w:val="en-GB"/>
        </w:rPr>
        <w:t xml:space="preserve"> </w:t>
      </w:r>
    </w:p>
  </w:footnote>
  <w:footnote w:id="8">
    <w:p w14:paraId="61108EB9" w14:textId="75FBB40A"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w:t>
      </w:r>
      <w:hyperlink r:id="rId6" w:history="1">
        <w:r w:rsidRPr="00AF0D2D">
          <w:rPr>
            <w:rStyle w:val="Hyperlink"/>
            <w:rFonts w:ascii="Calibri Light" w:hAnsi="Calibri Light" w:cs="Calibri Light"/>
            <w:sz w:val="18"/>
            <w:szCs w:val="18"/>
            <w:lang w:val="en-GB"/>
          </w:rPr>
          <w:t>https://eiti.org/news/united-kingdom-accepted-as-candidate-of-resource-transparency-body</w:t>
        </w:r>
      </w:hyperlink>
      <w:r w:rsidRPr="00AF0D2D">
        <w:rPr>
          <w:rFonts w:ascii="Calibri Light" w:hAnsi="Calibri Light" w:cs="Calibri Light"/>
          <w:sz w:val="18"/>
          <w:szCs w:val="18"/>
          <w:lang w:val="en-GB"/>
        </w:rPr>
        <w:t xml:space="preserve"> </w:t>
      </w:r>
    </w:p>
  </w:footnote>
  <w:footnote w:id="9">
    <w:p w14:paraId="1E1A5325" w14:textId="026B8241"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w:t>
      </w:r>
      <w:hyperlink r:id="rId7" w:history="1">
        <w:r w:rsidRPr="00AF0D2D">
          <w:rPr>
            <w:rStyle w:val="Hyperlink"/>
            <w:rFonts w:ascii="Calibri Light" w:hAnsi="Calibri Light" w:cs="Calibri Light"/>
            <w:sz w:val="18"/>
            <w:szCs w:val="18"/>
            <w:lang w:val="en-GB"/>
          </w:rPr>
          <w:t>https://eiti.org/document/validation-schedule-decisions</w:t>
        </w:r>
      </w:hyperlink>
      <w:r w:rsidRPr="00AF0D2D">
        <w:rPr>
          <w:rFonts w:ascii="Calibri Light" w:hAnsi="Calibri Light" w:cs="Calibri Light"/>
          <w:sz w:val="18"/>
          <w:szCs w:val="18"/>
          <w:lang w:val="en-GB"/>
        </w:rPr>
        <w:t xml:space="preserve"> </w:t>
      </w:r>
    </w:p>
  </w:footnote>
  <w:footnote w:id="10">
    <w:p w14:paraId="713F0BDD" w14:textId="39239833"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w:t>
      </w:r>
      <w:hyperlink r:id="rId8" w:history="1">
        <w:r w:rsidRPr="00AF0D2D">
          <w:rPr>
            <w:rStyle w:val="Hyperlink"/>
            <w:rFonts w:ascii="Calibri Light" w:hAnsi="Calibri Light" w:cs="Calibri Light"/>
            <w:sz w:val="18"/>
            <w:szCs w:val="18"/>
            <w:lang w:val="en-GB"/>
          </w:rPr>
          <w:t>https://eiti.org/document/eiti-validation-procedures</w:t>
        </w:r>
      </w:hyperlink>
      <w:r w:rsidRPr="00AF0D2D">
        <w:rPr>
          <w:rFonts w:ascii="Calibri Light" w:hAnsi="Calibri Light" w:cs="Calibri Light"/>
          <w:sz w:val="18"/>
          <w:szCs w:val="18"/>
          <w:lang w:val="en-GB"/>
        </w:rPr>
        <w:t xml:space="preserve"> </w:t>
      </w:r>
    </w:p>
  </w:footnote>
  <w:footnote w:id="11">
    <w:p w14:paraId="0745D304" w14:textId="497E6B4C"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w:t>
      </w:r>
      <w:hyperlink r:id="rId9" w:history="1">
        <w:r w:rsidRPr="00AF0D2D">
          <w:rPr>
            <w:rStyle w:val="Hyperlink"/>
            <w:rFonts w:ascii="Calibri Light" w:hAnsi="Calibri Light" w:cs="Calibri Light"/>
            <w:sz w:val="18"/>
            <w:szCs w:val="18"/>
            <w:lang w:val="en-GB"/>
          </w:rPr>
          <w:t>https://eiti.org/document/eiti-validation-guide</w:t>
        </w:r>
      </w:hyperlink>
      <w:r w:rsidRPr="00AF0D2D">
        <w:rPr>
          <w:rFonts w:ascii="Calibri Light" w:hAnsi="Calibri Light" w:cs="Calibri Light"/>
          <w:sz w:val="18"/>
          <w:szCs w:val="18"/>
          <w:lang w:val="en-GB"/>
        </w:rPr>
        <w:t xml:space="preserve"> </w:t>
      </w:r>
    </w:p>
  </w:footnote>
  <w:footnote w:id="12">
    <w:p w14:paraId="0F94F8E5" w14:textId="5C42A537"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w:t>
      </w:r>
      <w:hyperlink r:id="rId10" w:anchor="data-collection" w:history="1">
        <w:r w:rsidRPr="00AF0D2D">
          <w:rPr>
            <w:rStyle w:val="Hyperlink"/>
            <w:rFonts w:ascii="Calibri Light" w:hAnsi="Calibri Light" w:cs="Calibri Light"/>
            <w:sz w:val="18"/>
            <w:szCs w:val="18"/>
            <w:lang w:val="en-GB"/>
          </w:rPr>
          <w:t>https://eiti.org/document/eiti-validation-procedures#data-collection</w:t>
        </w:r>
      </w:hyperlink>
      <w:r w:rsidRPr="00AF0D2D">
        <w:rPr>
          <w:rFonts w:ascii="Calibri Light" w:hAnsi="Calibri Light" w:cs="Calibri Light"/>
          <w:sz w:val="18"/>
          <w:szCs w:val="18"/>
          <w:lang w:val="en-GB"/>
        </w:rPr>
        <w:t xml:space="preserve"> </w:t>
      </w:r>
    </w:p>
  </w:footnote>
  <w:footnote w:id="13">
    <w:p w14:paraId="6B269A3A" w14:textId="55A29E4B"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w:t>
      </w:r>
      <w:hyperlink r:id="rId11" w:history="1">
        <w:r w:rsidRPr="00AF0D2D">
          <w:rPr>
            <w:rStyle w:val="Hyperlink"/>
            <w:rFonts w:ascii="Calibri Light" w:hAnsi="Calibri Light" w:cs="Calibri Light"/>
            <w:sz w:val="18"/>
            <w:szCs w:val="18"/>
            <w:lang w:val="en-GB"/>
          </w:rPr>
          <w:t>https://eiti.org/BD/2019-15</w:t>
        </w:r>
      </w:hyperlink>
      <w:r w:rsidRPr="00AF0D2D">
        <w:rPr>
          <w:rFonts w:ascii="Calibri Light" w:hAnsi="Calibri Light" w:cs="Calibri Light"/>
          <w:sz w:val="18"/>
          <w:szCs w:val="18"/>
          <w:lang w:val="en-GB"/>
        </w:rPr>
        <w:t xml:space="preserve"> </w:t>
      </w:r>
    </w:p>
  </w:footnote>
  <w:footnote w:id="14">
    <w:p w14:paraId="33371522" w14:textId="1EB4AD49"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w:t>
      </w:r>
      <w:hyperlink r:id="rId12" w:anchor="pipelines-and-platforms" w:history="1">
        <w:r w:rsidRPr="00AF0D2D">
          <w:rPr>
            <w:rStyle w:val="Hyperlink"/>
            <w:rFonts w:ascii="Calibri Light" w:hAnsi="Calibri Light" w:cs="Calibri Light"/>
            <w:sz w:val="18"/>
            <w:szCs w:val="18"/>
            <w:lang w:val="en-GB"/>
          </w:rPr>
          <w:t>https://www.gov.uk/guidance/oil-and-gas-infrastructure#pipelines-and-platforms</w:t>
        </w:r>
      </w:hyperlink>
      <w:r w:rsidRPr="00AF0D2D">
        <w:rPr>
          <w:rFonts w:ascii="Calibri Light" w:hAnsi="Calibri Light" w:cs="Calibri Light"/>
          <w:sz w:val="18"/>
          <w:szCs w:val="18"/>
          <w:lang w:val="en-GB"/>
        </w:rPr>
        <w:t xml:space="preserve"> </w:t>
      </w:r>
    </w:p>
  </w:footnote>
  <w:footnote w:id="15">
    <w:p w14:paraId="631B533D" w14:textId="3724C33D"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Oil and Gas UK (2018): “Workforce Report 2018” </w:t>
      </w:r>
      <w:hyperlink r:id="rId13" w:history="1">
        <w:r w:rsidRPr="00AF0D2D">
          <w:rPr>
            <w:rStyle w:val="Hyperlink"/>
            <w:rFonts w:ascii="Calibri Light" w:hAnsi="Calibri Light" w:cs="Calibri Light"/>
            <w:sz w:val="18"/>
            <w:szCs w:val="18"/>
            <w:lang w:val="en-GB"/>
          </w:rPr>
          <w:t>https://oilandgasuk.co.uk/wp-content/uploads/2019/03/OGUK-Workforce-Report-2018.pdf</w:t>
        </w:r>
      </w:hyperlink>
      <w:r w:rsidRPr="00AF0D2D">
        <w:rPr>
          <w:rFonts w:ascii="Calibri Light" w:hAnsi="Calibri Light" w:cs="Calibri Light"/>
          <w:sz w:val="18"/>
          <w:szCs w:val="18"/>
          <w:lang w:val="en-GB"/>
        </w:rPr>
        <w:t xml:space="preserve"> </w:t>
      </w:r>
    </w:p>
  </w:footnote>
  <w:footnote w:id="16">
    <w:p w14:paraId="0C4A3DDE" w14:textId="0B7EEB0C"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Ib id </w:t>
      </w:r>
    </w:p>
  </w:footnote>
  <w:footnote w:id="17">
    <w:p w14:paraId="3CA92FDB" w14:textId="1550F93F"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Oil and Gas UK (2018): “Economic Report” </w:t>
      </w:r>
      <w:hyperlink r:id="rId14" w:history="1">
        <w:r w:rsidRPr="00AF0D2D">
          <w:rPr>
            <w:rStyle w:val="Hyperlink"/>
            <w:rFonts w:ascii="Calibri Light" w:hAnsi="Calibri Light" w:cs="Calibri Light"/>
            <w:sz w:val="18"/>
            <w:szCs w:val="18"/>
            <w:lang w:val="en-GB"/>
          </w:rPr>
          <w:t>https://oilandgasuk.co.uk/wp-content/uploads/2019/03/OGUK-Economic-Report-2018.pdf</w:t>
        </w:r>
      </w:hyperlink>
      <w:r w:rsidRPr="00AF0D2D">
        <w:rPr>
          <w:rFonts w:ascii="Calibri Light" w:hAnsi="Calibri Light" w:cs="Calibri Light"/>
          <w:sz w:val="18"/>
          <w:szCs w:val="18"/>
          <w:lang w:val="en-GB"/>
        </w:rPr>
        <w:t xml:space="preserve">  </w:t>
      </w:r>
    </w:p>
  </w:footnote>
  <w:footnote w:id="18">
    <w:p w14:paraId="6EA86CEC" w14:textId="77777777" w:rsidR="001A1618" w:rsidRPr="00AF0D2D" w:rsidRDefault="001A1618" w:rsidP="00DF0FAB">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Oil and Gas UK (2018): “Economic Report” </w:t>
      </w:r>
      <w:hyperlink r:id="rId15" w:history="1">
        <w:r w:rsidRPr="00AF0D2D">
          <w:rPr>
            <w:rStyle w:val="Hyperlink"/>
            <w:rFonts w:ascii="Calibri Light" w:hAnsi="Calibri Light" w:cs="Calibri Light"/>
            <w:sz w:val="18"/>
            <w:szCs w:val="18"/>
            <w:lang w:val="en-GB"/>
          </w:rPr>
          <w:t>https://oilandgasuk.co.uk/wp-content/uploads/2019/03/OGUK-Economic-Report-2018.pdf</w:t>
        </w:r>
      </w:hyperlink>
    </w:p>
  </w:footnote>
  <w:footnote w:id="19">
    <w:p w14:paraId="33EEA991" w14:textId="77777777" w:rsidR="001A1618" w:rsidRPr="00AF0D2D" w:rsidRDefault="001A1618" w:rsidP="001F7E2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Source: UK Oil and Gas Authority (2019) “Projections of UK Oil and Gas Production and Expenditure” </w:t>
      </w:r>
      <w:hyperlink r:id="rId16" w:history="1">
        <w:r w:rsidRPr="00AF0D2D">
          <w:rPr>
            <w:rStyle w:val="Hyperlink"/>
            <w:rFonts w:ascii="Calibri Light" w:hAnsi="Calibri Light" w:cs="Calibri Light"/>
            <w:sz w:val="18"/>
            <w:szCs w:val="18"/>
            <w:lang w:val="en-GB"/>
          </w:rPr>
          <w:t>https://www.ogauthority.co.uk/media/5391/oga_projections_of_uk_oil_and_gas_production_and_expenditure.pdf</w:t>
        </w:r>
      </w:hyperlink>
      <w:r w:rsidRPr="00AF0D2D">
        <w:rPr>
          <w:rFonts w:ascii="Calibri Light" w:hAnsi="Calibri Light" w:cs="Calibri Light"/>
          <w:sz w:val="18"/>
          <w:szCs w:val="18"/>
          <w:lang w:val="en-GB"/>
        </w:rPr>
        <w:t xml:space="preserve"> </w:t>
      </w:r>
    </w:p>
  </w:footnote>
  <w:footnote w:id="20">
    <w:p w14:paraId="7E213EA5" w14:textId="77777777" w:rsidR="001A1618" w:rsidRPr="00AF0D2D" w:rsidRDefault="001A1618" w:rsidP="00CD19FC">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 Mining Yearbook </w:t>
      </w:r>
      <w:hyperlink r:id="rId17" w:history="1">
        <w:r w:rsidRPr="00AF0D2D">
          <w:rPr>
            <w:rStyle w:val="Hyperlink"/>
            <w:rFonts w:ascii="Calibri Light" w:hAnsi="Calibri Light" w:cs="Calibri Light"/>
            <w:sz w:val="18"/>
            <w:szCs w:val="18"/>
            <w:lang w:val="en-GB"/>
          </w:rPr>
          <w:t>http://www.bgs.ac.uk/mineralsuk/statistics/UKStatistics.html</w:t>
        </w:r>
      </w:hyperlink>
      <w:r w:rsidRPr="00AF0D2D">
        <w:rPr>
          <w:rFonts w:ascii="Calibri Light" w:hAnsi="Calibri Light" w:cs="Calibri Light"/>
          <w:sz w:val="18"/>
          <w:szCs w:val="18"/>
          <w:lang w:val="en-GB"/>
        </w:rPr>
        <w:t xml:space="preserve"> </w:t>
      </w:r>
    </w:p>
  </w:footnote>
  <w:footnote w:id="21">
    <w:p w14:paraId="5C6D42D7" w14:textId="77777777" w:rsidR="001A1618" w:rsidRPr="00AF0D2D" w:rsidRDefault="001A1618" w:rsidP="00CD19FC">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World Coal Institute </w:t>
      </w:r>
      <w:hyperlink r:id="rId18" w:history="1">
        <w:r w:rsidRPr="00AF0D2D">
          <w:rPr>
            <w:rStyle w:val="Hyperlink"/>
            <w:rFonts w:ascii="Calibri Light" w:hAnsi="Calibri Light" w:cs="Calibri Light"/>
            <w:sz w:val="18"/>
            <w:szCs w:val="18"/>
            <w:lang w:val="en-GB"/>
          </w:rPr>
          <w:t>http://www.worldcoal.org/pages/content/index.asp?PageID=404</w:t>
        </w:r>
      </w:hyperlink>
      <w:r w:rsidRPr="00AF0D2D">
        <w:rPr>
          <w:rFonts w:ascii="Calibri Light" w:hAnsi="Calibri Light" w:cs="Calibri Light"/>
          <w:sz w:val="18"/>
          <w:szCs w:val="18"/>
          <w:lang w:val="en-GB"/>
        </w:rPr>
        <w:t xml:space="preserve"> </w:t>
      </w:r>
    </w:p>
  </w:footnote>
  <w:footnote w:id="22">
    <w:p w14:paraId="66AA1888" w14:textId="77777777" w:rsidR="001A1618" w:rsidRPr="00AF0D2D" w:rsidRDefault="001A1618" w:rsidP="00CD19FC">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 Government Department of Environment and Climate Change.</w:t>
      </w:r>
    </w:p>
  </w:footnote>
  <w:footnote w:id="23">
    <w:p w14:paraId="0A5B991D" w14:textId="04B0626B" w:rsidR="001A1618" w:rsidRPr="00AF0D2D" w:rsidRDefault="001A1618" w:rsidP="00E03D03">
      <w:pPr>
        <w:pStyle w:val="FootnoteText"/>
        <w:tabs>
          <w:tab w:val="left" w:pos="3416"/>
        </w:tabs>
        <w:contextualSpacing/>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See also </w:t>
      </w:r>
      <w:hyperlink r:id="rId19" w:history="1">
        <w:r w:rsidRPr="00AF0D2D">
          <w:rPr>
            <w:rStyle w:val="Hyperlink"/>
            <w:rFonts w:ascii="Calibri Light" w:hAnsi="Calibri Light" w:cs="Calibri Light"/>
            <w:sz w:val="18"/>
            <w:szCs w:val="18"/>
            <w:lang w:val="en-GB"/>
          </w:rPr>
          <w:t>https://eiti.org/validation</w:t>
        </w:r>
      </w:hyperlink>
      <w:r w:rsidRPr="00AF0D2D">
        <w:rPr>
          <w:rFonts w:ascii="Calibri Light" w:hAnsi="Calibri Light" w:cs="Calibri Light"/>
          <w:sz w:val="18"/>
          <w:szCs w:val="18"/>
          <w:lang w:val="en-GB"/>
        </w:rPr>
        <w:t xml:space="preserve">. </w:t>
      </w:r>
      <w:r w:rsidRPr="00AF0D2D">
        <w:rPr>
          <w:rFonts w:ascii="Calibri Light" w:hAnsi="Calibri Light" w:cs="Calibri Light"/>
          <w:sz w:val="18"/>
          <w:szCs w:val="18"/>
          <w:lang w:val="en-GB"/>
        </w:rPr>
        <w:tab/>
      </w:r>
    </w:p>
  </w:footnote>
  <w:footnote w:id="24">
    <w:p w14:paraId="2B6847F2" w14:textId="3480CF38"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w:t>
      </w:r>
      <w:hyperlink r:id="rId20" w:history="1">
        <w:r w:rsidRPr="00AF0D2D">
          <w:rPr>
            <w:rStyle w:val="Hyperlink"/>
            <w:rFonts w:ascii="Calibri Light" w:hAnsi="Calibri Light" w:cs="Calibri Light"/>
            <w:sz w:val="18"/>
            <w:szCs w:val="18"/>
            <w:lang w:val="en-GB"/>
          </w:rPr>
          <w:t>https://eiti.org/history</w:t>
        </w:r>
      </w:hyperlink>
      <w:r w:rsidRPr="00AF0D2D">
        <w:rPr>
          <w:rFonts w:ascii="Calibri Light" w:hAnsi="Calibri Light" w:cs="Calibri Light"/>
          <w:sz w:val="18"/>
          <w:szCs w:val="18"/>
          <w:lang w:val="en-GB"/>
        </w:rPr>
        <w:t xml:space="preserve"> </w:t>
      </w:r>
    </w:p>
  </w:footnote>
  <w:footnote w:id="25">
    <w:p w14:paraId="5AC9C118" w14:textId="40F092DC"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w:t>
      </w:r>
      <w:hyperlink r:id="rId21" w:history="1">
        <w:r w:rsidRPr="00AF0D2D">
          <w:rPr>
            <w:rStyle w:val="Hyperlink"/>
            <w:rFonts w:ascii="Calibri Light" w:hAnsi="Calibri Light" w:cs="Calibri Light"/>
            <w:sz w:val="18"/>
            <w:szCs w:val="18"/>
            <w:lang w:val="en-GB"/>
          </w:rPr>
          <w:t>https://www.gov.uk/government/news/g8-transparency-uk-and-france-join-the-extractive-industries-transparency-initiative</w:t>
        </w:r>
      </w:hyperlink>
      <w:r w:rsidRPr="00AF0D2D">
        <w:rPr>
          <w:rFonts w:ascii="Calibri Light" w:hAnsi="Calibri Light" w:cs="Calibri Light"/>
          <w:sz w:val="18"/>
          <w:szCs w:val="18"/>
          <w:lang w:val="en-GB"/>
        </w:rPr>
        <w:t xml:space="preserve"> </w:t>
      </w:r>
    </w:p>
  </w:footnote>
  <w:footnote w:id="26">
    <w:p w14:paraId="38D4CF86" w14:textId="23DD66A8"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Conservative Manifesto 2015, accessed </w:t>
      </w:r>
      <w:hyperlink r:id="rId22"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p11.</w:t>
      </w:r>
    </w:p>
  </w:footnote>
  <w:footnote w:id="27">
    <w:p w14:paraId="49F225D3" w14:textId="42F7C399"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DFID, (December 2017), </w:t>
      </w:r>
      <w:hyperlink r:id="rId23" w:history="1">
        <w:r w:rsidRPr="00AF0D2D">
          <w:rPr>
            <w:rStyle w:val="Hyperlink"/>
            <w:rFonts w:ascii="Calibri Light" w:hAnsi="Calibri Light" w:cs="Calibri Light"/>
            <w:sz w:val="18"/>
            <w:szCs w:val="18"/>
            <w:lang w:val="en-GB"/>
          </w:rPr>
          <w:t>UK anti-corruption strategy 2017 to 2022</w:t>
        </w:r>
      </w:hyperlink>
      <w:r w:rsidRPr="00AF0D2D">
        <w:rPr>
          <w:rFonts w:ascii="Calibri Light" w:hAnsi="Calibri Light" w:cs="Calibri Light"/>
          <w:sz w:val="18"/>
          <w:szCs w:val="18"/>
          <w:lang w:val="en-GB"/>
        </w:rPr>
        <w:t xml:space="preserve">, accessed </w:t>
      </w:r>
      <w:hyperlink r:id="rId24"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p.59.</w:t>
      </w:r>
    </w:p>
  </w:footnote>
  <w:footnote w:id="28">
    <w:p w14:paraId="02421713" w14:textId="27B52BB5" w:rsidR="001A1618" w:rsidRPr="00AF0D2D" w:rsidRDefault="001A1618" w:rsidP="00557A4E">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Andrew Griffiths MP, Minister for Small Business, Consumers and Corporate Responsibility in his foreword to the 2016 EITI Reported noted that </w:t>
      </w:r>
      <w:r w:rsidRPr="00AF0D2D">
        <w:rPr>
          <w:rFonts w:ascii="Calibri Light" w:hAnsi="Calibri Light" w:cs="Calibri Light"/>
          <w:bCs/>
          <w:sz w:val="18"/>
          <w:szCs w:val="18"/>
          <w:lang w:val="en-GB"/>
        </w:rPr>
        <w:t>“</w:t>
      </w:r>
      <w:r w:rsidRPr="00AF0D2D">
        <w:rPr>
          <w:rFonts w:ascii="Calibri Light" w:hAnsi="Calibri Light" w:cs="Calibri Light"/>
          <w:sz w:val="18"/>
          <w:szCs w:val="18"/>
          <w:lang w:val="en-GB"/>
        </w:rPr>
        <w:t>Our active participation in the Initiative is part of the Government’s determination to improve corporate responsibility across sectors, building trust and confidence that the UK is an attractive place to do business.</w:t>
      </w:r>
      <w:r w:rsidRPr="00AF0D2D">
        <w:rPr>
          <w:rFonts w:ascii="Calibri Light" w:hAnsi="Calibri Light" w:cs="Calibri Light"/>
          <w:bCs/>
          <w:sz w:val="18"/>
          <w:szCs w:val="18"/>
          <w:lang w:val="en-GB"/>
        </w:rPr>
        <w:t>”</w:t>
      </w:r>
      <w:r w:rsidRPr="00AF0D2D">
        <w:rPr>
          <w:rFonts w:ascii="Calibri Light" w:hAnsi="Calibri Light" w:cs="Calibri Light"/>
          <w:sz w:val="18"/>
          <w:szCs w:val="18"/>
          <w:lang w:val="en-GB"/>
        </w:rPr>
        <w:t xml:space="preserve"> UKEITI, (April2018), UK EITI Report for 2016, accessed </w:t>
      </w:r>
      <w:hyperlink r:id="rId25"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p.7.</w:t>
      </w:r>
    </w:p>
    <w:p w14:paraId="5EFDF5EB" w14:textId="6D751FAE" w:rsidR="001A1618" w:rsidRPr="00AF0D2D" w:rsidRDefault="001A1618">
      <w:pPr>
        <w:pStyle w:val="FootnoteText"/>
        <w:rPr>
          <w:rFonts w:ascii="Calibri Light" w:hAnsi="Calibri Light" w:cs="Calibri Light"/>
          <w:sz w:val="18"/>
          <w:szCs w:val="18"/>
          <w:lang w:val="en-GB"/>
        </w:rPr>
      </w:pPr>
    </w:p>
  </w:footnote>
  <w:footnote w:id="29">
    <w:p w14:paraId="4DABDE00" w14:textId="1172EDD2"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w:t>
      </w:r>
      <w:hyperlink r:id="rId26" w:anchor="commitment-2-natural-resource-transparency" w:history="1">
        <w:r w:rsidRPr="00AF0D2D">
          <w:rPr>
            <w:rStyle w:val="Hyperlink"/>
            <w:rFonts w:ascii="Calibri Light" w:hAnsi="Calibri Light" w:cs="Calibri Light"/>
            <w:sz w:val="18"/>
            <w:szCs w:val="18"/>
            <w:lang w:val="en-GB"/>
          </w:rPr>
          <w:t>https://www.gov.uk/government/publications/uk-open-government-national-action-plan-2016-18/uk-open-government-national-action-plan-2016-18#commitment-2-natural-resource-transparency</w:t>
        </w:r>
      </w:hyperlink>
      <w:r w:rsidRPr="00AF0D2D">
        <w:rPr>
          <w:rFonts w:ascii="Calibri Light" w:hAnsi="Calibri Light" w:cs="Calibri Light"/>
          <w:sz w:val="18"/>
          <w:szCs w:val="18"/>
          <w:lang w:val="en-GB"/>
        </w:rPr>
        <w:t xml:space="preserve"> </w:t>
      </w:r>
    </w:p>
  </w:footnote>
  <w:footnote w:id="30">
    <w:p w14:paraId="5BB60AF9" w14:textId="207BA29F" w:rsidR="001A1618" w:rsidRPr="00AF0D2D" w:rsidRDefault="001A1618" w:rsidP="0049242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UKEITI.gov webpage, accessed </w:t>
      </w:r>
      <w:hyperlink r:id="rId27" w:anchor="membership"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31">
    <w:p w14:paraId="3D0F6CC2" w14:textId="1BAFBFF7"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UKEITI application (August 2014), accessed </w:t>
      </w:r>
      <w:hyperlink r:id="rId28"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p6.</w:t>
      </w:r>
    </w:p>
  </w:footnote>
  <w:footnote w:id="32">
    <w:p w14:paraId="14A24F1F" w14:textId="783B6B8D"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For example, in September 2017, PWYP-UK alleged “undue interference by UK Government officials in the civil society nomination process jeopardis[ing] genuine multi-stakeholder dialogue in long standing transparency initiative”: </w:t>
      </w:r>
      <w:hyperlink r:id="rId29" w:history="1">
        <w:r w:rsidRPr="00AF0D2D">
          <w:rPr>
            <w:rStyle w:val="Hyperlink"/>
            <w:rFonts w:ascii="Calibri Light" w:hAnsi="Calibri Light" w:cs="Calibri Light"/>
            <w:sz w:val="18"/>
            <w:szCs w:val="18"/>
            <w:lang w:val="en-GB"/>
          </w:rPr>
          <w:t>https://www.publishwhatyoupay.org/pwyp-news/civil-society-organisations-withdraw-from-uk-eiti/</w:t>
        </w:r>
      </w:hyperlink>
      <w:r w:rsidRPr="00AF0D2D">
        <w:rPr>
          <w:rFonts w:ascii="Calibri Light" w:hAnsi="Calibri Light" w:cs="Calibri Light"/>
          <w:sz w:val="18"/>
          <w:szCs w:val="18"/>
          <w:lang w:val="en-GB"/>
        </w:rPr>
        <w:t xml:space="preserve"> </w:t>
      </w:r>
    </w:p>
  </w:footnote>
  <w:footnote w:id="33">
    <w:p w14:paraId="5EE7A044" w14:textId="759AB631"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2016 EITI Report, p.10</w:t>
      </w:r>
    </w:p>
  </w:footnote>
  <w:footnote w:id="34">
    <w:p w14:paraId="3DEEB65C" w14:textId="5E6E2FAC" w:rsidR="001A1618" w:rsidRPr="00AF0D2D" w:rsidRDefault="001A1618" w:rsidP="00640FA1">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first Validation under the EITI Standard (Azerbaijan 2016) established precedent for the Validation of requirement 1.3. The CSO protocol “operationalises” requirement 1.3. Each part of the CSO protocol speaks to specific parts of Requirement 1.3:</w:t>
      </w:r>
    </w:p>
    <w:p w14:paraId="0FB82DE5" w14:textId="77777777" w:rsidR="001A1618" w:rsidRPr="00AF0D2D" w:rsidRDefault="001A1618" w:rsidP="00640FA1">
      <w:pPr>
        <w:pStyle w:val="FootnoteText"/>
        <w:rPr>
          <w:rFonts w:ascii="Calibri Light" w:hAnsi="Calibri Light" w:cs="Calibri Light"/>
          <w:sz w:val="18"/>
          <w:szCs w:val="18"/>
          <w:lang w:val="en-GB"/>
        </w:rPr>
      </w:pPr>
      <w:r w:rsidRPr="00AF0D2D">
        <w:rPr>
          <w:rFonts w:ascii="Calibri Light" w:hAnsi="Calibri Light" w:cs="Calibri Light"/>
          <w:sz w:val="18"/>
          <w:szCs w:val="18"/>
          <w:lang w:val="en-GB"/>
        </w:rPr>
        <w:t>2.1 of the CSO protocol is intended to assess provisions 1.3(d), 1.3(e)(i), 1.3(e)(iv).</w:t>
      </w:r>
    </w:p>
    <w:p w14:paraId="58374B58" w14:textId="77777777" w:rsidR="001A1618" w:rsidRPr="00AF0D2D" w:rsidRDefault="001A1618" w:rsidP="00640FA1">
      <w:pPr>
        <w:pStyle w:val="FootnoteText"/>
        <w:rPr>
          <w:rFonts w:ascii="Calibri Light" w:hAnsi="Calibri Light" w:cs="Calibri Light"/>
          <w:sz w:val="18"/>
          <w:szCs w:val="18"/>
          <w:lang w:val="en-GB"/>
        </w:rPr>
      </w:pPr>
      <w:r w:rsidRPr="00AF0D2D">
        <w:rPr>
          <w:rFonts w:ascii="Calibri Light" w:hAnsi="Calibri Light" w:cs="Calibri Light"/>
          <w:sz w:val="18"/>
          <w:szCs w:val="18"/>
          <w:lang w:val="en-GB"/>
        </w:rPr>
        <w:t>2.2 of the CSO protocol is intended to assess provisions 1.3.(b) and 1.3(c).</w:t>
      </w:r>
    </w:p>
    <w:p w14:paraId="5FFE8DFC" w14:textId="77777777" w:rsidR="001A1618" w:rsidRPr="00AF0D2D" w:rsidRDefault="001A1618" w:rsidP="00640FA1">
      <w:pPr>
        <w:pStyle w:val="FootnoteText"/>
        <w:rPr>
          <w:rFonts w:ascii="Calibri Light" w:hAnsi="Calibri Light" w:cs="Calibri Light"/>
          <w:sz w:val="18"/>
          <w:szCs w:val="18"/>
          <w:lang w:val="en-GB"/>
        </w:rPr>
      </w:pPr>
      <w:r w:rsidRPr="00AF0D2D">
        <w:rPr>
          <w:rFonts w:ascii="Calibri Light" w:hAnsi="Calibri Light" w:cs="Calibri Light"/>
          <w:sz w:val="18"/>
          <w:szCs w:val="18"/>
          <w:lang w:val="en-GB"/>
        </w:rPr>
        <w:t>2.3 of the CSO protocol is intended to assess provision 1.3(e)(iii).</w:t>
      </w:r>
    </w:p>
    <w:p w14:paraId="01F5CC4B" w14:textId="5C22854A" w:rsidR="001A1618" w:rsidRPr="00AF0D2D" w:rsidRDefault="001A1618" w:rsidP="00640FA1">
      <w:pPr>
        <w:pStyle w:val="FootnoteText"/>
        <w:rPr>
          <w:rFonts w:ascii="Calibri Light" w:hAnsi="Calibri Light" w:cs="Calibri Light"/>
          <w:sz w:val="18"/>
          <w:szCs w:val="18"/>
          <w:lang w:val="en-GB"/>
        </w:rPr>
      </w:pPr>
      <w:r w:rsidRPr="00AF0D2D">
        <w:rPr>
          <w:rFonts w:ascii="Calibri Light" w:hAnsi="Calibri Light" w:cs="Calibri Light"/>
          <w:sz w:val="18"/>
          <w:szCs w:val="18"/>
          <w:lang w:val="en-GB"/>
        </w:rPr>
        <w:t>2.4 of the CSO protocol is intended to assess provisions 1.3.(a) and 1.3(e)(ii)</w:t>
      </w:r>
    </w:p>
    <w:p w14:paraId="768E43F1" w14:textId="5F7E3AF5" w:rsidR="001A1618" w:rsidRPr="00AF0D2D" w:rsidRDefault="001A1618" w:rsidP="00640FA1">
      <w:pPr>
        <w:pStyle w:val="FootnoteText"/>
        <w:rPr>
          <w:rFonts w:ascii="Calibri Light" w:hAnsi="Calibri Light" w:cs="Calibri Light"/>
          <w:sz w:val="18"/>
          <w:szCs w:val="18"/>
          <w:lang w:val="en-GB"/>
        </w:rPr>
      </w:pPr>
      <w:r w:rsidRPr="00AF0D2D">
        <w:rPr>
          <w:rFonts w:ascii="Calibri Light" w:hAnsi="Calibri Light" w:cs="Calibri Light"/>
          <w:sz w:val="18"/>
          <w:szCs w:val="18"/>
          <w:lang w:val="en-GB"/>
        </w:rPr>
        <w:t>2.5 of the CSO protocol is intended to assess provision 1.3(d).</w:t>
      </w:r>
    </w:p>
  </w:footnote>
  <w:footnote w:id="35">
    <w:p w14:paraId="1FA895F6" w14:textId="6A5B7E3A" w:rsidR="001A1618" w:rsidRPr="00AF0D2D" w:rsidRDefault="001A1618" w:rsidP="00F76CA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Freedom House (2018) “Freedom in the World 2018: United Kingdom Profile” </w:t>
      </w:r>
      <w:hyperlink r:id="rId30" w:history="1">
        <w:r w:rsidRPr="00AF0D2D">
          <w:rPr>
            <w:rStyle w:val="Hyperlink"/>
            <w:rFonts w:ascii="Calibri Light" w:hAnsi="Calibri Light" w:cs="Calibri Light"/>
            <w:sz w:val="18"/>
            <w:szCs w:val="18"/>
            <w:lang w:val="en-GB"/>
          </w:rPr>
          <w:t>https://freedomhouse.org/report/freedom-world/2018/united-kingdom</w:t>
        </w:r>
      </w:hyperlink>
      <w:r w:rsidRPr="00AF0D2D">
        <w:rPr>
          <w:rFonts w:ascii="Calibri Light" w:hAnsi="Calibri Light" w:cs="Calibri Light"/>
          <w:sz w:val="18"/>
          <w:szCs w:val="18"/>
          <w:lang w:val="en-GB"/>
        </w:rPr>
        <w:t xml:space="preserve"> </w:t>
      </w:r>
    </w:p>
  </w:footnote>
  <w:footnote w:id="36">
    <w:p w14:paraId="04B74046" w14:textId="67DDD0E9" w:rsidR="001A1618" w:rsidRPr="00AF0D2D" w:rsidRDefault="001A1618" w:rsidP="004E3CEE">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Freedom House (2017) “Freedom of the Press 2017: United Kingdom Profile” </w:t>
      </w:r>
      <w:hyperlink r:id="rId31" w:history="1">
        <w:r w:rsidRPr="00AF0D2D">
          <w:rPr>
            <w:rStyle w:val="Hyperlink"/>
            <w:rFonts w:ascii="Calibri Light" w:hAnsi="Calibri Light" w:cs="Calibri Light"/>
            <w:sz w:val="18"/>
            <w:szCs w:val="18"/>
            <w:lang w:val="en-GB"/>
          </w:rPr>
          <w:t>https://freedomhouse.org/report/freedom-press/2017/united-kingdom</w:t>
        </w:r>
      </w:hyperlink>
      <w:r w:rsidRPr="00AF0D2D">
        <w:rPr>
          <w:rFonts w:ascii="Calibri Light" w:hAnsi="Calibri Light" w:cs="Calibri Light"/>
          <w:sz w:val="18"/>
          <w:szCs w:val="18"/>
          <w:lang w:val="en-GB"/>
        </w:rPr>
        <w:t xml:space="preserve"> </w:t>
      </w:r>
    </w:p>
  </w:footnote>
  <w:footnote w:id="37">
    <w:p w14:paraId="55DD8F12" w14:textId="3190A769"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 Government (2018) “Civil Society Strategy: building a future that works for everyone”. </w:t>
      </w:r>
      <w:hyperlink r:id="rId32" w:history="1">
        <w:r w:rsidRPr="00AF0D2D">
          <w:rPr>
            <w:rStyle w:val="Hyperlink"/>
            <w:rFonts w:ascii="Calibri Light" w:hAnsi="Calibri Light" w:cs="Calibri Light"/>
            <w:sz w:val="18"/>
            <w:szCs w:val="18"/>
            <w:lang w:val="en-GB"/>
          </w:rPr>
          <w:t>https://www.gov.uk/government/publications/civil-society-strategy-building-a-future-that-works-for-everyone</w:t>
        </w:r>
      </w:hyperlink>
      <w:r w:rsidRPr="00AF0D2D">
        <w:rPr>
          <w:rFonts w:ascii="Calibri Light" w:hAnsi="Calibri Light" w:cs="Calibri Light"/>
          <w:sz w:val="18"/>
          <w:szCs w:val="18"/>
          <w:lang w:val="en-GB"/>
        </w:rPr>
        <w:t xml:space="preserve"> </w:t>
      </w:r>
    </w:p>
  </w:footnote>
  <w:footnote w:id="38">
    <w:p w14:paraId="47EA007C" w14:textId="364B802A"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Ib id</w:t>
      </w:r>
    </w:p>
  </w:footnote>
  <w:footnote w:id="39">
    <w:p w14:paraId="6C09DFA5" w14:textId="2F3308E6"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 Government (2018) “Human Rights Act 1998” </w:t>
      </w:r>
      <w:hyperlink r:id="rId33" w:history="1">
        <w:r w:rsidRPr="00AF0D2D">
          <w:rPr>
            <w:rStyle w:val="Hyperlink"/>
            <w:rFonts w:ascii="Calibri Light" w:hAnsi="Calibri Light" w:cs="Calibri Light"/>
            <w:sz w:val="18"/>
            <w:szCs w:val="18"/>
            <w:lang w:val="en-GB"/>
          </w:rPr>
          <w:t>https://www.legislation.gov.uk/ukpga/1998/42/schedule/1/part/I/chapter/9</w:t>
        </w:r>
      </w:hyperlink>
      <w:r w:rsidRPr="00AF0D2D">
        <w:rPr>
          <w:rFonts w:ascii="Calibri Light" w:hAnsi="Calibri Light" w:cs="Calibri Light"/>
          <w:sz w:val="18"/>
          <w:szCs w:val="18"/>
          <w:lang w:val="en-GB"/>
        </w:rPr>
        <w:t xml:space="preserve"> </w:t>
      </w:r>
    </w:p>
  </w:footnote>
  <w:footnote w:id="40">
    <w:p w14:paraId="3A6B49E6" w14:textId="658E6046"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Ib id</w:t>
      </w:r>
    </w:p>
  </w:footnote>
  <w:footnote w:id="41">
    <w:p w14:paraId="5AC8F44C" w14:textId="2A78C6A8"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Ib id</w:t>
      </w:r>
    </w:p>
  </w:footnote>
  <w:footnote w:id="42">
    <w:p w14:paraId="6D57518B" w14:textId="5111168F"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Sheila McKechnie Foundation (2018) “Campaigner Survey 2018” </w:t>
      </w:r>
      <w:hyperlink r:id="rId34" w:history="1">
        <w:r w:rsidRPr="00AF0D2D">
          <w:rPr>
            <w:rStyle w:val="Hyperlink"/>
            <w:rFonts w:ascii="Calibri Light" w:hAnsi="Calibri Light" w:cs="Calibri Light"/>
            <w:sz w:val="18"/>
            <w:szCs w:val="18"/>
            <w:lang w:val="en-GB"/>
          </w:rPr>
          <w:t>https://smk.org.uk/campaigner-survey/</w:t>
        </w:r>
      </w:hyperlink>
      <w:r w:rsidRPr="00AF0D2D">
        <w:rPr>
          <w:rFonts w:ascii="Calibri Light" w:hAnsi="Calibri Light" w:cs="Calibri Light"/>
          <w:sz w:val="18"/>
          <w:szCs w:val="18"/>
          <w:lang w:val="en-GB"/>
        </w:rPr>
        <w:t xml:space="preserve"> </w:t>
      </w:r>
    </w:p>
  </w:footnote>
  <w:footnote w:id="43">
    <w:p w14:paraId="7627D5F1" w14:textId="328850AE" w:rsidR="001A1618" w:rsidRPr="00AF0D2D" w:rsidRDefault="001A1618" w:rsidP="00D0657A">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 Civil Society Almanac (2018) “What is civil society” </w:t>
      </w:r>
      <w:hyperlink r:id="rId35" w:history="1">
        <w:r w:rsidRPr="00AF0D2D">
          <w:rPr>
            <w:rStyle w:val="Hyperlink"/>
            <w:rFonts w:ascii="Calibri Light" w:hAnsi="Calibri Light" w:cs="Calibri Light"/>
            <w:sz w:val="18"/>
            <w:szCs w:val="18"/>
            <w:lang w:val="en-GB"/>
          </w:rPr>
          <w:t>https://data.ncvo.org.uk/a/almanac18/what-is-civil-society-4/</w:t>
        </w:r>
      </w:hyperlink>
      <w:r w:rsidRPr="00AF0D2D">
        <w:rPr>
          <w:rFonts w:ascii="Calibri Light" w:hAnsi="Calibri Light" w:cs="Calibri Light"/>
          <w:sz w:val="18"/>
          <w:szCs w:val="18"/>
          <w:lang w:val="en-GB"/>
        </w:rPr>
        <w:t xml:space="preserve"> </w:t>
      </w:r>
    </w:p>
  </w:footnote>
  <w:footnote w:id="44">
    <w:p w14:paraId="7DD33728" w14:textId="563A062F"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Ib id</w:t>
      </w:r>
    </w:p>
  </w:footnote>
  <w:footnote w:id="45">
    <w:p w14:paraId="13B849D5" w14:textId="48C44D49" w:rsidR="001A1618" w:rsidRPr="00AF0D2D" w:rsidRDefault="001A1618" w:rsidP="00E572E6">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Ib id </w:t>
      </w:r>
    </w:p>
  </w:footnote>
  <w:footnote w:id="46">
    <w:p w14:paraId="67F1335C" w14:textId="77777777" w:rsidR="001A1618" w:rsidRPr="00AF0D2D" w:rsidRDefault="001A1618" w:rsidP="00F208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CSN (2018) “UK EITI Civil Society Network Membership Principles and list of full member organisations” </w:t>
      </w:r>
      <w:hyperlink r:id="rId36" w:history="1">
        <w:r w:rsidRPr="00AF0D2D">
          <w:rPr>
            <w:rStyle w:val="Hyperlink"/>
            <w:rFonts w:ascii="Calibri Light" w:hAnsi="Calibri Light" w:cs="Calibri Light"/>
            <w:sz w:val="18"/>
            <w:szCs w:val="18"/>
            <w:lang w:val="en-GB"/>
          </w:rPr>
          <w:t>http://www.publishwhatyoupay.org/wp-content/uploads/2018/03/UK-EITI-CSN-Membership-Principles-member-list-Mar18.pdf</w:t>
        </w:r>
      </w:hyperlink>
      <w:r w:rsidRPr="00AF0D2D">
        <w:rPr>
          <w:rFonts w:ascii="Calibri Light" w:hAnsi="Calibri Light" w:cs="Calibri Light"/>
          <w:sz w:val="18"/>
          <w:szCs w:val="18"/>
          <w:lang w:val="en-GB"/>
        </w:rPr>
        <w:t xml:space="preserve"> </w:t>
      </w:r>
    </w:p>
  </w:footnote>
  <w:footnote w:id="47">
    <w:p w14:paraId="1E8EFFE0" w14:textId="5167E3DD" w:rsidR="001A1618" w:rsidRPr="00AF0D2D" w:rsidRDefault="001A1618" w:rsidP="00F208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w:t>
      </w:r>
      <w:hyperlink r:id="rId37" w:history="1">
        <w:r w:rsidRPr="00AF0D2D">
          <w:rPr>
            <w:rStyle w:val="Hyperlink"/>
            <w:rFonts w:ascii="Calibri Light" w:hAnsi="Calibri Light" w:cs="Calibri Light"/>
            <w:sz w:val="18"/>
            <w:szCs w:val="18"/>
            <w:lang w:val="en-GB"/>
          </w:rPr>
          <w:t>https://www.publishwhatyoupay.org/pwyp-news/civil-society-organisations-withdraw-from-uk-eiti/</w:t>
        </w:r>
      </w:hyperlink>
      <w:r w:rsidRPr="00AF0D2D">
        <w:rPr>
          <w:rFonts w:ascii="Calibri Light" w:hAnsi="Calibri Light" w:cs="Calibri Light"/>
          <w:sz w:val="18"/>
          <w:szCs w:val="18"/>
          <w:lang w:val="en-GB"/>
        </w:rPr>
        <w:t xml:space="preserve"> </w:t>
      </w:r>
    </w:p>
  </w:footnote>
  <w:footnote w:id="48">
    <w:p w14:paraId="4203F4A8" w14:textId="77CBFC93" w:rsidR="001A1618" w:rsidRPr="00AF0D2D" w:rsidRDefault="001A1618" w:rsidP="000821C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For example, in September 2018 – PWYP UK published “Comparing UK EITI and Mandatory Payments to Governments Data for 2016”, compares data released via the UK Extractive Industries Transparency Initiative (EITI) with payments disclosed under UK and other European Union member state regulations implementing the EU Accounting and Transparency Directives’ country-by-country reporting requirements for extractive companies. </w:t>
      </w:r>
      <w:hyperlink r:id="rId38" w:history="1">
        <w:r w:rsidRPr="00AF0D2D">
          <w:rPr>
            <w:rStyle w:val="Hyperlink"/>
            <w:rFonts w:ascii="Calibri Light" w:hAnsi="Calibri Light" w:cs="Calibri Light"/>
            <w:sz w:val="18"/>
            <w:szCs w:val="18"/>
            <w:lang w:val="en-GB"/>
          </w:rPr>
          <w:t>https://www.pwyp.org/wp-content/uploads/2018/09/Comparing-UK-EITI-mandatory-data-assessment-report-PWYP-UK-Sept18.pdf</w:t>
        </w:r>
      </w:hyperlink>
      <w:r w:rsidRPr="00AF0D2D">
        <w:rPr>
          <w:rFonts w:ascii="Calibri Light" w:hAnsi="Calibri Light" w:cs="Calibri Light"/>
          <w:sz w:val="18"/>
          <w:szCs w:val="18"/>
          <w:lang w:val="en-GB"/>
        </w:rPr>
        <w:t xml:space="preserve"> </w:t>
      </w:r>
    </w:p>
  </w:footnote>
  <w:footnote w:id="49">
    <w:p w14:paraId="547B3D54" w14:textId="05B51879" w:rsidR="001A1618" w:rsidRPr="00AF0D2D" w:rsidRDefault="001A1618" w:rsidP="00BF2762">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Martin Brown (2017) “PWYP walks out of UK EITI (again)” </w:t>
      </w:r>
      <w:hyperlink r:id="rId39" w:history="1">
        <w:r w:rsidRPr="00AF0D2D">
          <w:rPr>
            <w:rStyle w:val="Hyperlink"/>
            <w:rFonts w:ascii="Calibri Light" w:hAnsi="Calibri Light" w:cs="Calibri Light"/>
            <w:sz w:val="18"/>
            <w:szCs w:val="18"/>
            <w:lang w:val="en-GB"/>
          </w:rPr>
          <w:t>http://goxi.org/profiles/blogs/pwyp-walks-out-of-ukeiti-again</w:t>
        </w:r>
      </w:hyperlink>
      <w:r w:rsidRPr="00AF0D2D">
        <w:rPr>
          <w:rStyle w:val="Hyperlink"/>
          <w:rFonts w:ascii="Calibri Light" w:hAnsi="Calibri Light" w:cs="Calibri Light"/>
          <w:sz w:val="18"/>
          <w:szCs w:val="18"/>
          <w:lang w:val="en-GB"/>
        </w:rPr>
        <w:t xml:space="preserve">. </w:t>
      </w:r>
      <w:r w:rsidRPr="00AF0D2D">
        <w:rPr>
          <w:rFonts w:ascii="Calibri Light" w:hAnsi="Calibri Light" w:cs="Calibri Light"/>
          <w:sz w:val="18"/>
          <w:szCs w:val="18"/>
          <w:lang w:val="en-GB"/>
        </w:rPr>
        <w:t xml:space="preserve">See also Eric Joyce (2017) “UK EITI MSG - working to become less male, less white, less dominated by big corporate NGO interests: simply fairer” </w:t>
      </w:r>
      <w:hyperlink r:id="rId40" w:history="1">
        <w:r w:rsidRPr="00AF0D2D">
          <w:rPr>
            <w:rStyle w:val="Hyperlink"/>
            <w:rFonts w:ascii="Calibri Light" w:hAnsi="Calibri Light" w:cs="Calibri Light"/>
            <w:sz w:val="18"/>
            <w:szCs w:val="18"/>
            <w:lang w:val="en-GB"/>
          </w:rPr>
          <w:t>http://goxi.org/profiles/blogs/uk-eiti-msg-working-to-become-less-male-less-white-less-dominated</w:t>
        </w:r>
      </w:hyperlink>
      <w:r w:rsidRPr="00AF0D2D">
        <w:rPr>
          <w:rFonts w:ascii="Calibri Light" w:hAnsi="Calibri Light" w:cs="Calibri Light"/>
          <w:sz w:val="18"/>
          <w:szCs w:val="18"/>
          <w:lang w:val="en-GB"/>
        </w:rPr>
        <w:t xml:space="preserve"> </w:t>
      </w:r>
    </w:p>
  </w:footnote>
  <w:footnote w:id="50">
    <w:p w14:paraId="46BCD5C9" w14:textId="77777777" w:rsidR="001A1618" w:rsidRPr="00AF0D2D" w:rsidRDefault="001A1618" w:rsidP="006E3AD1">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 EITI (2014) “EITI Candidature Application Form” </w:t>
      </w:r>
      <w:hyperlink r:id="rId41" w:history="1">
        <w:r w:rsidRPr="00AF0D2D">
          <w:rPr>
            <w:rStyle w:val="Hyperlink"/>
            <w:rFonts w:ascii="Calibri Light" w:hAnsi="Calibri Light" w:cs="Calibri Light"/>
            <w:sz w:val="18"/>
            <w:szCs w:val="18"/>
            <w:lang w:val="en-GB"/>
          </w:rPr>
          <w:t>https://assets.publishing.service.gov.uk/government/uploads/system/uploads/attachment_data/file/341528/EITI-candidature-application-form.pdf</w:t>
        </w:r>
      </w:hyperlink>
      <w:r w:rsidRPr="00AF0D2D">
        <w:rPr>
          <w:rFonts w:ascii="Calibri Light" w:hAnsi="Calibri Light" w:cs="Calibri Light"/>
          <w:sz w:val="18"/>
          <w:szCs w:val="18"/>
          <w:lang w:val="en-GB"/>
        </w:rPr>
        <w:t xml:space="preserve"> </w:t>
      </w:r>
    </w:p>
  </w:footnote>
  <w:footnote w:id="51">
    <w:p w14:paraId="77DD4970" w14:textId="1D880756"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 EUTI (2018) “Validation self assessment exercise”. </w:t>
      </w:r>
      <w:hyperlink r:id="rId42" w:history="1">
        <w:r w:rsidRPr="00AF0D2D">
          <w:rPr>
            <w:rStyle w:val="Hyperlink"/>
            <w:rFonts w:ascii="Calibri Light" w:hAnsi="Calibri Light" w:cs="Calibri Light"/>
            <w:sz w:val="18"/>
            <w:szCs w:val="18"/>
            <w:lang w:val="en-GB"/>
          </w:rPr>
          <w:t>https://assets.publishing.service.gov.uk/government/uploads/system/uploads/attachment_data/file/720920/eiti-msg-minutes-may-2018.pdf</w:t>
        </w:r>
      </w:hyperlink>
      <w:r w:rsidRPr="00AF0D2D">
        <w:rPr>
          <w:rFonts w:ascii="Calibri Light" w:hAnsi="Calibri Light" w:cs="Calibri Light"/>
          <w:sz w:val="18"/>
          <w:szCs w:val="18"/>
          <w:lang w:val="en-GB"/>
        </w:rPr>
        <w:t xml:space="preserve"> </w:t>
      </w:r>
    </w:p>
  </w:footnote>
  <w:footnote w:id="52">
    <w:p w14:paraId="0E2C9D32" w14:textId="0C3833F4" w:rsidR="001A1618" w:rsidRPr="00AF0D2D" w:rsidRDefault="001A1618" w:rsidP="00D04F22">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 EITI (2018) Terms of reference for the EITI Multi-Stakeholder Group define the scope and function of the group. </w:t>
      </w:r>
      <w:hyperlink r:id="rId43" w:history="1">
        <w:r w:rsidRPr="00AF0D2D">
          <w:rPr>
            <w:rStyle w:val="Hyperlink"/>
            <w:rFonts w:ascii="Calibri Light" w:hAnsi="Calibri Light" w:cs="Calibri Light"/>
            <w:sz w:val="18"/>
            <w:szCs w:val="18"/>
            <w:lang w:val="en-GB"/>
          </w:rPr>
          <w:t>https://assets.publishing.service.gov.uk/government/uploads/system/uploads/attachment_data/file/451326/Terms_of_Reference_for_the_UK_EITI_Multi_Stakeholder_Group_v5.pdf</w:t>
        </w:r>
      </w:hyperlink>
      <w:r w:rsidRPr="00AF0D2D">
        <w:rPr>
          <w:rFonts w:ascii="Calibri Light" w:hAnsi="Calibri Light" w:cs="Calibri Light"/>
          <w:sz w:val="18"/>
          <w:szCs w:val="18"/>
          <w:lang w:val="en-GB"/>
        </w:rPr>
        <w:t xml:space="preserve"> </w:t>
      </w:r>
    </w:p>
  </w:footnote>
  <w:footnote w:id="53">
    <w:p w14:paraId="4C54AABE" w14:textId="4047E461"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 EITI (2018) “Minutes” </w:t>
      </w:r>
      <w:hyperlink r:id="rId44" w:anchor="minutes" w:history="1">
        <w:r w:rsidRPr="00AF0D2D">
          <w:rPr>
            <w:rStyle w:val="Hyperlink"/>
            <w:rFonts w:ascii="Calibri Light" w:hAnsi="Calibri Light" w:cs="Calibri Light"/>
            <w:sz w:val="18"/>
            <w:szCs w:val="18"/>
            <w:lang w:val="en-GB"/>
          </w:rPr>
          <w:t>https://www.gov.uk/government/groups/uk-extractive-industries-transparency-initiative-multi-stakeholder-group#minutes</w:t>
        </w:r>
      </w:hyperlink>
      <w:r w:rsidRPr="00AF0D2D">
        <w:rPr>
          <w:rFonts w:ascii="Calibri Light" w:hAnsi="Calibri Light" w:cs="Calibri Light"/>
          <w:sz w:val="18"/>
          <w:szCs w:val="18"/>
          <w:lang w:val="en-GB"/>
        </w:rPr>
        <w:t xml:space="preserve"> </w:t>
      </w:r>
    </w:p>
  </w:footnote>
  <w:footnote w:id="54">
    <w:p w14:paraId="05CE8417" w14:textId="77777777" w:rsidR="001A1618" w:rsidRPr="00AF0D2D" w:rsidRDefault="001A1618" w:rsidP="00DA431E">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CBI (2018) Selection of Civil Society Representatives on the International EITI Board (2019-2022)  </w:t>
      </w:r>
      <w:hyperlink r:id="rId45" w:history="1">
        <w:r w:rsidRPr="00AF0D2D">
          <w:rPr>
            <w:rStyle w:val="Hyperlink"/>
            <w:rFonts w:ascii="Calibri Light" w:hAnsi="Calibri Light" w:cs="Calibri Light"/>
            <w:sz w:val="18"/>
            <w:szCs w:val="18"/>
            <w:lang w:val="en-GB"/>
          </w:rPr>
          <w:t>https://www.cbi.org/project/eiti-board-cso/</w:t>
        </w:r>
      </w:hyperlink>
      <w:r w:rsidRPr="00AF0D2D">
        <w:rPr>
          <w:rFonts w:ascii="Calibri Light" w:hAnsi="Calibri Light" w:cs="Calibri Light"/>
          <w:sz w:val="18"/>
          <w:szCs w:val="18"/>
          <w:lang w:val="en-GB"/>
        </w:rPr>
        <w:t xml:space="preserve"> </w:t>
      </w:r>
    </w:p>
  </w:footnote>
  <w:footnote w:id="55">
    <w:p w14:paraId="1D0157B5" w14:textId="27144535"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 EITI (2015) “UK updated work plan: June 2015” </w:t>
      </w:r>
      <w:hyperlink r:id="rId46" w:history="1">
        <w:r w:rsidRPr="00AF0D2D">
          <w:rPr>
            <w:rStyle w:val="Hyperlink"/>
            <w:rFonts w:ascii="Calibri Light" w:hAnsi="Calibri Light" w:cs="Calibri Light"/>
            <w:sz w:val="18"/>
            <w:szCs w:val="18"/>
            <w:lang w:val="en-GB"/>
          </w:rPr>
          <w:t>https://assets.publishing.service.gov.uk/government/uploads/system/uploads/attachment_data/file/438682/Updated_UK_EITI_Work_plan-June_2015.xlsx</w:t>
        </w:r>
      </w:hyperlink>
      <w:r w:rsidRPr="00AF0D2D">
        <w:rPr>
          <w:rFonts w:ascii="Calibri Light" w:hAnsi="Calibri Light" w:cs="Calibri Light"/>
          <w:sz w:val="18"/>
          <w:szCs w:val="18"/>
          <w:lang w:val="en-GB"/>
        </w:rPr>
        <w:t xml:space="preserve"> </w:t>
      </w:r>
    </w:p>
  </w:footnote>
  <w:footnote w:id="56">
    <w:p w14:paraId="4E6E5759" w14:textId="3C8804BD"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 EITI (2018) “UK updated work plan: June 2018” </w:t>
      </w:r>
      <w:hyperlink r:id="rId47" w:history="1">
        <w:r w:rsidRPr="00AF0D2D">
          <w:rPr>
            <w:rStyle w:val="Hyperlink"/>
            <w:rFonts w:ascii="Calibri Light" w:hAnsi="Calibri Light" w:cs="Calibri Light"/>
            <w:sz w:val="18"/>
            <w:szCs w:val="18"/>
            <w:lang w:val="en-GB"/>
          </w:rPr>
          <w:t>https://assets.publishing.service.gov.uk/government/uploads/system/uploads/attachment_data/file/720921/uk-eiti-workplan-2018.xlsx</w:t>
        </w:r>
      </w:hyperlink>
      <w:r w:rsidRPr="00AF0D2D">
        <w:rPr>
          <w:rFonts w:ascii="Calibri Light" w:hAnsi="Calibri Light" w:cs="Calibri Light"/>
          <w:sz w:val="18"/>
          <w:szCs w:val="18"/>
          <w:lang w:val="en-GB"/>
        </w:rPr>
        <w:t xml:space="preserve"> </w:t>
      </w:r>
    </w:p>
  </w:footnote>
  <w:footnote w:id="57">
    <w:p w14:paraId="79E4EB0E" w14:textId="3E9584F6"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1998 Petroleum Act, accessed </w:t>
      </w:r>
      <w:hyperlink r:id="rId48"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58">
    <w:p w14:paraId="1C8E0F07" w14:textId="73379964"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1964 Petroleum (Production) Act (Northern Ireland), accessed </w:t>
      </w:r>
      <w:hyperlink r:id="rId49"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59">
    <w:p w14:paraId="2D7D97B3" w14:textId="10A029DE"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1969 Mineral Development Act (Northern Ireland), accessed </w:t>
      </w:r>
      <w:hyperlink r:id="rId50"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60">
    <w:p w14:paraId="7D69892D" w14:textId="39B33D77"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Oil and Gas Authority website, Overview section, accessed </w:t>
      </w:r>
      <w:hyperlink r:id="rId51"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61">
    <w:p w14:paraId="400126ED" w14:textId="22B57069"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British Geological Survey, Legislation &amp; policy section, accessed </w:t>
      </w:r>
      <w:hyperlink r:id="rId52"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w:t>
      </w:r>
    </w:p>
  </w:footnote>
  <w:footnote w:id="62">
    <w:p w14:paraId="45C81AB8" w14:textId="7C0BDCD7"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Department for Communities and Local Government (DCLG), 2012 National Planning Policy Framework (England), accessed </w:t>
      </w:r>
      <w:hyperlink r:id="rId53"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63">
    <w:p w14:paraId="3A63E5BD" w14:textId="30A59D67"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Welsh Government, Planning Policy Wales, accessed </w:t>
      </w:r>
      <w:hyperlink r:id="rId54"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64">
    <w:p w14:paraId="0E5A4A73" w14:textId="24B64943"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Scottish Government, National Planning Framework for Scotland 3, accessed </w:t>
      </w:r>
      <w:hyperlink r:id="rId55"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65">
    <w:p w14:paraId="17F504DE" w14:textId="29A1C711"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Northern Ireland Department of the Environment, ‘Strategic Planning Policy Statement for Northern Ireland’, accessed </w:t>
      </w:r>
      <w:hyperlink r:id="rId56"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and ‘Planning Strategy for Rural Northern Ireland’, accessed </w:t>
      </w:r>
      <w:hyperlink r:id="rId57"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66">
    <w:p w14:paraId="513A7A31" w14:textId="656033F7"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Northern Ireland Department of Infrastructure, Planning section, accessed </w:t>
      </w:r>
      <w:hyperlink r:id="rId58"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67">
    <w:p w14:paraId="5664E39F" w14:textId="725928B7" w:rsidR="001A1618" w:rsidRPr="00AF0D2D" w:rsidRDefault="001A1618" w:rsidP="00203E0F">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All page numbers used in the full text of this initial assessment refer to UK EITI (April 2018), UK EITI Report for 2016, accessed </w:t>
      </w:r>
      <w:hyperlink r:id="rId59"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w:t>
      </w:r>
    </w:p>
  </w:footnote>
  <w:footnote w:id="68">
    <w:p w14:paraId="1223AB3F" w14:textId="62A18902"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Oil and Gas Authority website, About us section, accessed </w:t>
      </w:r>
      <w:hyperlink r:id="rId60"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69">
    <w:p w14:paraId="3AED5203" w14:textId="49AE29D7"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Northern Ireland Department for the Economy website, Minerals and Petroleum section, accessed </w:t>
      </w:r>
      <w:hyperlink r:id="rId61"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70">
    <w:p w14:paraId="7E237A8C" w14:textId="412DEEAB"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British Geological Survey website, About us section, accessed </w:t>
      </w:r>
      <w:hyperlink r:id="rId62"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71">
    <w:p w14:paraId="3CCE623B" w14:textId="3E091AEF"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Coal Authority website, About our services section, accessed </w:t>
      </w:r>
      <w:hyperlink r:id="rId63"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72">
    <w:p w14:paraId="05A1F3A8" w14:textId="2AF86514"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Crown Estate website, Our business section, accessed </w:t>
      </w:r>
      <w:hyperlink r:id="rId64"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73">
    <w:p w14:paraId="4E154A56" w14:textId="092596F2"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Northern Ireland Department of Infrastructure website, Planning section, op.cit..</w:t>
      </w:r>
    </w:p>
  </w:footnote>
  <w:footnote w:id="74">
    <w:p w14:paraId="6B366F3F" w14:textId="30DAC4E5"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Northern Ireland Department for the Economy website, Minerals and Petroleum section, op.cit..</w:t>
      </w:r>
    </w:p>
  </w:footnote>
  <w:footnote w:id="75">
    <w:p w14:paraId="7E584527" w14:textId="0A4F8245"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Scottish Government website, Planning and Architecture section, accessed </w:t>
      </w:r>
      <w:hyperlink r:id="rId65"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76">
    <w:p w14:paraId="3F31EA55" w14:textId="3A223CBB"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Welsh Government website, Planning policy and guidance section, accessed </w:t>
      </w:r>
      <w:hyperlink r:id="rId66"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77">
    <w:p w14:paraId="6B91442B" w14:textId="3C40A00B"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1975 Oil Taxation Act, accessed </w:t>
      </w:r>
      <w:hyperlink r:id="rId67"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78">
    <w:p w14:paraId="013DBBEE" w14:textId="610C9E4B"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1993 Finance Act, accessed </w:t>
      </w:r>
      <w:hyperlink r:id="rId68"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79">
    <w:p w14:paraId="2E4A0E01" w14:textId="327486DF"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2016 UK Budget, accessed </w:t>
      </w:r>
      <w:hyperlink r:id="rId69"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80">
    <w:p w14:paraId="1F33DBE8" w14:textId="4BF69653"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Gov.uk, ‘Oil and gas finance and taxation’, accessed </w:t>
      </w:r>
      <w:hyperlink r:id="rId70"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81">
    <w:p w14:paraId="10DB1E45" w14:textId="58616ABB"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Gov.uk, ‘Rates and allowances: Corporation Tax’, accessed </w:t>
      </w:r>
      <w:hyperlink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82">
    <w:p w14:paraId="5D43409B" w14:textId="77777777" w:rsidR="001A1618" w:rsidRPr="00AF0D2D" w:rsidRDefault="001A1618" w:rsidP="00D11D73">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Coal Authority website, Licensing charges section, accessed </w:t>
      </w:r>
      <w:hyperlink r:id="rId71" w:anchor="licensing-charges"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83">
    <w:p w14:paraId="41053126" w14:textId="61890A38" w:rsidR="001A1618" w:rsidRPr="00AF0D2D" w:rsidRDefault="001A1618" w:rsidP="00227FB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Northern Ireland Department for the Economy website, Minerals and Petroleum section, op.cit..</w:t>
      </w:r>
    </w:p>
  </w:footnote>
  <w:footnote w:id="84">
    <w:p w14:paraId="7F3B4CBA" w14:textId="72BCDCA0" w:rsidR="001A1618" w:rsidRPr="00AF0D2D" w:rsidRDefault="001A1618" w:rsidP="00227FB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Scottish Government website, Planning and Architecture section, op.cit..</w:t>
      </w:r>
    </w:p>
  </w:footnote>
  <w:footnote w:id="85">
    <w:p w14:paraId="20FB782E" w14:textId="77777777" w:rsidR="001A1618" w:rsidRPr="00AF0D2D" w:rsidRDefault="001A1618" w:rsidP="00227FB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Welsh Government website, Planning policy and guidance section, accessed </w:t>
      </w:r>
      <w:hyperlink r:id="rId72"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86">
    <w:p w14:paraId="435600E1" w14:textId="15D7CFA1"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Her Majesty’s Revenue and Customs (HMRC) annual reports and accounts, accessed </w:t>
      </w:r>
      <w:hyperlink r:id="rId73"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87">
    <w:p w14:paraId="540AFED9" w14:textId="15AE93DC" w:rsidR="001A1618" w:rsidRPr="00AF0D2D" w:rsidRDefault="001A1618" w:rsidP="00EE4D36">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See for instance HM Treasury (December 2014), ‘Driving investment: a plan to reform the oil and gas fiscal regime’, accessed </w:t>
      </w:r>
      <w:hyperlink r:id="rId74"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88">
    <w:p w14:paraId="3C7D9BC8" w14:textId="4AEFEF72"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See for instance HM Treasury (November 2016), ‘Autumn Statement 2016’, accessed </w:t>
      </w:r>
      <w:hyperlink r:id="rId75"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89">
    <w:p w14:paraId="394EF858" w14:textId="22840FF1"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See for instance UK Parliament, Written questions and answers section, accessed </w:t>
      </w:r>
      <w:hyperlink r:id="rId76"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90">
    <w:p w14:paraId="73F955C3" w14:textId="6B170232"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Oil and Gas Authority website, ‘Regulatory framework’ section, accessed </w:t>
      </w:r>
      <w:hyperlink r:id="rId77"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w:t>
      </w:r>
    </w:p>
  </w:footnote>
  <w:footnote w:id="91">
    <w:p w14:paraId="0A1F6E38" w14:textId="4F06E63C"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Coal Authority website, ‘Latest documents by organisation’, accessed </w:t>
      </w:r>
      <w:hyperlink r:id="rId78"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92">
    <w:p w14:paraId="1C15B43F" w14:textId="0D1D2035"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Crown Estate website, Minerals and Dredging section, accessed </w:t>
      </w:r>
      <w:hyperlink r:id="rId79"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93">
    <w:p w14:paraId="60D6FD00" w14:textId="49C3DF3E"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Oil and Gas Authority website, License data section, accessed </w:t>
      </w:r>
      <w:hyperlink r:id="rId80"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94">
    <w:p w14:paraId="3EBC8A0F" w14:textId="7110BB23"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Oil and Gas Authority website, Licensee criteria section, accessed </w:t>
      </w:r>
      <w:hyperlink r:id="rId81"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95">
    <w:p w14:paraId="2E21E78A" w14:textId="3D9649F0"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Oil and Gas Authority website, ‘Dates of previous and indicative timings for future licence rounds’, accessed </w:t>
      </w:r>
      <w:hyperlink r:id="rId82" w:anchor="tabs"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96">
    <w:p w14:paraId="2BF2202B" w14:textId="1CD2866E"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Northern Ireland Department for the Economy website, Petroleum licensing section, accessed </w:t>
      </w:r>
      <w:hyperlink r:id="rId83"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97">
    <w:p w14:paraId="59ED1328" w14:textId="24E48ECF"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E.g. publication of bid documents or evaluations. </w:t>
      </w:r>
    </w:p>
  </w:footnote>
  <w:footnote w:id="98">
    <w:p w14:paraId="734E86D0" w14:textId="02FBC399"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sand, hard rock, dimension stone and slate. </w:t>
      </w:r>
    </w:p>
  </w:footnote>
  <w:footnote w:id="99">
    <w:p w14:paraId="2EAFA64D" w14:textId="209347B4"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out to the 200 nautical mile limit. </w:t>
      </w:r>
    </w:p>
  </w:footnote>
  <w:footnote w:id="100">
    <w:p w14:paraId="7496AD0A" w14:textId="6C927FB1" w:rsidR="001A1618" w:rsidRPr="00AF0D2D" w:rsidRDefault="001A1618" w:rsidP="0002658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Oil and Gas Authority website, License data section, op.cit. </w:t>
      </w:r>
    </w:p>
  </w:footnote>
  <w:footnote w:id="101">
    <w:p w14:paraId="53794BDF" w14:textId="6939649F" w:rsidR="001A1618" w:rsidRPr="00AF0D2D" w:rsidRDefault="001A1618" w:rsidP="0002658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Oil and Gas Authority website, Licensee criteria section, op.cit.</w:t>
      </w:r>
    </w:p>
  </w:footnote>
  <w:footnote w:id="102">
    <w:p w14:paraId="6F6091EF" w14:textId="4275AF3D" w:rsidR="001A1618" w:rsidRPr="00AF0D2D" w:rsidRDefault="001A1618" w:rsidP="0002658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Oil and Gas Authority website, ‘Dates of previous and indicative timings for future licence rounds’, op.cit.</w:t>
      </w:r>
    </w:p>
  </w:footnote>
  <w:footnote w:id="103">
    <w:p w14:paraId="66CB7B8D" w14:textId="5A1FD905" w:rsidR="001A1618" w:rsidRPr="00AF0D2D" w:rsidRDefault="001A1618" w:rsidP="0002658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Northern Ireland Department for the Economy website, Petroleum licensing section, op.cit.</w:t>
      </w:r>
    </w:p>
  </w:footnote>
  <w:footnote w:id="104">
    <w:p w14:paraId="274FC8A2" w14:textId="77777777" w:rsidR="001A1618" w:rsidRPr="00AF0D2D" w:rsidRDefault="001A1618" w:rsidP="0002658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E.g. publication of bid documents or evaluations. </w:t>
      </w:r>
    </w:p>
  </w:footnote>
  <w:footnote w:id="105">
    <w:p w14:paraId="3AD0C4B8" w14:textId="77777777" w:rsidR="001A1618" w:rsidRPr="00AF0D2D" w:rsidRDefault="001A1618" w:rsidP="0002658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Oil and Gas Authority website, ‘License assignments’, accessed </w:t>
      </w:r>
      <w:hyperlink r:id="rId84"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106">
    <w:p w14:paraId="7617A6D3" w14:textId="0FCB32F3" w:rsidR="001A1618" w:rsidRPr="00AF0D2D" w:rsidRDefault="001A1618" w:rsidP="0002658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Northern Ireland Department for the Economy website, Petroleum licensing section, op.cit.</w:t>
      </w:r>
    </w:p>
  </w:footnote>
  <w:footnote w:id="107">
    <w:p w14:paraId="0467E0A5" w14:textId="77777777" w:rsidR="001A1618" w:rsidRPr="00AF0D2D" w:rsidRDefault="001A1618" w:rsidP="0002658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North Yorkshire County Council, Kirby Misperton fracking operations’, accessed </w:t>
      </w:r>
      <w:hyperlink r:id="rId85"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108">
    <w:p w14:paraId="2021D450" w14:textId="77777777" w:rsidR="001A1618" w:rsidRPr="00AF0D2D" w:rsidRDefault="001A1618" w:rsidP="0002658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Nottinghamshire County Council, ‘Councillors approve planning application for county’s first exploratory shale gas wells’, accessed </w:t>
      </w:r>
      <w:hyperlink r:id="rId86"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109">
    <w:p w14:paraId="4CDAC7A5" w14:textId="77777777" w:rsidR="001A1618" w:rsidRPr="00AF0D2D" w:rsidRDefault="001A1618" w:rsidP="0002658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Official Journal of the European Union (20 June 2014), ‘Announcement of United Kingdom 14th Onshore (Landward) Oil and Gas Licensing Round’, accessed </w:t>
      </w:r>
      <w:hyperlink r:id="rId87"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w:t>
      </w:r>
    </w:p>
  </w:footnote>
  <w:footnote w:id="110">
    <w:p w14:paraId="0029E2D5" w14:textId="77777777" w:rsidR="001A1618" w:rsidRPr="00AF0D2D" w:rsidRDefault="001A1618" w:rsidP="0002658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Oil and Gas Authority website, ‘License assignments’, accessed </w:t>
      </w:r>
      <w:hyperlink r:id="rId88"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w:t>
      </w:r>
    </w:p>
  </w:footnote>
  <w:footnote w:id="111">
    <w:p w14:paraId="61EFA958" w14:textId="77777777" w:rsidR="001A1618" w:rsidRPr="00AF0D2D" w:rsidRDefault="001A1618" w:rsidP="0002658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Oil and Gas Authority website, ‘Licensee criteria’, accessed </w:t>
      </w:r>
      <w:hyperlink r:id="rId89"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w:t>
      </w:r>
    </w:p>
  </w:footnote>
  <w:footnote w:id="112">
    <w:p w14:paraId="202AD5FE" w14:textId="62D6ADB3"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Northern Ireland Department for the Economy website, ‘Appendix A – financial capacity’ accessed </w:t>
      </w:r>
      <w:hyperlink r:id="rId90"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and ‘Appendix B – technical capacity’ accessed </w:t>
      </w:r>
      <w:hyperlink r:id="rId91"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113">
    <w:p w14:paraId="6972C375" w14:textId="628D5465" w:rsidR="001A1618" w:rsidRPr="00AF0D2D" w:rsidRDefault="001A1618" w:rsidP="00F11D19">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Northern Ireland Department for the Economy (June 2010), ‘Guidance for Applicants: Petroleum Licensing in Northern Ireland’, accessed </w:t>
      </w:r>
      <w:hyperlink r:id="rId92"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pp.28-34. </w:t>
      </w:r>
    </w:p>
  </w:footnote>
  <w:footnote w:id="114">
    <w:p w14:paraId="42407601" w14:textId="77777777" w:rsidR="001A1618" w:rsidRPr="00AF0D2D" w:rsidRDefault="001A1618" w:rsidP="0002658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Natural Resources Wales (NRW), Marine Scotland or in Northern Ireland the Department of Agriculture, Environment and Rural Affairs (DAERA).</w:t>
      </w:r>
    </w:p>
  </w:footnote>
  <w:footnote w:id="115">
    <w:p w14:paraId="3DFBCED8" w14:textId="77777777" w:rsidR="001A1618" w:rsidRPr="00AF0D2D" w:rsidRDefault="001A1618" w:rsidP="0002658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Gov.uk, ‘Search for property information from HM Land Registry’, accessed </w:t>
      </w:r>
      <w:hyperlink r:id="rId93"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116">
    <w:p w14:paraId="003AFD14" w14:textId="77777777" w:rsidR="001A1618" w:rsidRPr="00AF0D2D" w:rsidRDefault="001A1618" w:rsidP="0002658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Gov.uk, ‘Guidance: Minerals’, accessed </w:t>
      </w:r>
      <w:hyperlink r:id="rId94"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117">
    <w:p w14:paraId="720B9C1D" w14:textId="77777777" w:rsidR="001A1618" w:rsidRPr="00AF0D2D" w:rsidRDefault="001A1618" w:rsidP="0002658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British Geological Survey website, Legislation &amp; policy: mineral ownership, accessed </w:t>
      </w:r>
      <w:hyperlink r:id="rId95"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118">
    <w:p w14:paraId="7A560E5D" w14:textId="77777777" w:rsidR="001A1618" w:rsidRPr="00AF0D2D" w:rsidRDefault="001A1618" w:rsidP="0002658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Crown Estate website, ‘Minerals and Dredging’, accessed </w:t>
      </w:r>
      <w:hyperlink r:id="rId96"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119">
    <w:p w14:paraId="5271F08F" w14:textId="77777777" w:rsidR="001A1618" w:rsidRPr="00AF0D2D" w:rsidRDefault="001A1618" w:rsidP="0002658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1057.37 sq km in 2017 – (minus) – 934.25 sq km of area in 2016 = 123.12 sq km net of new areas licensed in 2016. See The Crown Estate (2017), ‘The area involved – 19th annual report’, accessed </w:t>
      </w:r>
      <w:hyperlink r:id="rId97"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p.4. And The Crown Estate (2018), ‘The area involved – 20th annual report’, accessed </w:t>
      </w:r>
      <w:hyperlink r:id="rId98"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p.4.</w:t>
      </w:r>
    </w:p>
  </w:footnote>
  <w:footnote w:id="120">
    <w:p w14:paraId="654B4627" w14:textId="03C37FF6"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Marine Management Organisation on Gov.uk, ‘Marine licences’, accessed </w:t>
      </w:r>
      <w:hyperlink r:id="rId99"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121">
    <w:p w14:paraId="574DF633" w14:textId="29947D53" w:rsidR="001A1618" w:rsidRPr="00AF0D2D" w:rsidRDefault="001A1618" w:rsidP="009E54A1">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Marine Management Organisation on Gov.uk, ‘Guidance: Make a marine licence application’, accessed </w:t>
      </w:r>
      <w:hyperlink r:id="rId100"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122">
    <w:p w14:paraId="29CC08E6" w14:textId="63487D6F"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Marine Management Organisation on Gov.uk, ‘Public register of marine licenses’, accessed </w:t>
      </w:r>
      <w:hyperlink r:id="rId101"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123">
    <w:p w14:paraId="7D7692C9" w14:textId="3B26D742"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Natural Resouces Wales, ‘Marine licensing’, accessed </w:t>
      </w:r>
      <w:hyperlink r:id="rId102"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124">
    <w:p w14:paraId="3CB59E51" w14:textId="398C929E"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Scottish Government, Marine Scotland Information, accessed </w:t>
      </w:r>
      <w:hyperlink r:id="rId103"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125">
    <w:p w14:paraId="19A2BFAA" w14:textId="3F79D4E1"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Northern Ireland’s Department of Agriculture, Environment and Rural Affairs (DAERA), ‘Marine licensing’, accessed </w:t>
      </w:r>
      <w:hyperlink r:id="rId104"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126">
    <w:p w14:paraId="78268892" w14:textId="77777777" w:rsidR="001A1618" w:rsidRPr="00AF0D2D" w:rsidRDefault="001A1618" w:rsidP="0002658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Natural Resources Wales (NRW), Marine Scotland or in Northern Ireland the Department of Agriculture, Environment and Rural Affairs (DAERA).</w:t>
      </w:r>
    </w:p>
  </w:footnote>
  <w:footnote w:id="127">
    <w:p w14:paraId="79523515" w14:textId="77777777" w:rsidR="001A1618" w:rsidRPr="00AF0D2D" w:rsidRDefault="001A1618" w:rsidP="0002658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out to the 200 nautical mile limit. </w:t>
      </w:r>
    </w:p>
  </w:footnote>
  <w:footnote w:id="128">
    <w:p w14:paraId="4DFC9EE5" w14:textId="77777777" w:rsidR="001A1618" w:rsidRPr="00AF0D2D" w:rsidRDefault="001A1618" w:rsidP="00C65785">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Crown Estate website, ‘On the land and coast’, accessed </w:t>
      </w:r>
      <w:hyperlink r:id="rId105"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129">
    <w:p w14:paraId="6F68A183" w14:textId="77777777" w:rsidR="001A1618" w:rsidRPr="00AF0D2D" w:rsidRDefault="001A1618" w:rsidP="00C65785">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including for sand, hard rock, dimension stone and slate, on land owned by TCE. </w:t>
      </w:r>
    </w:p>
  </w:footnote>
  <w:footnote w:id="130">
    <w:p w14:paraId="61CB6422" w14:textId="77777777" w:rsidR="001A1618" w:rsidRPr="00AF0D2D" w:rsidRDefault="001A1618" w:rsidP="0002658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Northern Ireland Department for the Economy website, ‘Application for a mining licence’, accessed </w:t>
      </w:r>
      <w:hyperlink r:id="rId106"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131">
    <w:p w14:paraId="52CD4FC8" w14:textId="77777777" w:rsidR="001A1618" w:rsidRPr="00AF0D2D" w:rsidRDefault="001A1618" w:rsidP="0002658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Northern Ireland Department for the Economy, ‘Minerals and petroleum legislation and policy’, accessed </w:t>
      </w:r>
      <w:hyperlink r:id="rId107"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132">
    <w:p w14:paraId="297A86EC" w14:textId="77777777" w:rsidR="001A1618" w:rsidRPr="00AF0D2D" w:rsidRDefault="001A1618" w:rsidP="0002658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Northern Ireland Department for the Economy, ‘Mineral Licences-Guidance for Applicants’, accessed </w:t>
      </w:r>
      <w:hyperlink r:id="rId108"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Item 24.  </w:t>
      </w:r>
    </w:p>
  </w:footnote>
  <w:footnote w:id="133">
    <w:p w14:paraId="5C96C85A" w14:textId="77777777" w:rsidR="001A1618" w:rsidRPr="00AF0D2D" w:rsidRDefault="001A1618" w:rsidP="0002658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Northern Ireland Department for the Economy website, ‘Minerals and petroleum legislation and policy’, accessed </w:t>
      </w:r>
      <w:hyperlink r:id="rId109"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134">
    <w:p w14:paraId="1F90FC83" w14:textId="77777777" w:rsidR="001A1618" w:rsidRPr="00AF0D2D" w:rsidRDefault="001A1618" w:rsidP="0002658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Northern Ireland Department for the Economy, ‘Mineral prospecting licences – model clauses’, accessed </w:t>
      </w:r>
      <w:hyperlink r:id="rId110"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Provision 18 (p.4). </w:t>
      </w:r>
    </w:p>
  </w:footnote>
  <w:footnote w:id="135">
    <w:p w14:paraId="183402F0" w14:textId="77777777" w:rsidR="001A1618" w:rsidRPr="00AF0D2D" w:rsidRDefault="001A1618" w:rsidP="0002658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exceptions being gold and silver mining rights. </w:t>
      </w:r>
    </w:p>
  </w:footnote>
  <w:footnote w:id="136">
    <w:p w14:paraId="1E616065" w14:textId="77777777" w:rsidR="001A1618" w:rsidRPr="00AF0D2D" w:rsidRDefault="001A1618" w:rsidP="0002658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Coal Authority, ‘Guidance: Get a coal mining licence or other consent’, accessed </w:t>
      </w:r>
      <w:hyperlink r:id="rId111"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137">
    <w:p w14:paraId="18BBC6CE" w14:textId="77777777" w:rsidR="001A1618" w:rsidRPr="00AF0D2D" w:rsidRDefault="001A1618" w:rsidP="0002658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Coal Authority, ‘Guidance: Coal mining licence applications supporting documents’, accessed </w:t>
      </w:r>
      <w:hyperlink r:id="rId112"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138">
    <w:p w14:paraId="76C68494" w14:textId="77777777" w:rsidR="001A1618" w:rsidRPr="00AF0D2D" w:rsidRDefault="001A1618" w:rsidP="0002658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Gov.uk, ‘Guidance: Coal mining licence applications supporting documents’, accessed </w:t>
      </w:r>
      <w:hyperlink r:id="rId113"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139">
    <w:p w14:paraId="38D9275D" w14:textId="77777777" w:rsidR="001A1618" w:rsidRPr="00AF0D2D" w:rsidRDefault="001A1618" w:rsidP="0002658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Coal Authority website, ‘Coal mining data: licence areas’, accessed </w:t>
      </w:r>
      <w:hyperlink r:id="rId114"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140">
    <w:p w14:paraId="7DC7EF87" w14:textId="77777777" w:rsidR="001A1618" w:rsidRPr="00AF0D2D" w:rsidRDefault="001A1618" w:rsidP="0002658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Coal Authority website, Mining permits and licenses webpage, accessed </w:t>
      </w:r>
      <w:hyperlink r:id="rId115"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w:t>
      </w:r>
    </w:p>
  </w:footnote>
  <w:footnote w:id="141">
    <w:p w14:paraId="7A3CF896" w14:textId="77777777" w:rsidR="001A1618" w:rsidRPr="00AF0D2D" w:rsidRDefault="001A1618" w:rsidP="0002658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Crown Estate website, ‘On the land and coast’, accessed </w:t>
      </w:r>
      <w:hyperlink r:id="rId116"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142">
    <w:p w14:paraId="10199E16" w14:textId="77777777" w:rsidR="001A1618" w:rsidRPr="00AF0D2D" w:rsidRDefault="001A1618" w:rsidP="0002658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Gov.uk, ‘Gold and silver agreement for lease (England and Wales)’, accessed </w:t>
      </w:r>
      <w:hyperlink r:id="rId117"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143">
    <w:p w14:paraId="41D274C1" w14:textId="77777777" w:rsidR="001A1618" w:rsidRPr="00AF0D2D" w:rsidRDefault="001A1618" w:rsidP="0002658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Crown Estate Scotland website, ‘Mines Royal option process’, accessed </w:t>
      </w:r>
      <w:hyperlink r:id="rId118"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144">
    <w:p w14:paraId="41D5E3E2" w14:textId="4391F3A0" w:rsidR="001A1618" w:rsidRPr="00AF0D2D" w:rsidRDefault="001A1618" w:rsidP="0002658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Crown Estate Scotland, ‘Policy statement: gold panning’, accessed </w:t>
      </w:r>
      <w:hyperlink r:id="rId119"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145">
    <w:p w14:paraId="05756342" w14:textId="59314470"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w:t>
      </w:r>
      <w:r w:rsidRPr="00AF0D2D">
        <w:rPr>
          <w:rFonts w:ascii="Calibri Light" w:hAnsi="Calibri Light" w:cs="Calibri Light"/>
          <w:bCs/>
          <w:sz w:val="18"/>
          <w:szCs w:val="18"/>
          <w:lang w:val="en-GB"/>
        </w:rPr>
        <w:t xml:space="preserve">‘Accrued income schedules’. </w:t>
      </w:r>
    </w:p>
  </w:footnote>
  <w:footnote w:id="146">
    <w:p w14:paraId="39347E2F" w14:textId="584E1B73" w:rsidR="001A1618" w:rsidRPr="00AF0D2D" w:rsidRDefault="001A1618" w:rsidP="00A77116">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Oil and Gas Authority website, Petroleum e-business assignments and relinquishment system (PEARS), accessed </w:t>
      </w:r>
      <w:hyperlink r:id="rId120"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147">
    <w:p w14:paraId="2DD99F87" w14:textId="7C526599" w:rsidR="001A1618" w:rsidRPr="00AF0D2D" w:rsidRDefault="001A1618" w:rsidP="00A77116">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Oil and Gas Authority (August 2018), ‘Financial Guidance’, accessed </w:t>
      </w:r>
      <w:hyperlink r:id="rId121"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148">
    <w:p w14:paraId="10C9B857" w14:textId="7384FCDA" w:rsidR="001A1618" w:rsidRPr="00AF0D2D" w:rsidRDefault="001A1618" w:rsidP="00A77116">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Oil and Gas Authority website, Licensing round, accessed </w:t>
      </w:r>
      <w:hyperlink r:id="rId122"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149">
    <w:p w14:paraId="63A20B9D" w14:textId="77777777"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Oil and Gas Authority website, ‘License data’, accessed </w:t>
      </w:r>
      <w:hyperlink r:id="rId123"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150">
    <w:p w14:paraId="5AA484BD" w14:textId="77777777"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Oil and Gas Authority website, ‘Field consents’, accessed </w:t>
      </w:r>
      <w:hyperlink r:id="rId124"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151">
    <w:p w14:paraId="7485266A" w14:textId="77777777"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Oil and Gas Authority website, ‘Interactive maps and tools’, accessed </w:t>
      </w:r>
      <w:hyperlink r:id="rId125"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152">
    <w:p w14:paraId="331FB5F5" w14:textId="77777777"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Oil and Gas Authority website, ‘Data centre’, accessed </w:t>
      </w:r>
      <w:hyperlink r:id="rId126"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153">
    <w:p w14:paraId="62943ECF" w14:textId="77777777"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Northern Ireland Department for the Economy website, Petroleum licensing section, accessed </w:t>
      </w:r>
      <w:hyperlink r:id="rId127"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154">
    <w:p w14:paraId="6C3A7DFD" w14:textId="77777777"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Oil and Gas Authority website, ‘License data’, accessed </w:t>
      </w:r>
      <w:hyperlink r:id="rId128"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155">
    <w:p w14:paraId="1B00373E" w14:textId="77777777"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Northern Ireland Department for the Economy website, Petroleum licensing section, accessed </w:t>
      </w:r>
      <w:hyperlink r:id="rId129"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w:t>
      </w:r>
    </w:p>
  </w:footnote>
  <w:footnote w:id="156">
    <w:p w14:paraId="72540163" w14:textId="77777777"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PL1/10 (Central Larne – Lough Neagh Basin), initially awarded to InfraStrata plc and eCORP Oil and Gas UK Ltd on 4 March 2011, and subsequently assigned to a 60/40 consortium of Terrain Energy and Tudor Hall Energy Ltd. on 10 April 2018. </w:t>
      </w:r>
    </w:p>
  </w:footnote>
  <w:footnote w:id="157">
    <w:p w14:paraId="1BC63831" w14:textId="77777777"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Oil and Gas Authority website, ‘License data’, accessed </w:t>
      </w:r>
      <w:hyperlink r:id="rId130"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w:t>
      </w:r>
    </w:p>
  </w:footnote>
  <w:footnote w:id="158">
    <w:p w14:paraId="1E6661C8" w14:textId="77777777"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Northern Ireland Department for the Economy website, Petroleum licensing section, accessed </w:t>
      </w:r>
      <w:hyperlink r:id="rId131"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w:t>
      </w:r>
    </w:p>
  </w:footnote>
  <w:footnote w:id="159">
    <w:p w14:paraId="58C1EF0D" w14:textId="77777777"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Oil and Gas Authority website, ‘License data’, accessed </w:t>
      </w:r>
      <w:hyperlink r:id="rId132"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w:t>
      </w:r>
    </w:p>
  </w:footnote>
  <w:footnote w:id="160">
    <w:p w14:paraId="22FCA4CF" w14:textId="77777777"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Northern Ireland Department for the Economy website, Petroleum licensing section, accessed </w:t>
      </w:r>
      <w:hyperlink r:id="rId133"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w:t>
      </w:r>
    </w:p>
  </w:footnote>
  <w:footnote w:id="161">
    <w:p w14:paraId="514B5FEE" w14:textId="77777777"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Oil and Gas Authority website, ‘Interactive maps and tools’, accessed </w:t>
      </w:r>
      <w:hyperlink r:id="rId134"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w:t>
      </w:r>
    </w:p>
  </w:footnote>
  <w:footnote w:id="162">
    <w:p w14:paraId="53AC1948" w14:textId="77777777"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PL1/10 License document, accessed </w:t>
      </w:r>
      <w:hyperlink r:id="rId135"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p.7. </w:t>
      </w:r>
    </w:p>
  </w:footnote>
  <w:footnote w:id="163">
    <w:p w14:paraId="0C52C79C" w14:textId="77777777"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Oil and Gas Authority website, ‘License data’, accessed </w:t>
      </w:r>
      <w:hyperlink r:id="rId136"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w:t>
      </w:r>
    </w:p>
  </w:footnote>
  <w:footnote w:id="164">
    <w:p w14:paraId="5EC06717" w14:textId="77777777"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 EITI (June 2018), ‘UK Extractive Industries Transparency Initiative (UK EITI) report 2016: supplementary information’, accessed </w:t>
      </w:r>
      <w:hyperlink r:id="rId137"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165">
    <w:p w14:paraId="163FB8C5" w14:textId="08409732"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Northern Ireland Department for the Economy website, Petroleum license documents, accessed </w:t>
      </w:r>
      <w:hyperlink r:id="rId138"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w:t>
      </w:r>
    </w:p>
  </w:footnote>
  <w:footnote w:id="166">
    <w:p w14:paraId="25A0281F" w14:textId="77777777"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Oil and Gas Authority website, ‘License data’, accessed </w:t>
      </w:r>
      <w:hyperlink r:id="rId139"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w:t>
      </w:r>
    </w:p>
  </w:footnote>
  <w:footnote w:id="167">
    <w:p w14:paraId="0C2FFCD7" w14:textId="77777777"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Northern Ireland Department for the Economy website, Petroleum licensing section, accessed </w:t>
      </w:r>
      <w:hyperlink r:id="rId140"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w:t>
      </w:r>
    </w:p>
  </w:footnote>
  <w:footnote w:id="168">
    <w:p w14:paraId="280373D6" w14:textId="2B7C5589"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British Geological Survey website, ‘Legislation &amp; policy: mineral ownership’, accessed </w:t>
      </w:r>
      <w:hyperlink r:id="rId141"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169">
    <w:p w14:paraId="277FA745" w14:textId="77777777"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Crown Estate website, Maps and GIS Data, accessed </w:t>
      </w:r>
      <w:hyperlink r:id="rId142"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170">
    <w:p w14:paraId="6740C354" w14:textId="77777777"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Crown Estate website, ‘Marine aggregates: downloads and links’, accessed </w:t>
      </w:r>
      <w:hyperlink r:id="rId143"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171">
    <w:p w14:paraId="3A924F5F" w14:textId="77777777"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Crown Estate website, ‘On the land and coast’, accessed </w:t>
      </w:r>
      <w:hyperlink r:id="rId144" w:anchor="minerals"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172">
    <w:p w14:paraId="19FBD1E5" w14:textId="77777777"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See The Crown Estate website, Our Portfolio webpage, accessed </w:t>
      </w:r>
      <w:hyperlink r:id="rId145"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w:t>
      </w:r>
    </w:p>
  </w:footnote>
  <w:footnote w:id="173">
    <w:p w14:paraId="6CB0049F" w14:textId="77777777"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Marine Management Organisation on Gov.uk, ‘Public register of marine licenses’, accessed </w:t>
      </w:r>
      <w:hyperlink r:id="rId146"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174">
    <w:p w14:paraId="37AE3E13" w14:textId="77777777"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Natural Resouces Wales, ‘Marine licensing’, accessed </w:t>
      </w:r>
      <w:hyperlink r:id="rId147"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175">
    <w:p w14:paraId="3290318D" w14:textId="77777777"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Scottish Government, Marine Scotland Information, accessed </w:t>
      </w:r>
      <w:hyperlink r:id="rId148"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176">
    <w:p w14:paraId="60C9AF1C" w14:textId="77777777"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Northern Ireland’s Department of Agriculture, Environment and Rural Affairs (DAERA), ‘Marine licensing’, accessed </w:t>
      </w:r>
      <w:hyperlink r:id="rId149"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177">
    <w:p w14:paraId="344FAA8D" w14:textId="77777777"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Crown Estate website, accessed </w:t>
      </w:r>
      <w:hyperlink r:id="rId150"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178">
    <w:p w14:paraId="741E1300" w14:textId="77777777" w:rsidR="001A1618" w:rsidRPr="00AF0D2D" w:rsidRDefault="001A1618" w:rsidP="00BC5CA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UKEITI (May 2018), ‘Data on project-level extractive-related payments to The Crown Estate by mining and quarrying companies in 2016’, accessed </w:t>
      </w:r>
      <w:hyperlink r:id="rId151"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179">
    <w:p w14:paraId="75CDC92E" w14:textId="77777777" w:rsidR="001A1618" w:rsidRPr="00AF0D2D" w:rsidRDefault="001A1618" w:rsidP="00BC5CA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Cleveland Potash Ltd.</w:t>
      </w:r>
    </w:p>
  </w:footnote>
  <w:footnote w:id="180">
    <w:p w14:paraId="39565064" w14:textId="77777777"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See The Crown Estate website, Our Portfolio webpage, accessed </w:t>
      </w:r>
      <w:hyperlink r:id="rId152"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w:t>
      </w:r>
    </w:p>
  </w:footnote>
  <w:footnote w:id="181">
    <w:p w14:paraId="0A33F380" w14:textId="77777777" w:rsidR="001A1618" w:rsidRPr="00AF0D2D" w:rsidRDefault="001A1618" w:rsidP="001D00B1">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UKEITI (May 2018), ‘Data on project-level extractive-related payments to The Crown Estate by mining and quarrying companies in 2016’, accessed </w:t>
      </w:r>
      <w:hyperlink r:id="rId153"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182">
    <w:p w14:paraId="51B60386" w14:textId="3E90ACED"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Marine Aggregates Information website, ‘Regional dredging area charts’, accessed </w:t>
      </w:r>
      <w:hyperlink r:id="rId154"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183">
    <w:p w14:paraId="3F56EDF6" w14:textId="77777777"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See The Crown Estate website, Our Portfolio webpage, accessed </w:t>
      </w:r>
      <w:hyperlink r:id="rId155"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w:t>
      </w:r>
    </w:p>
  </w:footnote>
  <w:footnote w:id="184">
    <w:p w14:paraId="04F3C3D9" w14:textId="77777777"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Crown Estate website, Marine aggregate downloads webpage, accessed </w:t>
      </w:r>
      <w:hyperlink r:id="rId156"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w:t>
      </w:r>
    </w:p>
  </w:footnote>
  <w:footnote w:id="185">
    <w:p w14:paraId="16AD0844" w14:textId="77777777"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Crown Estate website, Minerals potash webpage, accessed </w:t>
      </w:r>
      <w:hyperlink r:id="rId157"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w:t>
      </w:r>
    </w:p>
  </w:footnote>
  <w:footnote w:id="186">
    <w:p w14:paraId="0722E788" w14:textId="77777777"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See The Crown Estate website, Our Portfolio webpage, op.cit.</w:t>
      </w:r>
    </w:p>
  </w:footnote>
  <w:footnote w:id="187">
    <w:p w14:paraId="6119032D" w14:textId="77777777"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Crown Estate website, Maps and GIS Data, accessed </w:t>
      </w:r>
      <w:hyperlink r:id="rId158"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188">
    <w:p w14:paraId="4F178282" w14:textId="77777777"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Crown Estate website, ‘On the land and coast’, accessed </w:t>
      </w:r>
      <w:hyperlink r:id="rId159" w:anchor="minerals"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189">
    <w:p w14:paraId="7DF1060E" w14:textId="1EEF1227"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Crown Estate website, ‘Our Assets”, accessed </w:t>
      </w:r>
      <w:hyperlink r:id="rId160"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190">
    <w:p w14:paraId="486602E8" w14:textId="0C2978B0"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UKEITI (May 2018), ‘Data on project-level extractive-related payments to The Crown Estate by mining and quarrying companies in 2016’, accessed </w:t>
      </w:r>
      <w:hyperlink r:id="rId161"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191">
    <w:p w14:paraId="53F683C0" w14:textId="77777777" w:rsidR="001A1618" w:rsidRPr="00AF0D2D" w:rsidRDefault="001A1618" w:rsidP="001D00B1">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UKEITI (May 2018), ‘Data on project-level extractive-related payments to The Crown Estate by mining and quarrying companies in 2016’, accessed </w:t>
      </w:r>
      <w:hyperlink r:id="rId162"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192">
    <w:p w14:paraId="4A981A32" w14:textId="77777777" w:rsidR="001A1618" w:rsidRPr="00AF0D2D" w:rsidRDefault="001A1618" w:rsidP="001D00B1">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Crown Estate website, ‘Our Assets”, accessed </w:t>
      </w:r>
      <w:hyperlink r:id="rId163"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193">
    <w:p w14:paraId="2AF9F452" w14:textId="77777777" w:rsidR="001A1618" w:rsidRPr="00AF0D2D" w:rsidRDefault="001A1618" w:rsidP="00B46FDE">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Crown Estate website, ‘Our Assets”, accessed </w:t>
      </w:r>
      <w:hyperlink r:id="rId164"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194">
    <w:p w14:paraId="53F693EF" w14:textId="3AC0DDCC"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Northern Ireland Department for the Economy (April 2018), ‘Minerals License Map’, accessed </w:t>
      </w:r>
      <w:hyperlink r:id="rId165"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w:t>
      </w:r>
    </w:p>
  </w:footnote>
  <w:footnote w:id="195">
    <w:p w14:paraId="35962871" w14:textId="5A5E824E"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Ibid.</w:t>
      </w:r>
    </w:p>
  </w:footnote>
  <w:footnote w:id="196">
    <w:p w14:paraId="5C9A511D" w14:textId="77777777"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Irish Salt Mining &amp; Exploration Co. Ltd.</w:t>
      </w:r>
    </w:p>
  </w:footnote>
  <w:footnote w:id="197">
    <w:p w14:paraId="2726AC1D" w14:textId="792078E5"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Northern Ireland Department for the Economy (April 2018), ‘Minerals License Map’, op.cit.</w:t>
      </w:r>
    </w:p>
  </w:footnote>
  <w:footnote w:id="198">
    <w:p w14:paraId="11A5A191" w14:textId="04D4E135"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Ibid.</w:t>
      </w:r>
    </w:p>
  </w:footnote>
  <w:footnote w:id="199">
    <w:p w14:paraId="1A33E0AA" w14:textId="1733B9A7"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Ibid.</w:t>
      </w:r>
    </w:p>
  </w:footnote>
  <w:footnote w:id="200">
    <w:p w14:paraId="533E9AF2" w14:textId="2778B59D"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Ibid.</w:t>
      </w:r>
    </w:p>
  </w:footnote>
  <w:footnote w:id="201">
    <w:p w14:paraId="23CB10CE" w14:textId="7816AB0C"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Ibid.</w:t>
      </w:r>
    </w:p>
  </w:footnote>
  <w:footnote w:id="202">
    <w:p w14:paraId="40506EFA" w14:textId="77777777"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Northern Ireland Department for the Economy, ‘Minerals licensing’ webpage, accessed </w:t>
      </w:r>
      <w:hyperlink r:id="rId166"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w:t>
      </w:r>
    </w:p>
  </w:footnote>
  <w:footnote w:id="203">
    <w:p w14:paraId="68BE32E0" w14:textId="77777777"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Coal Authority website, ‘Find out if a property is affected by coal mining’, accessed </w:t>
      </w:r>
      <w:hyperlink r:id="rId167"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04">
    <w:p w14:paraId="63B2B535" w14:textId="77777777" w:rsidR="001A1618" w:rsidRPr="00AF0D2D" w:rsidRDefault="001A1618" w:rsidP="0089329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Coal Authority website, accessed </w:t>
      </w:r>
      <w:hyperlink r:id="rId168"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205">
    <w:p w14:paraId="686F2E37" w14:textId="77777777" w:rsidR="001A1618" w:rsidRPr="00AF0D2D" w:rsidRDefault="001A1618" w:rsidP="00D32D8A">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Crown Estate website, Maps and GIS Data, accessed </w:t>
      </w:r>
      <w:hyperlink r:id="rId169"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06">
    <w:p w14:paraId="7C9B8F29" w14:textId="77777777" w:rsidR="001A1618" w:rsidRPr="00AF0D2D" w:rsidRDefault="001A1618" w:rsidP="00D32D8A">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Crown Estate website, ‘Our Assets”, accessed </w:t>
      </w:r>
      <w:hyperlink r:id="rId170"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207">
    <w:p w14:paraId="279B5010" w14:textId="7133B693"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Oil and Gas Authority, Energy Portal, accessed </w:t>
      </w:r>
      <w:hyperlink r:id="rId171"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208">
    <w:p w14:paraId="5AEDA10C" w14:textId="7F10B0FC"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provided they did not consist of confidential information (which dates were not considered to be). </w:t>
      </w:r>
    </w:p>
  </w:footnote>
  <w:footnote w:id="209">
    <w:p w14:paraId="5DEEF846" w14:textId="77777777" w:rsidR="001A1618" w:rsidRPr="00AF0D2D" w:rsidRDefault="001A1618" w:rsidP="001A25A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Crown Estate website, ‘Minerals and Dredging’ webpage, accessed </w:t>
      </w:r>
      <w:hyperlink r:id="rId172"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210">
    <w:p w14:paraId="76183B6E" w14:textId="27950D19"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HM Land Registry website, accessed </w:t>
      </w:r>
      <w:hyperlink r:id="rId173"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November 2018. </w:t>
      </w:r>
    </w:p>
  </w:footnote>
  <w:footnote w:id="211">
    <w:p w14:paraId="1A5F88C1" w14:textId="2A8D3186" w:rsidR="001A1618" w:rsidRPr="00AF0D2D" w:rsidRDefault="001A1618" w:rsidP="00301269">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See for instance HM Government, UK Open Government National Action Plan 2016-18, accessed </w:t>
      </w:r>
      <w:hyperlink r:id="rId174"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12">
    <w:p w14:paraId="6C4D761C" w14:textId="054859B8"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Gov.uk, Open contracting webpage, accessed </w:t>
      </w:r>
      <w:hyperlink r:id="rId175"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13">
    <w:p w14:paraId="23EC57B9" w14:textId="2348F1B9"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Oil and Gas Authority, Energy Portal, accessed </w:t>
      </w:r>
      <w:hyperlink r:id="rId176"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w:t>
      </w:r>
    </w:p>
  </w:footnote>
  <w:footnote w:id="214">
    <w:p w14:paraId="2B14AA10" w14:textId="4977FC80" w:rsidR="001A1618" w:rsidRPr="00AF0D2D" w:rsidRDefault="001A1618" w:rsidP="0037449E">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Crown Estate website, accessed </w:t>
      </w:r>
      <w:hyperlink r:id="rId177"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w:t>
      </w:r>
    </w:p>
  </w:footnote>
  <w:footnote w:id="215">
    <w:p w14:paraId="4C6F3FA6" w14:textId="38669341"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Northern Ireland Department for the Economy, ‘Minerals licensing’ webpage, accessed </w:t>
      </w:r>
      <w:hyperlink r:id="rId178"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w:t>
      </w:r>
    </w:p>
  </w:footnote>
  <w:footnote w:id="216">
    <w:p w14:paraId="55AC0E60" w14:textId="2DBD15B7"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2015 Small Business, Enterprise and Employment Act, Part 21A: Information about people with significant control, accessed </w:t>
      </w:r>
      <w:hyperlink r:id="rId179"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17">
    <w:p w14:paraId="36EA7570" w14:textId="417C3C8A" w:rsidR="001A1618" w:rsidRPr="00AF0D2D" w:rsidRDefault="001A1618" w:rsidP="00D76FFC">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European Parliament and Council of the EU (May 2015), ‘Directive (EU) 2015/849 of the European Parliament and of the Council, on the prevention of the use of the financial system for the purposes of money laundering or terrorist financing’, accessed </w:t>
      </w:r>
      <w:hyperlink r:id="rId180"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18">
    <w:p w14:paraId="42F2D5F5" w14:textId="7F93326A"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2016 Register of People with Significant Control Regulations, accessed </w:t>
      </w:r>
      <w:hyperlink r:id="rId181"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19">
    <w:p w14:paraId="67A0467C" w14:textId="3C114488"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Gov.uk, ‘PSC requirements for companies and limited liability partnerships’, accessed </w:t>
      </w:r>
      <w:hyperlink r:id="rId182"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20">
    <w:p w14:paraId="04F072F3" w14:textId="3C30E667" w:rsidR="001A1618" w:rsidRPr="00AF0D2D" w:rsidRDefault="001A1618" w:rsidP="00612106">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Department for BEIS (June 2017), ‘Register of people with significant control, guidance for registered and unregistered companies’, accessed </w:t>
      </w:r>
      <w:hyperlink r:id="rId183"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21">
    <w:p w14:paraId="42407735" w14:textId="57201909"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UKEITI (November 2016), ‘UK EITI Beneficial Ownership Roadmap’, accessed </w:t>
      </w:r>
      <w:hyperlink r:id="rId184" w:anchor="uk-eiti-beneficial-ownership-roadmap"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22">
    <w:p w14:paraId="1B6DA3ED" w14:textId="301653E1"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UKEITI, Beneficial Ownership Guide, accessed </w:t>
      </w:r>
      <w:hyperlink r:id="rId185"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23">
    <w:p w14:paraId="0D5C2146" w14:textId="3F81333E"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Gov.uk, ‘PSC requirements for companies and limited liability partnerships’, accessed </w:t>
      </w:r>
      <w:hyperlink r:id="rId186"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24">
    <w:p w14:paraId="6462A548" w14:textId="008B2132"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Companies House, ‘People with significant control (PSC) snapshot’, accessed </w:t>
      </w:r>
      <w:hyperlink r:id="rId187"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225">
    <w:p w14:paraId="68617C9F" w14:textId="44E33745"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Companies House Register, accessed </w:t>
      </w:r>
      <w:hyperlink r:id="rId188"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26">
    <w:p w14:paraId="20A7A689" w14:textId="77777777" w:rsidR="001A1618" w:rsidRPr="00AF0D2D" w:rsidRDefault="001A1618" w:rsidP="00B43531">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Open Ownership and Global Witness (October 2017), ‘Learning the lessons from the UK’s public beneficial ownership register’, accessed </w:t>
      </w:r>
      <w:hyperlink r:id="rId189"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227">
    <w:p w14:paraId="2A6E1561" w14:textId="69F980C4" w:rsidR="001A1618" w:rsidRPr="00AF0D2D" w:rsidRDefault="001A1618" w:rsidP="00E32BBB">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Open Ownership and Global Witness (October 2017), ‘Learning the lessons from the UK’s public beneficial ownership register’, accessed </w:t>
      </w:r>
      <w:hyperlink r:id="rId190"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228">
    <w:p w14:paraId="5A5837CA" w14:textId="0E1B3F25"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Global Witness (November 2016), ‘What does the UK beneficial ownership data show us?’, accessed </w:t>
      </w:r>
      <w:hyperlink r:id="rId191"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229">
    <w:p w14:paraId="37AB74F3" w14:textId="77777777" w:rsidR="001A1618" w:rsidRPr="00AF0D2D" w:rsidRDefault="001A1618" w:rsidP="00EE7F5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Open Ownership and Global Witness (October 2017), ‘Learning the lessons from the UK’s public beneficial ownership register’, accessed </w:t>
      </w:r>
      <w:hyperlink r:id="rId192"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230">
    <w:p w14:paraId="076B55F3" w14:textId="04780C57"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Office of National Statistics website, ‘Annual Business Survey Statistical bulletins’, accessed </w:t>
      </w:r>
      <w:hyperlink r:id="rId193"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31">
    <w:p w14:paraId="0F94CB1F" w14:textId="4409D7A0"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Gov.uk, ‘Collection: Energy trends’, accessed </w:t>
      </w:r>
      <w:hyperlink r:id="rId194"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32">
    <w:p w14:paraId="1B9E49FC" w14:textId="7450AEF4"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Gov.uk, ‘Digest of UK Energy Statistics (DUKES)’, accessed </w:t>
      </w:r>
      <w:hyperlink r:id="rId195"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33">
    <w:p w14:paraId="415E2073" w14:textId="5F0599EE"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OGA website, ‘Interactive maps and tools’, accessed </w:t>
      </w:r>
      <w:hyperlink r:id="rId196"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w:t>
      </w:r>
    </w:p>
  </w:footnote>
  <w:footnote w:id="234">
    <w:p w14:paraId="6D460CE3" w14:textId="4DCDFF63"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OGA website, ‘Oil and Gas Authority Open Data’, accessed </w:t>
      </w:r>
      <w:hyperlink r:id="rId197"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35">
    <w:p w14:paraId="4947E7A9" w14:textId="41AB9E5B"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OGA website, ‘Data centre’, accessed </w:t>
      </w:r>
      <w:hyperlink r:id="rId198"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w:t>
      </w:r>
    </w:p>
  </w:footnote>
  <w:footnote w:id="236">
    <w:p w14:paraId="73347C54" w14:textId="1235B844"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Northern Ireland DfE website, ‘Petroleum licensing’, accessed </w:t>
      </w:r>
      <w:hyperlink r:id="rId199"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37">
    <w:p w14:paraId="0B2A31C4" w14:textId="4B3D5D79"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Northern Ireland DfE website, ‘Minerals and petroleum annual reports’, accessed </w:t>
      </w:r>
      <w:hyperlink r:id="rId200"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38">
    <w:p w14:paraId="6FEC93DB" w14:textId="08415A1D"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Oil and Gas UK website, Publications shop, accessed </w:t>
      </w:r>
      <w:hyperlink r:id="rId201"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39">
    <w:p w14:paraId="6B3E34D8" w14:textId="7F2D05DF"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British geological Survey website, ‘Minerals Publications’, accessed </w:t>
      </w:r>
      <w:hyperlink r:id="rId202"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40">
    <w:p w14:paraId="5FE56D78" w14:textId="1DE4AB00"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British geological Survey website, ‘Mineral Planning Factsheets’, accessed </w:t>
      </w:r>
      <w:hyperlink r:id="rId203"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41">
    <w:p w14:paraId="5DD48E3E" w14:textId="7CD71F9B"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Northern Ireland DfE website, ‘Minerals and Petroleum, accessed </w:t>
      </w:r>
      <w:hyperlink r:id="rId204"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42">
    <w:p w14:paraId="33F22507" w14:textId="77777777" w:rsidR="001A1618" w:rsidRPr="00AF0D2D" w:rsidRDefault="001A1618" w:rsidP="000B6F1E">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Gov.uk, ‘Coal mining reports and data’, accessed </w:t>
      </w:r>
      <w:hyperlink r:id="rId205"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43">
    <w:p w14:paraId="1C600F49" w14:textId="41C5197C" w:rsidR="001A1618" w:rsidRPr="00AF0D2D" w:rsidRDefault="001A1618" w:rsidP="000B6F1E">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Gov.uk, ‘Statistical data set: Historical coal data: coal production, availability and consumption’, accessed </w:t>
      </w:r>
      <w:hyperlink r:id="rId206"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44">
    <w:p w14:paraId="711DAC6A" w14:textId="25F9012E"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Crown Estate website, ‘Marine aggregates: downloads and links’, accessed </w:t>
      </w:r>
      <w:hyperlink r:id="rId207"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45">
    <w:p w14:paraId="4AC0103B" w14:textId="00862B85"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Crown Estate website, ‘On the land and coast’, accessed </w:t>
      </w:r>
      <w:hyperlink r:id="rId208"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46">
    <w:p w14:paraId="7DB8CB71" w14:textId="566C8ADA"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British Marine Aggregate Producers Association (BMAPA) website, ‘Reference library’, accessed </w:t>
      </w:r>
      <w:hyperlink r:id="rId209"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47">
    <w:p w14:paraId="0FABFC42" w14:textId="4C9B5B1B"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Marine Management Organisation website, ‘Public register’, accessed </w:t>
      </w:r>
      <w:hyperlink r:id="rId210"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48">
    <w:p w14:paraId="7C231D27" w14:textId="477C55F5"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Natural Resources Wales website, ‘Marine licensing’, accessed </w:t>
      </w:r>
      <w:hyperlink r:id="rId211"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49">
    <w:p w14:paraId="04CEF3BF" w14:textId="7FA90394"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Scottish Government website, ‘Marine licensing in Scotland’, accessed </w:t>
      </w:r>
      <w:hyperlink r:id="rId212"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50">
    <w:p w14:paraId="547D77CD" w14:textId="7DAD947F"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Northern Ireland’s Department of Agriculture, Environment and Rural Affairs website, ‘Marine licensing and permits’, accessed </w:t>
      </w:r>
      <w:hyperlink r:id="rId213"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51">
    <w:p w14:paraId="1F72B27D" w14:textId="2B4B7D72"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Gov.uk, Digest of UK Energy Statistics (DUKES), accessed </w:t>
      </w:r>
      <w:hyperlink r:id="rId214"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52">
    <w:p w14:paraId="431CBB4E" w14:textId="3FBBDED2"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British Geological Survey (February 2016), ‘UK Minerals Yearbook 2015’, accessed </w:t>
      </w:r>
      <w:hyperlink r:id="rId215"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53">
    <w:p w14:paraId="575B68C0" w14:textId="6AF61503"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British Geological Survey, UK Minerals Yearbook, accessed </w:t>
      </w:r>
      <w:hyperlink r:id="rId216"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And British Geological Survey, ‘United Kingdom mineral statistics’, accessed </w:t>
      </w:r>
      <w:hyperlink r:id="rId217"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254">
    <w:p w14:paraId="5EC4A020" w14:textId="2986D0B5"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Gov.uk, ‘Coal Statistics’, accessed </w:t>
      </w:r>
      <w:hyperlink r:id="rId218"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55">
    <w:p w14:paraId="14E02105" w14:textId="77777777" w:rsidR="001A1618" w:rsidRPr="00AF0D2D" w:rsidRDefault="001A1618" w:rsidP="006730EC">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Gov.uk, ‘Statistical data set: Historical coal data: coal production, availability and consumption’, accessed </w:t>
      </w:r>
      <w:hyperlink r:id="rId219"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56">
    <w:p w14:paraId="40DFF4F4" w14:textId="1FFF01E3"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Gov.uk, ‘Building materials and components: monthly statistics’, accessed </w:t>
      </w:r>
      <w:hyperlink r:id="rId220"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57">
    <w:p w14:paraId="4587CBA3" w14:textId="1157147A" w:rsidR="001A1618" w:rsidRPr="00AF0D2D" w:rsidRDefault="001A1618" w:rsidP="00A2366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 EITI (June 2018), ‘UK Extractive Industries Transparency Initiative (UK EITI) report 2016: supplementary information’, accessed </w:t>
      </w:r>
      <w:hyperlink r:id="rId221"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258">
    <w:p w14:paraId="5C48B031" w14:textId="77777777" w:rsidR="001A1618" w:rsidRPr="00AF0D2D" w:rsidRDefault="001A1618" w:rsidP="00FC1DD7">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Gov.uk, Digest of UK Energy Statistics (DUKES), accessed </w:t>
      </w:r>
      <w:hyperlink r:id="rId222"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59">
    <w:p w14:paraId="1E504AAD" w14:textId="77777777" w:rsidR="001A1618" w:rsidRPr="00AF0D2D" w:rsidRDefault="001A1618" w:rsidP="00A06242">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British Geological Survey (February 2016), ‘UK Minerals Yearbook 2015’, accessed </w:t>
      </w:r>
      <w:hyperlink r:id="rId223"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60">
    <w:p w14:paraId="4E25B0E8" w14:textId="77777777" w:rsidR="001A1618" w:rsidRPr="00AF0D2D" w:rsidRDefault="001A1618" w:rsidP="00A06242">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Gov.uk, ‘Building materials and components: monthly statistics’, accessed </w:t>
      </w:r>
      <w:hyperlink r:id="rId224"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61">
    <w:p w14:paraId="176FB8B5" w14:textId="77777777" w:rsidR="001A1618" w:rsidRPr="00AF0D2D" w:rsidRDefault="001A1618" w:rsidP="00A2366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 EITI (June 2018), ‘UK Extractive Industries Transparency Initiative (UK EITI) report 2016: supplementary information’, accessed </w:t>
      </w:r>
      <w:hyperlink r:id="rId225"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262">
    <w:p w14:paraId="38606DAB" w14:textId="77777777"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UKEITI, 2016 EITI Report, op.cit.,p.69. </w:t>
      </w:r>
    </w:p>
  </w:footnote>
  <w:footnote w:id="263">
    <w:p w14:paraId="615A5F5F" w14:textId="77777777" w:rsidR="001A1618" w:rsidRPr="00AF0D2D" w:rsidRDefault="001A1618" w:rsidP="00CF5901">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Based on analysis of UKEITI summary data. </w:t>
      </w:r>
    </w:p>
  </w:footnote>
  <w:footnote w:id="264">
    <w:p w14:paraId="2672C1DA" w14:textId="77777777" w:rsidR="001A1618" w:rsidRPr="00AF0D2D" w:rsidRDefault="001A1618" w:rsidP="00F371B6">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Gov.uk, ‘Government revenues from UK oil and gas production’, accessed </w:t>
      </w:r>
      <w:hyperlink r:id="rId226"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65">
    <w:p w14:paraId="3A7FD28B" w14:textId="2C9C1413"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Oil and Gas Authority (OGA) website, OGA annual report and accounts 2016-17, accessed </w:t>
      </w:r>
      <w:hyperlink r:id="rId227"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66">
    <w:p w14:paraId="13E444FE" w14:textId="471EAD76"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Office for Budget Responsibility, ‘Monthly public finances release’, accessed </w:t>
      </w:r>
      <w:hyperlink r:id="rId228"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67">
    <w:p w14:paraId="1C499E2B" w14:textId="106D7B04"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 Public Revenue website, accessed </w:t>
      </w:r>
      <w:hyperlink r:id="rId229"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68">
    <w:p w14:paraId="4FBC1772" w14:textId="60C40012"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Gov.uk, The Coal Authority Annual report and accounts 2016 to 2017, accessed </w:t>
      </w:r>
      <w:hyperlink r:id="rId230"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69">
    <w:p w14:paraId="535A425B" w14:textId="641CF48C"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Crown Estate website, Integrated Annual Report, accessed </w:t>
      </w:r>
      <w:hyperlink r:id="rId231"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70">
    <w:p w14:paraId="39DFB017" w14:textId="77777777" w:rsidR="001A1618" w:rsidRPr="00AF0D2D" w:rsidRDefault="001A1618" w:rsidP="00CF5901">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Companies House website, ‘Extractives service’, accessed </w:t>
      </w:r>
      <w:hyperlink r:id="rId232"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w:t>
      </w:r>
    </w:p>
  </w:footnote>
  <w:footnote w:id="271">
    <w:p w14:paraId="151F42E6" w14:textId="7ECAA5CA"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Statoil/Equinor in Norway, Total and Engie in France and Maersk in Denmark. </w:t>
      </w:r>
    </w:p>
  </w:footnote>
  <w:footnote w:id="272">
    <w:p w14:paraId="46648290" w14:textId="53D06D5D"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As of 1 July 2018, Mitsui E&amp;P UK Ltd had only published payments to government reports up to 2015. </w:t>
      </w:r>
    </w:p>
  </w:footnote>
  <w:footnote w:id="273">
    <w:p w14:paraId="594BBF01" w14:textId="768923F6"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Ring Fence Corporation Tax, the Supplementary Charge, Petroleum Revenue Tax (PRT), petroleum licence fees for oil and gas companies; (mainstream) corporation tax and extractive-related payments to TCE and the Coal Authority for mining and quarrying companies. </w:t>
      </w:r>
    </w:p>
  </w:footnote>
  <w:footnote w:id="274">
    <w:p w14:paraId="1D4E2BCF" w14:textId="51DA4BD2"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See MSG meeting minutes on UKEITI webpage, ‘Minutes’ section, accessed </w:t>
      </w:r>
      <w:hyperlink r:id="rId233" w:anchor="minutes"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75">
    <w:p w14:paraId="4EE393D8" w14:textId="1F2B9473"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Ring Fence Corporation Tax (RFCT) and the Supplementary Charge (SC); Petroleum Revenue Tax (PRT), including any Advance Petroleum Revenue Tax (APRT) repayments received (by field); Petroleum Licence Fees (by licence); the OGA Levy; and Payments to The Crown Estate in respect of pipelines operated by companies that are engaged in UK extractive activities.</w:t>
      </w:r>
    </w:p>
  </w:footnote>
  <w:footnote w:id="276">
    <w:p w14:paraId="21FD8C7F" w14:textId="616BB3CE"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Corporation Tax; Payments to the Coal Authority (Licensing fee and royalty); Payments to The Crown Estate (TCE). </w:t>
      </w:r>
    </w:p>
  </w:footnote>
  <w:footnote w:id="277">
    <w:p w14:paraId="77F87FFD" w14:textId="1E16475D"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UKEITI (August 2014), UK EITI Candidature Application, accessed </w:t>
      </w:r>
      <w:hyperlink r:id="rId234"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p.16. </w:t>
      </w:r>
    </w:p>
  </w:footnote>
  <w:footnote w:id="278">
    <w:p w14:paraId="18576BA4" w14:textId="279980EE" w:rsidR="001A1618" w:rsidRPr="00AF0D2D" w:rsidRDefault="001A1618" w:rsidP="004E0A92">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UKEITI (June 2016), 2015 annual activity report, accessed </w:t>
      </w:r>
      <w:hyperlink r:id="rId235"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pp.10-11.</w:t>
      </w:r>
    </w:p>
  </w:footnote>
  <w:footnote w:id="279">
    <w:p w14:paraId="27D085C9" w14:textId="3C1DABF3" w:rsidR="001A1618" w:rsidRPr="00AF0D2D" w:rsidRDefault="001A1618" w:rsidP="00655EA6">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UKEITI (June 2016), 2015 annual activity report, accessed </w:t>
      </w:r>
      <w:hyperlink r:id="rId236"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p.10.</w:t>
      </w:r>
    </w:p>
  </w:footnote>
  <w:footnote w:id="280">
    <w:p w14:paraId="3D81A195" w14:textId="28B6DD37"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42 oil and gas and 22 mining and quarrying. </w:t>
      </w:r>
    </w:p>
  </w:footnote>
  <w:footnote w:id="281">
    <w:p w14:paraId="2FB15207" w14:textId="74079583"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41 oil and gas and 20 mining and quarrying. </w:t>
      </w:r>
    </w:p>
  </w:footnote>
  <w:footnote w:id="282">
    <w:p w14:paraId="325EA607" w14:textId="2C17A8B0"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Department for BEIS website, ‘Data on reconciled extractive payments by oil and gas companies by revenue stream in 2016’, accessed </w:t>
      </w:r>
      <w:hyperlink r:id="rId237"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w:t>
      </w:r>
    </w:p>
  </w:footnote>
  <w:footnote w:id="283">
    <w:p w14:paraId="119FE23F" w14:textId="3FB5FB58" w:rsidR="001A1618" w:rsidRPr="00AF0D2D" w:rsidRDefault="001A1618" w:rsidP="008B4355">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Department for BEIS website, ‘Data on reconciled extractive payments by other mining and quarrying companies by revenue stream in 2016’, accessed </w:t>
      </w:r>
      <w:hyperlink r:id="rId238"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w:t>
      </w:r>
    </w:p>
  </w:footnote>
  <w:footnote w:id="284">
    <w:p w14:paraId="0970D187" w14:textId="5028DFDB"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Companies House website, ‘Extractives service’, accessed </w:t>
      </w:r>
      <w:hyperlink r:id="rId239"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w:t>
      </w:r>
    </w:p>
  </w:footnote>
  <w:footnote w:id="285">
    <w:p w14:paraId="51C91062" w14:textId="77777777" w:rsidR="001A1618" w:rsidRPr="00AF0D2D" w:rsidRDefault="001A1618" w:rsidP="00C77F0E">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Her Majesty’s Revenue and Customs (HMRC); The Oil and Gas Authority (OGA); The Crown Estate (TCE); and The Coal Authority.</w:t>
      </w:r>
    </w:p>
  </w:footnote>
  <w:footnote w:id="286">
    <w:p w14:paraId="1071F6D0" w14:textId="23C515A1"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Publish What You Pay (PWYP) UK (September 2018), ‘New PWYP UK study explores UK EITI and mandatory payments data variances’, accessed </w:t>
      </w:r>
      <w:hyperlink r:id="rId240"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287">
    <w:p w14:paraId="06E11C60" w14:textId="1C34043E"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 EITI (June 2018), ‘UK Extractive Industries Transparency Initiative (UK EITI) report 2016: supplementary information’, op.cit..</w:t>
      </w:r>
    </w:p>
  </w:footnote>
  <w:footnote w:id="288">
    <w:p w14:paraId="6A41C0D7" w14:textId="200DA728"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Northern Ireland Department for the Economy (June 2017), ‘Department for the Economy Annual Report 2016-17’, accessed </w:t>
      </w:r>
      <w:hyperlink r:id="rId241"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October 2018, p.114. </w:t>
      </w:r>
    </w:p>
  </w:footnote>
  <w:footnote w:id="289">
    <w:p w14:paraId="6C7851F6" w14:textId="77777777" w:rsidR="001A1618" w:rsidRPr="00AF0D2D" w:rsidRDefault="001A1618" w:rsidP="00C870A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Gov.uk, ‘Government revenues from UK oil and gas production’, accessed </w:t>
      </w:r>
      <w:hyperlink r:id="rId242"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90">
    <w:p w14:paraId="2E1D397A" w14:textId="77777777" w:rsidR="001A1618" w:rsidRPr="00AF0D2D" w:rsidRDefault="001A1618" w:rsidP="00C870A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Office for Budget Responsibility, ‘Monthly public finances release’, accessed </w:t>
      </w:r>
      <w:hyperlink r:id="rId243"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91">
    <w:p w14:paraId="014AB45E" w14:textId="77777777" w:rsidR="001A1618" w:rsidRPr="00AF0D2D" w:rsidRDefault="001A1618" w:rsidP="00C870A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Oil and Gas Authority (OGA) website, OGA annual report and accounts 2016-17, accessed </w:t>
      </w:r>
      <w:hyperlink r:id="rId244"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92">
    <w:p w14:paraId="71640DBE" w14:textId="77777777" w:rsidR="001A1618" w:rsidRPr="00AF0D2D" w:rsidRDefault="001A1618" w:rsidP="00EA4FA4">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Gov.uk, The Coal Authority Annual report and accounts 2016 to 2017, accessed </w:t>
      </w:r>
      <w:hyperlink r:id="rId245"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93">
    <w:p w14:paraId="26702377" w14:textId="77777777" w:rsidR="001A1618" w:rsidRPr="00AF0D2D" w:rsidRDefault="001A1618" w:rsidP="00EA4FA4">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Crown Estate website, Integrated Annual Report, accessed </w:t>
      </w:r>
      <w:hyperlink r:id="rId246"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294">
    <w:p w14:paraId="66C38D21" w14:textId="67DCD518"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Gov.uk, Extractive Industries Transparency Initiative: payments report 2016, accessed </w:t>
      </w:r>
      <w:hyperlink r:id="rId247"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w:t>
      </w:r>
    </w:p>
  </w:footnote>
  <w:footnote w:id="295">
    <w:p w14:paraId="7C397996" w14:textId="19AA35F9" w:rsidR="001A1618" w:rsidRPr="00AF0D2D" w:rsidRDefault="001A1618" w:rsidP="005515CE">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report states that the Coal Authority collects at least four types of revenue flows (p.59): license fees, royalty, fees for agreements to access or pass through the Authority’s coal estate, and payments for coal rights under options for lease. At least two of these would be likely to be paid by material companies. </w:t>
      </w:r>
    </w:p>
  </w:footnote>
  <w:footnote w:id="296">
    <w:p w14:paraId="7BD4F753" w14:textId="100B7218"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Rent and production royalty, dead rent and license fees. </w:t>
      </w:r>
    </w:p>
  </w:footnote>
  <w:footnote w:id="297">
    <w:p w14:paraId="15D642E2" w14:textId="1E79A9DA"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Department of BEIS website, ‘Data on payments of petroleum licence fees by licence in 2016 (as reported by OGA)’, accessed </w:t>
      </w:r>
      <w:hyperlink r:id="rId248"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w:t>
      </w:r>
    </w:p>
  </w:footnote>
  <w:footnote w:id="298">
    <w:p w14:paraId="4E26E258" w14:textId="605F18A8"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Department of BEIS website, ‘Data on payments of petroleum revenue tax by field in 2016 (as reported by HMRC)’, accessed </w:t>
      </w:r>
      <w:hyperlink r:id="rId249"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w:t>
      </w:r>
    </w:p>
  </w:footnote>
  <w:footnote w:id="299">
    <w:p w14:paraId="21156A24" w14:textId="412197CB"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Department of BEIS website, ‘Data on project-level extractive-related payments to The Crown Estate by oil and gas companies in 2016’, accessed </w:t>
      </w:r>
      <w:hyperlink r:id="rId250"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w:t>
      </w:r>
    </w:p>
  </w:footnote>
  <w:footnote w:id="300">
    <w:p w14:paraId="628D6002" w14:textId="51F366D3"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Department of BEIS website, ‘Data on project-level extractive-related payments to The Crown Estate by mining and quarrying companies in 2016’, accessed </w:t>
      </w:r>
      <w:hyperlink r:id="rId251"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w:t>
      </w:r>
    </w:p>
  </w:footnote>
  <w:footnote w:id="301">
    <w:p w14:paraId="619EAA37" w14:textId="51910225"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PWYP UK (September 2018), ‘Comparing UK EITI and Mandatory Payments to Governments Data for 2016’, accessed </w:t>
      </w:r>
      <w:hyperlink r:id="rId252"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p.6, footnote 21. </w:t>
      </w:r>
    </w:p>
  </w:footnote>
  <w:footnote w:id="302">
    <w:p w14:paraId="1A9337DD" w14:textId="77777777" w:rsidR="001A1618" w:rsidRPr="00AF0D2D" w:rsidRDefault="001A1618" w:rsidP="00EA4FA4">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Gov.uk, ‘Government revenues from UK oil and gas production’, accessed </w:t>
      </w:r>
      <w:hyperlink r:id="rId253"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303">
    <w:p w14:paraId="1CD2E3EB" w14:textId="77777777" w:rsidR="001A1618" w:rsidRPr="00AF0D2D" w:rsidRDefault="001A1618" w:rsidP="00EA4FA4">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Office for Budget Responsibility, ‘Monthly public finances release’, accessed </w:t>
      </w:r>
      <w:hyperlink r:id="rId254"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304">
    <w:p w14:paraId="617E5E8C" w14:textId="77777777" w:rsidR="001A1618" w:rsidRPr="00AF0D2D" w:rsidRDefault="001A1618" w:rsidP="00EA4FA4">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Oil and Gas Authority (OGA) website, OGA annual report and accounts 2016-17, accessed </w:t>
      </w:r>
      <w:hyperlink r:id="rId255"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305">
    <w:p w14:paraId="5D2237D2" w14:textId="77777777" w:rsidR="001A1618" w:rsidRPr="00AF0D2D" w:rsidRDefault="001A1618" w:rsidP="00EA4FA4">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Gov.uk, The Coal Authority Annual report and accounts 2016 to 2017, accessed </w:t>
      </w:r>
      <w:hyperlink r:id="rId256"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306">
    <w:p w14:paraId="67F24837" w14:textId="77777777" w:rsidR="001A1618" w:rsidRPr="00AF0D2D" w:rsidRDefault="001A1618" w:rsidP="00EA4FA4">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Crown Estate website, Integrated Annual Report, accessed </w:t>
      </w:r>
      <w:hyperlink r:id="rId257"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307">
    <w:p w14:paraId="3BF09215" w14:textId="2FE14E59"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Gov.uk (30 April 2018), ‘Extractive Industries Transparency Initiative: payments report, 2016’, accessed </w:t>
      </w:r>
      <w:hyperlink r:id="rId258"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w:t>
      </w:r>
    </w:p>
  </w:footnote>
  <w:footnote w:id="308">
    <w:p w14:paraId="63F7B2A6" w14:textId="30A584D1" w:rsidR="001A1618" w:rsidRPr="00AF0D2D" w:rsidRDefault="001A1618" w:rsidP="00D35C04">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Gov.uk (15 April 2016), ‘Extractive Industries Transparency Initiative: payments report, 2014’, accessed </w:t>
      </w:r>
      <w:hyperlink r:id="rId259"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w:t>
      </w:r>
    </w:p>
  </w:footnote>
  <w:footnote w:id="309">
    <w:p w14:paraId="50E85AC2" w14:textId="77777777" w:rsidR="001A1618" w:rsidRPr="00AF0D2D" w:rsidRDefault="001A1618" w:rsidP="00D35C04">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Gov.uk (31 March 2017), ‘Extractive Industries Transparency Initiative: payments report, 2015’, accessed </w:t>
      </w:r>
      <w:hyperlink r:id="rId260"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w:t>
      </w:r>
    </w:p>
  </w:footnote>
  <w:footnote w:id="310">
    <w:p w14:paraId="0D310B79" w14:textId="77777777" w:rsidR="001A1618" w:rsidRPr="00AF0D2D" w:rsidRDefault="001A1618" w:rsidP="00E37ED7">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Reports on Payments to Governments Regulations 2014, accessed </w:t>
      </w:r>
      <w:hyperlink r:id="rId261"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311">
    <w:p w14:paraId="14D929B8" w14:textId="37EA7C32"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Parliament, Public Accounts Committee, accessed </w:t>
      </w:r>
      <w:hyperlink r:id="rId262"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312">
    <w:p w14:paraId="5C1C427B" w14:textId="67C8E63C"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National Audit Office, ‘Audit of Financial Statements’, accessed </w:t>
      </w:r>
      <w:hyperlink r:id="rId263"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313">
    <w:p w14:paraId="5E4A80CF" w14:textId="7EB80BCE"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See Companies House, Company accounts guidance, accessed </w:t>
      </w:r>
      <w:hyperlink r:id="rId264"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314">
    <w:p w14:paraId="2C246090" w14:textId="37FFBC81"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Companies House, Corporate register search, accessed </w:t>
      </w:r>
      <w:hyperlink r:id="rId265"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315">
    <w:p w14:paraId="146C09FC" w14:textId="58D8C7DC"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UKEITI (August 2014), UK EITI Candidature Application, accessed </w:t>
      </w:r>
      <w:hyperlink r:id="rId266"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p.12. And UKEITI (June 2015), 2014 annual activity report, accessed </w:t>
      </w:r>
      <w:hyperlink r:id="rId267"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p.6.  </w:t>
      </w:r>
    </w:p>
  </w:footnote>
  <w:footnote w:id="316">
    <w:p w14:paraId="48DE7D5E" w14:textId="0CE1BF40"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UKEITI (January 2015), Minutes of the MSG’s 27 January 2015 meeting, accessed </w:t>
      </w:r>
      <w:hyperlink r:id="rId268"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pp.5-6. </w:t>
      </w:r>
    </w:p>
  </w:footnote>
  <w:footnote w:id="317">
    <w:p w14:paraId="730362F5" w14:textId="77777777" w:rsidR="001A1618" w:rsidRPr="00AF0D2D" w:rsidRDefault="001A1618" w:rsidP="00FD31A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UKEITI (June 2015), 2014 annual activity report, accessed </w:t>
      </w:r>
      <w:hyperlink r:id="rId269"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p.8.</w:t>
      </w:r>
    </w:p>
  </w:footnote>
  <w:footnote w:id="318">
    <w:p w14:paraId="63F843DE" w14:textId="77777777" w:rsidR="001A1618" w:rsidRPr="00AF0D2D" w:rsidRDefault="001A1618" w:rsidP="00FD31A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UKEITI (June 2015), 2014 annual activity report, accessed </w:t>
      </w:r>
      <w:hyperlink r:id="rId270"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p.8.</w:t>
      </w:r>
    </w:p>
  </w:footnote>
  <w:footnote w:id="319">
    <w:p w14:paraId="1CACD6CE" w14:textId="7912D8FB"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UKEITI (June 2017), 2016 annual progress report, accessed </w:t>
      </w:r>
      <w:hyperlink r:id="rId271"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p.15. </w:t>
      </w:r>
    </w:p>
  </w:footnote>
  <w:footnote w:id="320">
    <w:p w14:paraId="46508705" w14:textId="77777777" w:rsidR="001A1618" w:rsidRPr="00AF0D2D" w:rsidRDefault="001A1618" w:rsidP="00FD31A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Baker Tilly, BDO, Deloitte, Ernst &amp; Young, KPMG, Moore Stephens, NTT Data, PA Consulting Services and PWC. </w:t>
      </w:r>
    </w:p>
  </w:footnote>
  <w:footnote w:id="321">
    <w:p w14:paraId="4EB5A7E5" w14:textId="77777777" w:rsidR="001A1618" w:rsidRPr="00AF0D2D" w:rsidRDefault="001A1618" w:rsidP="00111C1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UKEITI (June 2015), 2014 annual activity report, accessed </w:t>
      </w:r>
      <w:hyperlink r:id="rId272"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p.9.</w:t>
      </w:r>
    </w:p>
  </w:footnote>
  <w:footnote w:id="322">
    <w:p w14:paraId="01C04E43" w14:textId="77777777" w:rsidR="001A1618" w:rsidRPr="00AF0D2D" w:rsidRDefault="001A1618" w:rsidP="00982DF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UKEITI (January 2015), Minutes of the MSG’s 27 January 2015 meeting, accessed </w:t>
      </w:r>
      <w:hyperlink r:id="rId273"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p.5. </w:t>
      </w:r>
    </w:p>
  </w:footnote>
  <w:footnote w:id="323">
    <w:p w14:paraId="6FA71138" w14:textId="213D11D7" w:rsidR="001A1618" w:rsidRPr="00AF0D2D" w:rsidRDefault="001A1618" w:rsidP="00111C1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UKEITI (June 2016), 2015 annual activity report, accessed </w:t>
      </w:r>
      <w:hyperlink r:id="rId274"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p.8.</w:t>
      </w:r>
    </w:p>
  </w:footnote>
  <w:footnote w:id="324">
    <w:p w14:paraId="7BE8EC94" w14:textId="77777777" w:rsidR="001A1618" w:rsidRPr="00AF0D2D" w:rsidRDefault="001A1618" w:rsidP="00982DF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UKEITI (January 2015), Minutes of the MSG’s 27 January 2015 meeting, accessed </w:t>
      </w:r>
      <w:hyperlink r:id="rId275"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p.6. </w:t>
      </w:r>
    </w:p>
  </w:footnote>
  <w:footnote w:id="325">
    <w:p w14:paraId="54A00192" w14:textId="22B6F1AC" w:rsidR="001A1618" w:rsidRPr="00AF0D2D" w:rsidRDefault="001A1618" w:rsidP="00D20086">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See for instance UKEITI (January 2015), Minutes of the MSG’s 27 January 2015 meeting, accessed </w:t>
      </w:r>
      <w:hyperlink r:id="rId276"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p.6. </w:t>
      </w:r>
    </w:p>
  </w:footnote>
  <w:footnote w:id="326">
    <w:p w14:paraId="7ACD8740" w14:textId="77777777" w:rsidR="001A1618" w:rsidRPr="00AF0D2D" w:rsidRDefault="001A1618" w:rsidP="0000526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UKEITI (June 2016), 2015 annual activity report, accessed </w:t>
      </w:r>
      <w:hyperlink r:id="rId277"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pp.8-9.</w:t>
      </w:r>
    </w:p>
  </w:footnote>
  <w:footnote w:id="327">
    <w:p w14:paraId="5B236BC5" w14:textId="77777777" w:rsidR="001A1618" w:rsidRPr="00AF0D2D" w:rsidRDefault="001A1618" w:rsidP="00EC0F8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UKEITI (June 2016), 2015 annual activity report, accessed </w:t>
      </w:r>
      <w:hyperlink r:id="rId278"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pp.8-9.</w:t>
      </w:r>
    </w:p>
  </w:footnote>
  <w:footnote w:id="328">
    <w:p w14:paraId="4DFA7B2C" w14:textId="4EE2FB51" w:rsidR="001A1618" w:rsidRPr="00AF0D2D" w:rsidRDefault="001A1618" w:rsidP="00EC0F8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UKEITI (June 2017), 2016 annual progress report, accessed </w:t>
      </w:r>
      <w:hyperlink r:id="rId279"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p.5. </w:t>
      </w:r>
    </w:p>
  </w:footnote>
  <w:footnote w:id="329">
    <w:p w14:paraId="12BB862D" w14:textId="1179ED79"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UKEITI (June 2018), 2017 annual progress report, accessed </w:t>
      </w:r>
      <w:hyperlink r:id="rId280"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p.5.</w:t>
      </w:r>
    </w:p>
  </w:footnote>
  <w:footnote w:id="330">
    <w:p w14:paraId="5D76E564" w14:textId="7F561905"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UKEITI (May 2015), Minutes of the MSG’s 19 May 2015 meeting, accessed </w:t>
      </w:r>
      <w:hyperlink r:id="rId281"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pp.6-7. </w:t>
      </w:r>
    </w:p>
  </w:footnote>
  <w:footnote w:id="331">
    <w:p w14:paraId="605C8FEA" w14:textId="3F0958E0"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UKEITI MSG meeting minutes for 2016-17, accessed </w:t>
      </w:r>
      <w:hyperlink r:id="rId282" w:anchor="minutes"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332">
    <w:p w14:paraId="11570357" w14:textId="3F104C17" w:rsidR="001A1618" w:rsidRPr="00AF0D2D" w:rsidRDefault="001A1618" w:rsidP="00787D99">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Gov.uk, ‘Guidance: Extractive Industries Transparency Initiative’, accessed </w:t>
      </w:r>
      <w:hyperlink r:id="rId283"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333">
    <w:p w14:paraId="1C1CFC25" w14:textId="356F1C55"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National Audit Office website, accessed </w:t>
      </w:r>
      <w:hyperlink r:id="rId284"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334">
    <w:p w14:paraId="064DAB40" w14:textId="1A01FD4A"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See for instance National Audit Office website, ‘NAO Annual Report and Accounts 2016-17’, accessed </w:t>
      </w:r>
      <w:hyperlink r:id="rId285"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w:t>
      </w:r>
    </w:p>
  </w:footnote>
  <w:footnote w:id="335">
    <w:p w14:paraId="6C9106A6" w14:textId="327D0993"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See for instance National Audit Office website, ‘Her Majesty’s Revenue &amp; Customs Annual Report and Accounts 2016-17’, accessed </w:t>
      </w:r>
      <w:hyperlink r:id="rId286"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w:t>
      </w:r>
    </w:p>
  </w:footnote>
  <w:footnote w:id="336">
    <w:p w14:paraId="5BE363BB" w14:textId="01BDEA8E" w:rsidR="001A1618" w:rsidRPr="00AF0D2D" w:rsidRDefault="001A1618" w:rsidP="002B5765">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Companies House website, ‘Extractives service’, accessed </w:t>
      </w:r>
      <w:hyperlink r:id="rId287"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337">
    <w:p w14:paraId="7FAD5614" w14:textId="77777777" w:rsidR="001A1618" w:rsidRPr="00AF0D2D" w:rsidRDefault="001A1618" w:rsidP="001C31C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Companies House, Corporate register search, accessed </w:t>
      </w:r>
      <w:hyperlink r:id="rId288"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338">
    <w:p w14:paraId="678F2F0E" w14:textId="77777777" w:rsidR="001A1618" w:rsidRPr="00AF0D2D" w:rsidRDefault="001A1618" w:rsidP="009C5B74">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UKEITI (June 2016), 2015 annual activity report, accessed </w:t>
      </w:r>
      <w:hyperlink r:id="rId289"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p.11.</w:t>
      </w:r>
    </w:p>
  </w:footnote>
  <w:footnote w:id="339">
    <w:p w14:paraId="2D29157B" w14:textId="2BFB8EC5"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UKEITI (August 2014), UK EITI Candidature Application, accessed </w:t>
      </w:r>
      <w:hyperlink r:id="rId290"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p.17.</w:t>
      </w:r>
    </w:p>
  </w:footnote>
  <w:footnote w:id="340">
    <w:p w14:paraId="4E7EB74C" w14:textId="5AA69167" w:rsidR="001A1618" w:rsidRPr="00AF0D2D" w:rsidRDefault="001A1618" w:rsidP="009275B4">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UKEITI (May 2015), Minutes of the MSG’s 19 May 2015 meeting, accessed </w:t>
      </w:r>
      <w:hyperlink r:id="rId291"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p.7. </w:t>
      </w:r>
    </w:p>
  </w:footnote>
  <w:footnote w:id="341">
    <w:p w14:paraId="70CCAEC4" w14:textId="77777777" w:rsidR="001A1618" w:rsidRPr="00AF0D2D" w:rsidRDefault="001A1618" w:rsidP="00E770F7">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 EITI webpage, Reports section, accessed </w:t>
      </w:r>
      <w:hyperlink r:id="rId292" w:anchor="reports"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w:t>
      </w:r>
    </w:p>
  </w:footnote>
  <w:footnote w:id="342">
    <w:p w14:paraId="6D6E8B02" w14:textId="0112DDDD"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EITI website, UK country page, accessed </w:t>
      </w:r>
      <w:hyperlink r:id="rId293" w:anchor="revenue-collection"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w:t>
      </w:r>
    </w:p>
  </w:footnote>
  <w:footnote w:id="343">
    <w:p w14:paraId="29C01959" w14:textId="77777777" w:rsidR="001A1618" w:rsidRPr="00AF0D2D" w:rsidRDefault="001A1618" w:rsidP="009A7A3F">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The Reports on Payments to Governments Regulations 2014, accessed </w:t>
      </w:r>
      <w:hyperlink r:id="rId294"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344">
    <w:p w14:paraId="062BAF25" w14:textId="07BDFC3F"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See for instance Gov.uk, Autumn Budget 2017, accessed </w:t>
      </w:r>
      <w:hyperlink r:id="rId295"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345">
    <w:p w14:paraId="621784FE" w14:textId="77777777" w:rsidR="001A1618" w:rsidRPr="00AF0D2D" w:rsidRDefault="001A1618" w:rsidP="00B43E8A">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Oil and Gas Authority (OGA) website, OGA annual report and accounts 2016-17, accessed </w:t>
      </w:r>
      <w:hyperlink r:id="rId296"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346">
    <w:p w14:paraId="072F8823" w14:textId="7EB03CD8" w:rsidR="001A1618" w:rsidRPr="00AF0D2D" w:rsidRDefault="001A1618" w:rsidP="00EE5439">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Office of National Statistics (July 2018), ‘Looking ahead – developments in public sector finance statistics: 2018’, accessed </w:t>
      </w:r>
      <w:hyperlink r:id="rId297"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347">
    <w:p w14:paraId="33491FA1" w14:textId="21ABEF73"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Oil and Gas Authority (July 2017), OGA Annual Report and Accounts 2016-17, accessed </w:t>
      </w:r>
      <w:hyperlink r:id="rId298"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w:t>
      </w:r>
    </w:p>
  </w:footnote>
  <w:footnote w:id="348">
    <w:p w14:paraId="7C7B3DDE" w14:textId="7D6B6BEB"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Miscellaneous Financial Provisions Act 1968, Section 2, accessed </w:t>
      </w:r>
      <w:hyperlink r:id="rId299"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w:t>
      </w:r>
    </w:p>
  </w:footnote>
  <w:footnote w:id="349">
    <w:p w14:paraId="1947AF3C" w14:textId="77777777" w:rsidR="001A1618" w:rsidRPr="00AF0D2D" w:rsidRDefault="001A1618" w:rsidP="007271A5">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Office of National Statistics website, ‘Population estimates’, accessed </w:t>
      </w:r>
      <w:hyperlink r:id="rId300"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350">
    <w:p w14:paraId="6441497F" w14:textId="168E428B" w:rsidR="001A1618" w:rsidRPr="00AF0D2D" w:rsidRDefault="001A1618" w:rsidP="00D83C37">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Oil and Gas Authority (OGA) website, OGA annual report and accounts 2016-17, accessed </w:t>
      </w:r>
      <w:hyperlink r:id="rId301"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p.100.  </w:t>
      </w:r>
    </w:p>
  </w:footnote>
  <w:footnote w:id="351">
    <w:p w14:paraId="1B05CA71" w14:textId="77777777" w:rsidR="001A1618" w:rsidRPr="00AF0D2D" w:rsidRDefault="001A1618" w:rsidP="007271A5">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Oil and Gas Authority (OGA) website, OGA annual report and accounts 2016-17, accessed </w:t>
      </w:r>
      <w:hyperlink r:id="rId302"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p.100.  </w:t>
      </w:r>
    </w:p>
  </w:footnote>
  <w:footnote w:id="352">
    <w:p w14:paraId="299E8692" w14:textId="4B0A8829"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E.g. see </w:t>
      </w:r>
      <w:r w:rsidRPr="00AF0D2D">
        <w:rPr>
          <w:rFonts w:ascii="Calibri Light" w:hAnsi="Calibri Light" w:cs="Calibri Light"/>
          <w:bCs/>
          <w:sz w:val="18"/>
          <w:szCs w:val="18"/>
          <w:lang w:val="en-GB"/>
        </w:rPr>
        <w:t xml:space="preserve">Northern Ireland’s Public Income and Expenditure Account for the year ended 31 March 2017, accessed </w:t>
      </w:r>
      <w:hyperlink r:id="rId303" w:history="1">
        <w:r w:rsidRPr="00AF0D2D">
          <w:rPr>
            <w:rStyle w:val="Hyperlink"/>
            <w:rFonts w:ascii="Calibri Light" w:hAnsi="Calibri Light" w:cs="Calibri Light"/>
            <w:bCs/>
            <w:sz w:val="18"/>
            <w:szCs w:val="18"/>
            <w:lang w:val="en-GB"/>
          </w:rPr>
          <w:t>here</w:t>
        </w:r>
      </w:hyperlink>
      <w:r w:rsidRPr="00AF0D2D">
        <w:rPr>
          <w:rFonts w:ascii="Calibri Light" w:hAnsi="Calibri Light" w:cs="Calibri Light"/>
          <w:bCs/>
          <w:sz w:val="18"/>
          <w:szCs w:val="18"/>
          <w:lang w:val="en-GB"/>
        </w:rPr>
        <w:t xml:space="preserve"> in September 2018, p.11.</w:t>
      </w:r>
    </w:p>
  </w:footnote>
  <w:footnote w:id="353">
    <w:p w14:paraId="7EB0E400" w14:textId="77777777" w:rsidR="001A1618" w:rsidRPr="00AF0D2D" w:rsidRDefault="001A1618" w:rsidP="00FA251C">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w:t>
      </w:r>
      <w:r w:rsidRPr="00AF0D2D">
        <w:rPr>
          <w:rFonts w:ascii="Calibri Light" w:hAnsi="Calibri Light" w:cs="Calibri Light"/>
          <w:bCs/>
          <w:sz w:val="18"/>
          <w:szCs w:val="18"/>
          <w:lang w:val="en-GB"/>
        </w:rPr>
        <w:t xml:space="preserve">Northern Ireland’s Public Income and Expenditure Account for the year ended 31 March 2017, op.cit., pp.6-7. </w:t>
      </w:r>
    </w:p>
  </w:footnote>
  <w:footnote w:id="354">
    <w:p w14:paraId="462DB7F8" w14:textId="29EDAAC4" w:rsidR="001A1618" w:rsidRPr="00AF0D2D" w:rsidRDefault="001A1618" w:rsidP="00D24CBE">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Requirement 5.2.a states: “Where transfers between national and sub-national government entities are related to revenues generated by the extractive industries and are mandated by a national constitution, statute or other revenue sharing mechanism...” </w:t>
      </w:r>
    </w:p>
  </w:footnote>
  <w:footnote w:id="355">
    <w:p w14:paraId="12EA75D4" w14:textId="77777777" w:rsidR="001A1618" w:rsidRPr="00AF0D2D" w:rsidRDefault="001A1618" w:rsidP="007271A5">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w:t>
      </w:r>
      <w:r w:rsidRPr="00AF0D2D">
        <w:rPr>
          <w:rFonts w:ascii="Calibri Light" w:hAnsi="Calibri Light" w:cs="Calibri Light"/>
          <w:bCs/>
          <w:sz w:val="18"/>
          <w:szCs w:val="18"/>
          <w:lang w:val="en-GB"/>
        </w:rPr>
        <w:t xml:space="preserve">Northern Ireland’s Public Income and Expenditure Account for the year ended 31 March 2017, accessed </w:t>
      </w:r>
      <w:hyperlink r:id="rId304" w:history="1">
        <w:r w:rsidRPr="00AF0D2D">
          <w:rPr>
            <w:rStyle w:val="Hyperlink"/>
            <w:rFonts w:ascii="Calibri Light" w:hAnsi="Calibri Light" w:cs="Calibri Light"/>
            <w:bCs/>
            <w:sz w:val="18"/>
            <w:szCs w:val="18"/>
            <w:lang w:val="en-GB"/>
          </w:rPr>
          <w:t>here</w:t>
        </w:r>
      </w:hyperlink>
      <w:r w:rsidRPr="00AF0D2D">
        <w:rPr>
          <w:rFonts w:ascii="Calibri Light" w:hAnsi="Calibri Light" w:cs="Calibri Light"/>
          <w:bCs/>
          <w:sz w:val="18"/>
          <w:szCs w:val="18"/>
          <w:lang w:val="en-GB"/>
        </w:rPr>
        <w:t xml:space="preserve"> in September 2018, p.11. </w:t>
      </w:r>
    </w:p>
  </w:footnote>
  <w:footnote w:id="356">
    <w:p w14:paraId="3E6FC34A" w14:textId="77777777" w:rsidR="001A1618" w:rsidRPr="00AF0D2D" w:rsidRDefault="001A1618" w:rsidP="007A35C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See for instance Gov.uk, Autumn Budget 2017, accessed </w:t>
      </w:r>
      <w:hyperlink r:id="rId305"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357">
    <w:p w14:paraId="59D136BC" w14:textId="77777777" w:rsidR="001A1618" w:rsidRPr="00AF0D2D" w:rsidRDefault="001A1618" w:rsidP="007A35C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National Audit Office, ‘Audit of Financial Statements’, accessed </w:t>
      </w:r>
      <w:hyperlink r:id="rId306"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358">
    <w:p w14:paraId="29A3B54E" w14:textId="268A4F71"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Parliament, Public Accounts Committee publications, accessed </w:t>
      </w:r>
      <w:hyperlink r:id="rId307"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359">
    <w:p w14:paraId="39994180" w14:textId="05FC5BD2"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Gov.uk, Digest of UK Energy Statistics (DUKES), accessed </w:t>
      </w:r>
      <w:hyperlink r:id="rId308"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360">
    <w:p w14:paraId="20F38812" w14:textId="77777777" w:rsidR="001A1618" w:rsidRPr="00AF0D2D" w:rsidRDefault="001A1618" w:rsidP="001A590F">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British Geological Survey, UK Minerals Yearbook, accessed </w:t>
      </w:r>
      <w:hyperlink r:id="rId309"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361">
    <w:p w14:paraId="71919193" w14:textId="77777777" w:rsidR="001A1618" w:rsidRPr="00AF0D2D" w:rsidRDefault="001A1618" w:rsidP="001A590F">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Gov.uk, ‘Building materials and components: monthly statistics’, accessed </w:t>
      </w:r>
      <w:hyperlink r:id="rId310"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362">
    <w:p w14:paraId="54F05BDC" w14:textId="31B3D902" w:rsidR="001A1618" w:rsidRPr="00AF0D2D" w:rsidRDefault="001A1618" w:rsidP="00DF162E">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So-called after Section 106 of the Town and Country Planning Act 1990 in England and Wales. The equivalent legal requirements in Scotland and Northern Ireland are section 75 of the Town and Country Planning (Scotland) Act 1997 (as amended by the Planning etc. (Scotland) Act 2006) and Article 40 of the Planning (Northern Ireland) Order 1991. </w:t>
      </w:r>
    </w:p>
  </w:footnote>
  <w:footnote w:id="363">
    <w:p w14:paraId="6FF931B0" w14:textId="3CC900F1"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Local Government Association website, ‘S106 obligations overview’, accessed </w:t>
      </w:r>
      <w:hyperlink r:id="rId311"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364">
    <w:p w14:paraId="43B01864" w14:textId="5F5DD65B"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See for instance Litchfield District Council website, ‘Section 106’, accessed </w:t>
      </w:r>
      <w:hyperlink r:id="rId312"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365">
    <w:p w14:paraId="4DC4B418" w14:textId="77777777" w:rsidR="001A1618" w:rsidRPr="00AF0D2D" w:rsidRDefault="001A1618" w:rsidP="00D17CB2">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OGA (November 2017), ‘New Government-funded ‘Frontier’ exploration data now available’, accessed </w:t>
      </w:r>
      <w:hyperlink r:id="rId313"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366">
    <w:p w14:paraId="0E3DD1B1" w14:textId="77777777" w:rsidR="001A1618" w:rsidRPr="00AF0D2D" w:rsidRDefault="001A1618" w:rsidP="00D17CB2">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OGA (September 2017), ‘OGA welcomes further government support for exploration’, accessed </w:t>
      </w:r>
      <w:hyperlink r:id="rId314"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367">
    <w:p w14:paraId="3C3E9744" w14:textId="2EED55A6"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Office for National Statistics, ‘UK gross domestic product (output approach) low-level aggregates’, accessed </w:t>
      </w:r>
      <w:hyperlink r:id="rId315"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368">
    <w:p w14:paraId="15BE48FF" w14:textId="4AC564A0"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Gov.uk, ‘HMRC Tax Receipts and National Insurance Contributions for the UK’, accessed </w:t>
      </w:r>
      <w:hyperlink r:id="rId316"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369">
    <w:p w14:paraId="48B3B1B6" w14:textId="36C22B26"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Office for National Statistics, ‘Public sector current receipts: Appendix D’, accessed </w:t>
      </w:r>
      <w:hyperlink r:id="rId317"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370">
    <w:p w14:paraId="2DAD6CC6" w14:textId="19C385D4"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Office for National Statistics, ‘Publication tables, UK trade in goods, CPA (08)’, accessed </w:t>
      </w:r>
      <w:hyperlink r:id="rId318"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and ‘</w:t>
      </w:r>
    </w:p>
  </w:footnote>
  <w:footnote w:id="371">
    <w:p w14:paraId="793627C6" w14:textId="734A316C"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Office for National Statistics, ‘UK labour market: March 2018’, accessed </w:t>
      </w:r>
      <w:hyperlink r:id="rId319"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June 2018. </w:t>
      </w:r>
    </w:p>
  </w:footnote>
  <w:footnote w:id="372">
    <w:p w14:paraId="623CD811" w14:textId="54A973C4"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Office for National Statistics, ‘Industry (2, 3 and 5 - digit SIC) - Business Register and Employment Survey (BRES): Table 2’, accessed </w:t>
      </w:r>
      <w:hyperlink r:id="rId320"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373">
    <w:p w14:paraId="57B2EEC3" w14:textId="6A7773EB" w:rsidR="001A1618" w:rsidRPr="00AF0D2D" w:rsidRDefault="001A1618" w:rsidP="009002FD">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Oil and Gas Authority website, ‘Interactive maps and tools’, accessed </w:t>
      </w:r>
      <w:hyperlink r:id="rId321"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374">
    <w:p w14:paraId="5E1FB5E6" w14:textId="27D598A9"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British Geological Survey, MineralsUK, ‘Minerals Information Online’, accessed </w:t>
      </w:r>
      <w:hyperlink r:id="rId322"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July 2018. </w:t>
      </w:r>
    </w:p>
  </w:footnote>
  <w:footnote w:id="375">
    <w:p w14:paraId="25602162" w14:textId="77777777" w:rsidR="001A1618" w:rsidRPr="00AF0D2D" w:rsidRDefault="001A1618" w:rsidP="002321C6">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OGA website, EITI webpage, accessed </w:t>
      </w:r>
      <w:hyperlink r:id="rId323"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376">
    <w:p w14:paraId="2DDA133F" w14:textId="05AA3B1E"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 EITI (2015) Communications Plan. </w:t>
      </w:r>
      <w:hyperlink r:id="rId324" w:history="1">
        <w:r w:rsidRPr="00AF0D2D">
          <w:rPr>
            <w:rStyle w:val="Hyperlink"/>
            <w:rFonts w:ascii="Calibri Light" w:hAnsi="Calibri Light" w:cs="Calibri Light"/>
            <w:sz w:val="18"/>
            <w:szCs w:val="18"/>
            <w:lang w:val="en-GB"/>
          </w:rPr>
          <w:t>https://assets.publishing.service.gov.uk/government/uploads/system/uploads/attachment_data/file/484744/Updated-EITI_Communications_Plan-_Dec-April_2016-1.pdf</w:t>
        </w:r>
      </w:hyperlink>
      <w:r w:rsidRPr="00AF0D2D">
        <w:rPr>
          <w:rFonts w:ascii="Calibri Light" w:hAnsi="Calibri Light" w:cs="Calibri Light"/>
          <w:sz w:val="18"/>
          <w:szCs w:val="18"/>
          <w:lang w:val="en-GB"/>
        </w:rPr>
        <w:t xml:space="preserve"> </w:t>
      </w:r>
    </w:p>
  </w:footnote>
  <w:footnote w:id="377">
    <w:p w14:paraId="466F2DEF" w14:textId="08299410"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 EITI (2017) Open Data Policy </w:t>
      </w:r>
      <w:hyperlink r:id="rId325" w:history="1">
        <w:r w:rsidRPr="00AF0D2D">
          <w:rPr>
            <w:rStyle w:val="Hyperlink"/>
            <w:rFonts w:ascii="Calibri Light" w:hAnsi="Calibri Light" w:cs="Calibri Light"/>
            <w:sz w:val="18"/>
            <w:szCs w:val="18"/>
            <w:lang w:val="en-GB"/>
          </w:rPr>
          <w:t>https://assets.publishing.service.gov.uk/government/uploads/system/uploads/attachment_data/file/584959/UK_EITI_Open_Data_policy_paper.pdf</w:t>
        </w:r>
      </w:hyperlink>
      <w:r w:rsidRPr="00AF0D2D">
        <w:rPr>
          <w:rFonts w:ascii="Calibri Light" w:hAnsi="Calibri Light" w:cs="Calibri Light"/>
          <w:sz w:val="18"/>
          <w:szCs w:val="18"/>
          <w:lang w:val="en-GB"/>
        </w:rPr>
        <w:t xml:space="preserve"> </w:t>
      </w:r>
    </w:p>
  </w:footnote>
  <w:footnote w:id="378">
    <w:p w14:paraId="54138D6B" w14:textId="04FFCFF7"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w:t>
      </w:r>
      <w:hyperlink r:id="rId326" w:history="1">
        <w:r w:rsidRPr="00AF0D2D">
          <w:rPr>
            <w:rStyle w:val="Hyperlink"/>
            <w:rFonts w:ascii="Calibri Light" w:hAnsi="Calibri Light" w:cs="Calibri Light"/>
            <w:sz w:val="18"/>
            <w:szCs w:val="18"/>
            <w:lang w:val="en-GB"/>
          </w:rPr>
          <w:t>https://data.gov.uk/dataset/1ce0afa8-fade-4333-9983-32b3cb4a87e3/uk-extractive-industries-transparency-initiative-eiti</w:t>
        </w:r>
      </w:hyperlink>
      <w:r w:rsidRPr="00AF0D2D">
        <w:rPr>
          <w:rFonts w:ascii="Calibri Light" w:hAnsi="Calibri Light" w:cs="Calibri Light"/>
          <w:sz w:val="18"/>
          <w:szCs w:val="18"/>
          <w:lang w:val="en-GB"/>
        </w:rPr>
        <w:t xml:space="preserve"> </w:t>
      </w:r>
    </w:p>
  </w:footnote>
  <w:footnote w:id="379">
    <w:p w14:paraId="38A35E1E" w14:textId="77777777" w:rsidR="001A1618" w:rsidRPr="00AF0D2D" w:rsidRDefault="001A1618" w:rsidP="00D3341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PWYP (September 2018), ‘News: New PWYP UK study explores UK EITI and mandatory payments data variances’, accessed </w:t>
      </w:r>
      <w:hyperlink r:id="rId327"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 w:id="380">
    <w:p w14:paraId="7E006C12" w14:textId="3320D804"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w:t>
      </w:r>
      <w:hyperlink r:id="rId328" w:history="1">
        <w:r w:rsidRPr="00AF0D2D">
          <w:rPr>
            <w:rStyle w:val="Hyperlink"/>
            <w:rFonts w:ascii="Calibri Light" w:hAnsi="Calibri Light" w:cs="Calibri Light"/>
            <w:sz w:val="18"/>
            <w:szCs w:val="18"/>
            <w:lang w:val="en-GB"/>
          </w:rPr>
          <w:t>https://drive.google.com/drive/folders/0B361RU22DTPfS2RYRmRIcWhEWUE</w:t>
        </w:r>
      </w:hyperlink>
      <w:r w:rsidRPr="00AF0D2D">
        <w:rPr>
          <w:rFonts w:ascii="Calibri Light" w:hAnsi="Calibri Light" w:cs="Calibri Light"/>
          <w:sz w:val="18"/>
          <w:szCs w:val="18"/>
          <w:lang w:val="en-GB"/>
        </w:rPr>
        <w:t xml:space="preserve"> </w:t>
      </w:r>
    </w:p>
  </w:footnote>
  <w:footnote w:id="381">
    <w:p w14:paraId="0660D533" w14:textId="77ADAFC9"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 EITI (2018) UK EITI Annual Progress Report 2017. </w:t>
      </w:r>
      <w:hyperlink r:id="rId329" w:history="1">
        <w:r w:rsidRPr="00AF0D2D">
          <w:rPr>
            <w:rStyle w:val="Hyperlink"/>
            <w:rFonts w:ascii="Calibri Light" w:hAnsi="Calibri Light" w:cs="Calibri Light"/>
            <w:sz w:val="18"/>
            <w:szCs w:val="18"/>
            <w:lang w:val="en-GB"/>
          </w:rPr>
          <w:t>https://assets.publishing.service.gov.uk/government/uploads/system/uploads/attachment_data/file/720851/uk-eiti-progress-report-2017.pdf</w:t>
        </w:r>
      </w:hyperlink>
      <w:r w:rsidRPr="00AF0D2D">
        <w:rPr>
          <w:rFonts w:ascii="Calibri Light" w:hAnsi="Calibri Light" w:cs="Calibri Light"/>
          <w:sz w:val="18"/>
          <w:szCs w:val="18"/>
          <w:lang w:val="en-GB"/>
        </w:rPr>
        <w:t xml:space="preserve"> </w:t>
      </w:r>
    </w:p>
  </w:footnote>
  <w:footnote w:id="382">
    <w:p w14:paraId="2B3D0630" w14:textId="23EAB43A" w:rsidR="001A1618" w:rsidRPr="00AF0D2D" w:rsidRDefault="001A1618">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 EITI (2018) “Terms of Reference: EITI systematic disclosure feasibility study, UK”. July 2018 </w:t>
      </w:r>
      <w:hyperlink r:id="rId330" w:history="1">
        <w:r w:rsidRPr="00AF0D2D">
          <w:rPr>
            <w:rStyle w:val="Hyperlink"/>
            <w:rFonts w:ascii="Calibri Light" w:hAnsi="Calibri Light" w:cs="Calibri Light"/>
            <w:sz w:val="18"/>
            <w:szCs w:val="18"/>
            <w:lang w:val="en-GB"/>
          </w:rPr>
          <w:t>https://assets.publishing.service.gov.uk/government/uploads/system/uploads/attachment_data/file/731918/eiti-msg-systematic-disclosure-study-tor.pdf</w:t>
        </w:r>
      </w:hyperlink>
      <w:r w:rsidRPr="00AF0D2D">
        <w:rPr>
          <w:rFonts w:ascii="Calibri Light" w:hAnsi="Calibri Light" w:cs="Calibri Light"/>
          <w:sz w:val="18"/>
          <w:szCs w:val="18"/>
          <w:lang w:val="en-GB"/>
        </w:rPr>
        <w:t xml:space="preserve"> </w:t>
      </w:r>
    </w:p>
  </w:footnote>
  <w:footnote w:id="383">
    <w:p w14:paraId="19920255" w14:textId="6FE372CB" w:rsidR="001A1618" w:rsidRPr="00AF0D2D" w:rsidRDefault="001A1618" w:rsidP="00817BD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UKEITI (June 2016), 2015 annual activity report, op.cit., p.23; UKEITI (June 2017), 2016 annual activity report, op.cit., p.13; and UKEITI (June 2017), 2016 annual activity report, op.cit., p.13.</w:t>
      </w:r>
    </w:p>
  </w:footnote>
  <w:footnote w:id="384">
    <w:p w14:paraId="1A0C4D3D" w14:textId="77777777" w:rsidR="001A1618" w:rsidRPr="00AF0D2D" w:rsidRDefault="001A1618" w:rsidP="00900450">
      <w:pPr>
        <w:pStyle w:val="FootnoteText"/>
        <w:rPr>
          <w:rFonts w:ascii="Calibri Light" w:hAnsi="Calibri Light" w:cs="Calibri Light"/>
          <w:sz w:val="18"/>
          <w:szCs w:val="18"/>
          <w:lang w:val="en-GB"/>
        </w:rPr>
      </w:pPr>
      <w:r w:rsidRPr="00AF0D2D">
        <w:rPr>
          <w:rStyle w:val="FootnoteReference"/>
          <w:rFonts w:ascii="Calibri Light" w:hAnsi="Calibri Light" w:cs="Calibri Light"/>
          <w:sz w:val="18"/>
          <w:szCs w:val="18"/>
          <w:lang w:val="en-GB"/>
        </w:rPr>
        <w:footnoteRef/>
      </w:r>
      <w:r w:rsidRPr="00AF0D2D">
        <w:rPr>
          <w:rFonts w:ascii="Calibri Light" w:hAnsi="Calibri Light" w:cs="Calibri Light"/>
          <w:sz w:val="18"/>
          <w:szCs w:val="18"/>
          <w:lang w:val="en-GB"/>
        </w:rPr>
        <w:t xml:space="preserve"> PWYP (September 2018), ‘News: New PWYP UK study explores UK EITI and mandatory payments data variances’, accessed </w:t>
      </w:r>
      <w:hyperlink r:id="rId331" w:history="1">
        <w:r w:rsidRPr="00AF0D2D">
          <w:rPr>
            <w:rStyle w:val="Hyperlink"/>
            <w:rFonts w:ascii="Calibri Light" w:hAnsi="Calibri Light" w:cs="Calibri Light"/>
            <w:sz w:val="18"/>
            <w:szCs w:val="18"/>
            <w:lang w:val="en-GB"/>
          </w:rPr>
          <w:t>here</w:t>
        </w:r>
      </w:hyperlink>
      <w:r w:rsidRPr="00AF0D2D">
        <w:rPr>
          <w:rFonts w:ascii="Calibri Light" w:hAnsi="Calibri Light" w:cs="Calibri Light"/>
          <w:sz w:val="18"/>
          <w:szCs w:val="18"/>
          <w:lang w:val="en-GB"/>
        </w:rPr>
        <w:t xml:space="preserve"> in September 2018.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48B88" w14:textId="77777777" w:rsidR="001A1618" w:rsidRDefault="001A161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B48DD" w14:textId="6BABFC9D" w:rsidR="001A1618" w:rsidRPr="00E03D03" w:rsidRDefault="001A1618" w:rsidP="00E03D03">
    <w:pPr>
      <w:pStyle w:val="Header"/>
      <w:spacing w:line="240" w:lineRule="auto"/>
      <w:jc w:val="right"/>
      <w:rPr>
        <w:color w:val="000000" w:themeColor="text1"/>
        <w:sz w:val="20"/>
      </w:rPr>
    </w:pPr>
    <w:r w:rsidRPr="00E03D03">
      <w:rPr>
        <w:rFonts w:ascii="Calibri" w:hAnsi="Calibri"/>
        <w:b/>
        <w:noProof/>
        <w:color w:val="000000" w:themeColor="text1"/>
        <w:sz w:val="20"/>
        <w:szCs w:val="20"/>
        <w:lang w:eastAsia="x-none" w:bidi="en-US"/>
      </w:rPr>
      <w:fldChar w:fldCharType="begin"/>
    </w:r>
    <w:r w:rsidRPr="00E03D03">
      <w:rPr>
        <w:rFonts w:ascii="Calibri" w:hAnsi="Calibri"/>
        <w:b/>
        <w:noProof/>
        <w:color w:val="000000" w:themeColor="text1"/>
        <w:sz w:val="20"/>
        <w:szCs w:val="20"/>
        <w:lang w:eastAsia="x-none" w:bidi="en-US"/>
      </w:rPr>
      <w:instrText>PAGE   \* MERGEFORMAT</w:instrText>
    </w:r>
    <w:r w:rsidRPr="00E03D03">
      <w:rPr>
        <w:rFonts w:ascii="Calibri" w:hAnsi="Calibri"/>
        <w:b/>
        <w:noProof/>
        <w:color w:val="000000" w:themeColor="text1"/>
        <w:sz w:val="20"/>
        <w:szCs w:val="20"/>
        <w:lang w:eastAsia="x-none" w:bidi="en-US"/>
      </w:rPr>
      <w:fldChar w:fldCharType="separate"/>
    </w:r>
    <w:r>
      <w:rPr>
        <w:rFonts w:ascii="Calibri" w:hAnsi="Calibri"/>
        <w:b/>
        <w:noProof/>
        <w:color w:val="000000" w:themeColor="text1"/>
        <w:sz w:val="20"/>
        <w:szCs w:val="20"/>
        <w:lang w:eastAsia="x-none" w:bidi="en-US"/>
      </w:rPr>
      <w:t>50</w:t>
    </w:r>
    <w:r w:rsidRPr="00E03D03">
      <w:rPr>
        <w:rFonts w:ascii="Calibri" w:hAnsi="Calibri"/>
        <w:b/>
        <w:noProof/>
        <w:color w:val="000000" w:themeColor="text1"/>
        <w:sz w:val="20"/>
        <w:szCs w:val="20"/>
        <w:lang w:eastAsia="x-none" w:bidi="en-US"/>
      </w:rPr>
      <w:fldChar w:fldCharType="end"/>
    </w:r>
    <w:r>
      <w:rPr>
        <w:rFonts w:ascii="Calibri" w:hAnsi="Calibri"/>
        <w:b/>
        <w:noProof/>
        <w:color w:val="000000" w:themeColor="text1"/>
        <w:sz w:val="20"/>
        <w:szCs w:val="20"/>
        <w:lang w:eastAsia="x-none" w:bidi="en-US"/>
      </w:rPr>
      <w:br/>
    </w:r>
    <w:r>
      <w:rPr>
        <w:rFonts w:ascii="Calibri" w:hAnsi="Calibri"/>
        <w:noProof/>
        <w:color w:val="000000" w:themeColor="text1"/>
        <w:sz w:val="20"/>
        <w:szCs w:val="20"/>
        <w:lang w:eastAsia="x-none" w:bidi="en-US"/>
      </w:rPr>
      <w:br/>
    </w:r>
    <w:r w:rsidRPr="00E03D03">
      <w:rPr>
        <w:rFonts w:ascii="Calibri" w:hAnsi="Calibri"/>
        <w:noProof/>
        <w:color w:val="000000" w:themeColor="text1"/>
        <w:sz w:val="20"/>
        <w:szCs w:val="20"/>
        <w:lang w:eastAsia="x-none" w:bidi="en-US"/>
      </w:rPr>
      <w:t xml:space="preserve">Validation of </w:t>
    </w:r>
    <w:r>
      <w:rPr>
        <w:rFonts w:ascii="Calibri" w:hAnsi="Calibri"/>
        <w:noProof/>
        <w:sz w:val="20"/>
        <w:szCs w:val="20"/>
        <w:lang w:eastAsia="x-none" w:bidi="en-US"/>
      </w:rPr>
      <w:t>the United Kingdom</w:t>
    </w:r>
    <w:r w:rsidRPr="00E03D03">
      <w:rPr>
        <w:rFonts w:ascii="Calibri" w:hAnsi="Calibri"/>
        <w:noProof/>
        <w:color w:val="000000" w:themeColor="text1"/>
        <w:sz w:val="20"/>
        <w:szCs w:val="20"/>
        <w:lang w:eastAsia="x-none" w:bidi="en-US"/>
      </w:rPr>
      <w:t>: Report on initial data collection and stakeholder consultation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371497997"/>
      <w:docPartObj>
        <w:docPartGallery w:val="Page Numbers (Top of Page)"/>
        <w:docPartUnique/>
      </w:docPartObj>
    </w:sdtPr>
    <w:sdtEndPr>
      <w:rPr>
        <w:rFonts w:ascii="Calibri" w:hAnsi="Calibri"/>
        <w:noProof/>
        <w:szCs w:val="20"/>
        <w:lang w:eastAsia="x-none" w:bidi="en-US"/>
      </w:rPr>
    </w:sdtEndPr>
    <w:sdtContent>
      <w:p w14:paraId="5AAA6514" w14:textId="31754258" w:rsidR="001A1618" w:rsidRPr="00E03D03" w:rsidRDefault="001A1618" w:rsidP="002D2DB6">
        <w:pPr>
          <w:pStyle w:val="Header"/>
          <w:spacing w:after="0" w:line="240" w:lineRule="auto"/>
          <w:jc w:val="right"/>
          <w:rPr>
            <w:rFonts w:ascii="Calibri" w:hAnsi="Calibri"/>
            <w:b/>
            <w:noProof/>
            <w:sz w:val="20"/>
            <w:szCs w:val="20"/>
            <w:lang w:eastAsia="x-none" w:bidi="en-US"/>
          </w:rPr>
        </w:pPr>
        <w:r w:rsidRPr="001E2B08">
          <w:rPr>
            <w:rFonts w:ascii="Calibri" w:hAnsi="Calibri"/>
            <w:b/>
            <w:noProof/>
            <w:sz w:val="20"/>
            <w:szCs w:val="20"/>
            <w:lang w:eastAsia="x-none" w:bidi="en-US"/>
          </w:rPr>
          <w:fldChar w:fldCharType="begin"/>
        </w:r>
        <w:r w:rsidRPr="001E2B08">
          <w:rPr>
            <w:rFonts w:ascii="Calibri" w:hAnsi="Calibri"/>
            <w:b/>
            <w:noProof/>
            <w:sz w:val="20"/>
            <w:szCs w:val="20"/>
            <w:lang w:eastAsia="x-none" w:bidi="en-US"/>
          </w:rPr>
          <w:instrText>PAGE   \* MERGEFORMAT</w:instrText>
        </w:r>
        <w:r w:rsidRPr="001E2B08">
          <w:rPr>
            <w:rFonts w:ascii="Calibri" w:hAnsi="Calibri"/>
            <w:b/>
            <w:noProof/>
            <w:sz w:val="20"/>
            <w:szCs w:val="20"/>
            <w:lang w:eastAsia="x-none" w:bidi="en-US"/>
          </w:rPr>
          <w:fldChar w:fldCharType="separate"/>
        </w:r>
        <w:r>
          <w:rPr>
            <w:rFonts w:ascii="Calibri" w:hAnsi="Calibri"/>
            <w:b/>
            <w:noProof/>
            <w:sz w:val="20"/>
            <w:szCs w:val="20"/>
            <w:lang w:eastAsia="x-none" w:bidi="en-US"/>
          </w:rPr>
          <w:t>49</w:t>
        </w:r>
        <w:r w:rsidRPr="001E2B08">
          <w:rPr>
            <w:rFonts w:ascii="Calibri" w:hAnsi="Calibri"/>
            <w:b/>
            <w:noProof/>
            <w:sz w:val="20"/>
            <w:szCs w:val="20"/>
            <w:lang w:eastAsia="x-none" w:bidi="en-US"/>
          </w:rPr>
          <w:fldChar w:fldCharType="end"/>
        </w:r>
        <w:r>
          <w:rPr>
            <w:rFonts w:ascii="Calibri" w:hAnsi="Calibri"/>
            <w:b/>
            <w:noProof/>
            <w:sz w:val="20"/>
            <w:szCs w:val="20"/>
            <w:lang w:eastAsia="x-none" w:bidi="en-US"/>
          </w:rPr>
          <w:br/>
        </w:r>
      </w:p>
      <w:p w14:paraId="55F48A7A" w14:textId="45E8374E" w:rsidR="001A1618" w:rsidRPr="00E03D03" w:rsidRDefault="001A1618" w:rsidP="00E03D03">
        <w:pPr>
          <w:pStyle w:val="Header"/>
          <w:spacing w:line="240" w:lineRule="auto"/>
          <w:jc w:val="right"/>
        </w:pPr>
        <w:r w:rsidRPr="00590D8E">
          <w:rPr>
            <w:rFonts w:ascii="Calibri" w:hAnsi="Calibri"/>
            <w:noProof/>
            <w:sz w:val="20"/>
            <w:szCs w:val="20"/>
            <w:lang w:eastAsia="x-none" w:bidi="en-US"/>
          </w:rPr>
          <w:t xml:space="preserve">Validation of </w:t>
        </w:r>
        <w:r>
          <w:rPr>
            <w:rFonts w:ascii="Calibri" w:hAnsi="Calibri"/>
            <w:noProof/>
            <w:sz w:val="20"/>
            <w:szCs w:val="20"/>
            <w:lang w:eastAsia="x-none" w:bidi="en-US"/>
          </w:rPr>
          <w:t xml:space="preserve">the United Kingdom: </w:t>
        </w:r>
        <w:r w:rsidRPr="00590D8E">
          <w:rPr>
            <w:rFonts w:ascii="Calibri" w:hAnsi="Calibri"/>
            <w:noProof/>
            <w:sz w:val="20"/>
            <w:szCs w:val="20"/>
            <w:lang w:eastAsia="x-none" w:bidi="en-US"/>
          </w:rPr>
          <w:t>Report on initial data collection and stakeholder consultation</w:t>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7418547"/>
      <w:docPartObj>
        <w:docPartGallery w:val="Page Numbers (Top of Page)"/>
        <w:docPartUnique/>
      </w:docPartObj>
    </w:sdtPr>
    <w:sdtEndPr>
      <w:rPr>
        <w:rFonts w:ascii="Calibri" w:hAnsi="Calibri"/>
        <w:noProof/>
        <w:sz w:val="20"/>
        <w:szCs w:val="20"/>
        <w:lang w:eastAsia="x-none" w:bidi="en-US"/>
      </w:rPr>
    </w:sdtEndPr>
    <w:sdtContent>
      <w:p w14:paraId="64C4A17F" w14:textId="0DFD9D83" w:rsidR="001A1618" w:rsidRPr="001E2B08" w:rsidRDefault="001A1618" w:rsidP="002D2DB6">
        <w:pPr>
          <w:pStyle w:val="Header"/>
          <w:spacing w:after="0" w:line="240" w:lineRule="auto"/>
          <w:jc w:val="right"/>
          <w:rPr>
            <w:rFonts w:ascii="Calibri" w:hAnsi="Calibri"/>
            <w:b/>
            <w:noProof/>
            <w:sz w:val="20"/>
            <w:szCs w:val="20"/>
            <w:lang w:eastAsia="x-none" w:bidi="en-US"/>
          </w:rPr>
        </w:pPr>
        <w:r w:rsidRPr="001E2B08">
          <w:rPr>
            <w:rFonts w:ascii="Calibri" w:hAnsi="Calibri"/>
            <w:b/>
            <w:noProof/>
            <w:sz w:val="20"/>
            <w:szCs w:val="20"/>
            <w:lang w:eastAsia="x-none" w:bidi="en-US"/>
          </w:rPr>
          <w:fldChar w:fldCharType="begin"/>
        </w:r>
        <w:r w:rsidRPr="001E2B08">
          <w:rPr>
            <w:rFonts w:ascii="Calibri" w:hAnsi="Calibri"/>
            <w:b/>
            <w:noProof/>
            <w:sz w:val="20"/>
            <w:szCs w:val="20"/>
            <w:lang w:eastAsia="x-none" w:bidi="en-US"/>
          </w:rPr>
          <w:instrText>PAGE   \* MERGEFORMAT</w:instrText>
        </w:r>
        <w:r w:rsidRPr="001E2B08">
          <w:rPr>
            <w:rFonts w:ascii="Calibri" w:hAnsi="Calibri"/>
            <w:b/>
            <w:noProof/>
            <w:sz w:val="20"/>
            <w:szCs w:val="20"/>
            <w:lang w:eastAsia="x-none" w:bidi="en-US"/>
          </w:rPr>
          <w:fldChar w:fldCharType="separate"/>
        </w:r>
        <w:r>
          <w:rPr>
            <w:rFonts w:ascii="Calibri" w:hAnsi="Calibri"/>
            <w:b/>
            <w:noProof/>
            <w:sz w:val="20"/>
            <w:szCs w:val="20"/>
            <w:lang w:eastAsia="x-none" w:bidi="en-US"/>
          </w:rPr>
          <w:t>53</w:t>
        </w:r>
        <w:r w:rsidRPr="001E2B08">
          <w:rPr>
            <w:rFonts w:ascii="Calibri" w:hAnsi="Calibri"/>
            <w:b/>
            <w:noProof/>
            <w:sz w:val="20"/>
            <w:szCs w:val="20"/>
            <w:lang w:eastAsia="x-none" w:bidi="en-US"/>
          </w:rPr>
          <w:fldChar w:fldCharType="end"/>
        </w:r>
        <w:r>
          <w:rPr>
            <w:rFonts w:ascii="Calibri" w:hAnsi="Calibri"/>
            <w:b/>
            <w:noProof/>
            <w:sz w:val="20"/>
            <w:szCs w:val="20"/>
            <w:lang w:eastAsia="x-none" w:bidi="en-US"/>
          </w:rPr>
          <w:br/>
        </w:r>
      </w:p>
      <w:p w14:paraId="66746C50" w14:textId="3FF67345" w:rsidR="001A1618" w:rsidRPr="00E03D03" w:rsidRDefault="001A1618" w:rsidP="00E03D03">
        <w:pPr>
          <w:pStyle w:val="Header"/>
          <w:spacing w:line="240" w:lineRule="auto"/>
          <w:jc w:val="right"/>
        </w:pPr>
        <w:r w:rsidRPr="00590D8E">
          <w:rPr>
            <w:rFonts w:ascii="Calibri" w:hAnsi="Calibri"/>
            <w:noProof/>
            <w:sz w:val="20"/>
            <w:szCs w:val="20"/>
            <w:lang w:eastAsia="x-none" w:bidi="en-US"/>
          </w:rPr>
          <w:t xml:space="preserve">Validation of </w:t>
        </w:r>
        <w:r>
          <w:rPr>
            <w:rFonts w:ascii="Calibri" w:hAnsi="Calibri"/>
            <w:noProof/>
            <w:sz w:val="20"/>
            <w:szCs w:val="20"/>
            <w:lang w:eastAsia="x-none" w:bidi="en-US"/>
          </w:rPr>
          <w:t xml:space="preserve">the United Kingdom: </w:t>
        </w:r>
        <w:r w:rsidRPr="00590D8E">
          <w:rPr>
            <w:rFonts w:ascii="Calibri" w:hAnsi="Calibri"/>
            <w:noProof/>
            <w:sz w:val="20"/>
            <w:szCs w:val="20"/>
            <w:lang w:eastAsia="x-none" w:bidi="en-US"/>
          </w:rPr>
          <w:t>Report on initial data collection and stakeholder consultation</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4609491"/>
      <w:docPartObj>
        <w:docPartGallery w:val="Page Numbers (Top of Page)"/>
        <w:docPartUnique/>
      </w:docPartObj>
    </w:sdtPr>
    <w:sdtEndPr>
      <w:rPr>
        <w:rFonts w:ascii="Calibri" w:hAnsi="Calibri"/>
        <w:noProof/>
        <w:sz w:val="20"/>
        <w:szCs w:val="20"/>
        <w:lang w:eastAsia="x-none" w:bidi="en-US"/>
      </w:rPr>
    </w:sdtEndPr>
    <w:sdtContent>
      <w:p w14:paraId="69A93BAF" w14:textId="5A3E9416" w:rsidR="001A1618" w:rsidRPr="001E2B08" w:rsidRDefault="001A1618" w:rsidP="001E2B08">
        <w:pPr>
          <w:pStyle w:val="Header"/>
          <w:spacing w:after="0" w:line="240" w:lineRule="auto"/>
          <w:jc w:val="right"/>
          <w:rPr>
            <w:rFonts w:ascii="Calibri" w:hAnsi="Calibri"/>
            <w:b/>
            <w:noProof/>
            <w:sz w:val="20"/>
            <w:szCs w:val="20"/>
            <w:lang w:eastAsia="x-none" w:bidi="en-US"/>
          </w:rPr>
        </w:pPr>
        <w:r w:rsidRPr="001E2B08">
          <w:rPr>
            <w:rFonts w:ascii="Calibri" w:hAnsi="Calibri"/>
            <w:b/>
            <w:noProof/>
            <w:sz w:val="20"/>
            <w:szCs w:val="20"/>
            <w:lang w:eastAsia="x-none" w:bidi="en-US"/>
          </w:rPr>
          <w:fldChar w:fldCharType="begin"/>
        </w:r>
        <w:r w:rsidRPr="001E2B08">
          <w:rPr>
            <w:rFonts w:ascii="Calibri" w:hAnsi="Calibri"/>
            <w:b/>
            <w:noProof/>
            <w:sz w:val="20"/>
            <w:szCs w:val="20"/>
            <w:lang w:eastAsia="x-none" w:bidi="en-US"/>
          </w:rPr>
          <w:instrText>PAGE   \* MERGEFORMAT</w:instrText>
        </w:r>
        <w:r w:rsidRPr="001E2B08">
          <w:rPr>
            <w:rFonts w:ascii="Calibri" w:hAnsi="Calibri"/>
            <w:b/>
            <w:noProof/>
            <w:sz w:val="20"/>
            <w:szCs w:val="20"/>
            <w:lang w:eastAsia="x-none" w:bidi="en-US"/>
          </w:rPr>
          <w:fldChar w:fldCharType="separate"/>
        </w:r>
        <w:r>
          <w:rPr>
            <w:rFonts w:ascii="Calibri" w:hAnsi="Calibri"/>
            <w:b/>
            <w:noProof/>
            <w:sz w:val="20"/>
            <w:szCs w:val="20"/>
            <w:lang w:eastAsia="x-none" w:bidi="en-US"/>
          </w:rPr>
          <w:t>2</w:t>
        </w:r>
        <w:r w:rsidRPr="001E2B08">
          <w:rPr>
            <w:rFonts w:ascii="Calibri" w:hAnsi="Calibri"/>
            <w:b/>
            <w:noProof/>
            <w:sz w:val="20"/>
            <w:szCs w:val="20"/>
            <w:lang w:eastAsia="x-none" w:bidi="en-US"/>
          </w:rPr>
          <w:fldChar w:fldCharType="end"/>
        </w:r>
      </w:p>
      <w:p w14:paraId="4884BC7D" w14:textId="2ABF2BE0" w:rsidR="001A1618" w:rsidRDefault="001A1618" w:rsidP="00E03D03">
        <w:pPr>
          <w:pStyle w:val="Header"/>
          <w:spacing w:line="240" w:lineRule="auto"/>
          <w:jc w:val="right"/>
        </w:pPr>
        <w:r w:rsidRPr="00590D8E">
          <w:rPr>
            <w:rFonts w:ascii="Calibri" w:hAnsi="Calibri"/>
            <w:noProof/>
            <w:sz w:val="20"/>
            <w:szCs w:val="20"/>
            <w:lang w:eastAsia="x-none" w:bidi="en-US"/>
          </w:rPr>
          <w:t xml:space="preserve">Validation of </w:t>
        </w:r>
        <w:r>
          <w:rPr>
            <w:rFonts w:ascii="Calibri" w:hAnsi="Calibri"/>
            <w:noProof/>
            <w:sz w:val="20"/>
            <w:szCs w:val="20"/>
            <w:lang w:eastAsia="x-none" w:bidi="en-US"/>
          </w:rPr>
          <w:t xml:space="preserve">the United Kingdom: </w:t>
        </w:r>
        <w:r w:rsidRPr="00590D8E">
          <w:rPr>
            <w:rFonts w:ascii="Calibri" w:hAnsi="Calibri"/>
            <w:noProof/>
            <w:sz w:val="20"/>
            <w:szCs w:val="20"/>
            <w:lang w:eastAsia="x-none" w:bidi="en-US"/>
          </w:rPr>
          <w:t>Report on initial data collection and stakeholder consultation</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E56C4" w14:textId="77777777" w:rsidR="001A1618" w:rsidRPr="00815E17" w:rsidRDefault="001A1618" w:rsidP="00854AF1">
    <w:pPr>
      <w:tabs>
        <w:tab w:val="left" w:pos="3800"/>
      </w:tabs>
      <w:jc w:val="right"/>
      <w:rPr>
        <w:i/>
        <w:iCs/>
        <w:color w:val="808080"/>
        <w:sz w:val="20"/>
        <w:szCs w:val="20"/>
      </w:rPr>
    </w:pPr>
    <w:r w:rsidRPr="00815E17">
      <w:rPr>
        <w:noProof/>
        <w:lang w:eastAsia="ja-JP"/>
      </w:rPr>
      <w:drawing>
        <wp:anchor distT="0" distB="0" distL="114300" distR="114300" simplePos="0" relativeHeight="251658243" behindDoc="1" locked="0" layoutInCell="1" allowOverlap="1" wp14:anchorId="4B8388F3" wp14:editId="1029B3C3">
          <wp:simplePos x="0" y="0"/>
          <wp:positionH relativeFrom="page">
            <wp:posOffset>720090</wp:posOffset>
          </wp:positionH>
          <wp:positionV relativeFrom="page">
            <wp:posOffset>558165</wp:posOffset>
          </wp:positionV>
          <wp:extent cx="2485593" cy="508635"/>
          <wp:effectExtent l="0" t="0" r="3810" b="0"/>
          <wp:wrapNone/>
          <wp:docPr id="15" name="Picture 15" descr="EitimyriadPro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itimyriadPro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5692" cy="508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F5ACAD" w14:textId="77777777" w:rsidR="001A1618" w:rsidRDefault="001A16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41D67" w14:textId="4B58092D" w:rsidR="001A1618" w:rsidRPr="0097728B" w:rsidRDefault="001A1618" w:rsidP="00AC4A18">
    <w:pPr>
      <w:pStyle w:val="Header"/>
      <w:spacing w:line="240" w:lineRule="auto"/>
      <w:jc w:val="right"/>
      <w:rPr>
        <w:rFonts w:ascii="Calibri" w:hAnsi="Calibri"/>
        <w:noProof/>
        <w:color w:val="000000" w:themeColor="text1"/>
        <w:sz w:val="20"/>
        <w:szCs w:val="20"/>
        <w:lang w:eastAsia="x-none" w:bidi="en-US"/>
      </w:rPr>
    </w:pPr>
    <w:r w:rsidRPr="00E03D03">
      <w:rPr>
        <w:rFonts w:ascii="Calibri" w:hAnsi="Calibri"/>
        <w:b/>
        <w:noProof/>
        <w:color w:val="000000" w:themeColor="text1"/>
        <w:sz w:val="20"/>
        <w:szCs w:val="20"/>
        <w:lang w:eastAsia="x-none" w:bidi="en-US"/>
      </w:rPr>
      <w:fldChar w:fldCharType="begin"/>
    </w:r>
    <w:r w:rsidRPr="00E03D03">
      <w:rPr>
        <w:rFonts w:ascii="Calibri" w:hAnsi="Calibri"/>
        <w:b/>
        <w:noProof/>
        <w:color w:val="000000" w:themeColor="text1"/>
        <w:sz w:val="20"/>
        <w:szCs w:val="20"/>
        <w:lang w:eastAsia="x-none" w:bidi="en-US"/>
      </w:rPr>
      <w:instrText>PAGE   \* MERGEFORMAT</w:instrText>
    </w:r>
    <w:r w:rsidRPr="00E03D03">
      <w:rPr>
        <w:rFonts w:ascii="Calibri" w:hAnsi="Calibri"/>
        <w:b/>
        <w:noProof/>
        <w:color w:val="000000" w:themeColor="text1"/>
        <w:sz w:val="20"/>
        <w:szCs w:val="20"/>
        <w:lang w:eastAsia="x-none" w:bidi="en-US"/>
      </w:rPr>
      <w:fldChar w:fldCharType="separate"/>
    </w:r>
    <w:r>
      <w:rPr>
        <w:rFonts w:ascii="Calibri" w:hAnsi="Calibri"/>
        <w:b/>
        <w:noProof/>
        <w:color w:val="000000" w:themeColor="text1"/>
        <w:sz w:val="20"/>
        <w:szCs w:val="20"/>
        <w:lang w:eastAsia="x-none" w:bidi="en-US"/>
      </w:rPr>
      <w:t>7</w:t>
    </w:r>
    <w:r w:rsidRPr="00E03D03">
      <w:rPr>
        <w:rFonts w:ascii="Calibri" w:hAnsi="Calibri"/>
        <w:b/>
        <w:noProof/>
        <w:color w:val="000000" w:themeColor="text1"/>
        <w:sz w:val="20"/>
        <w:szCs w:val="20"/>
        <w:lang w:eastAsia="x-none" w:bidi="en-US"/>
      </w:rPr>
      <w:fldChar w:fldCharType="end"/>
    </w:r>
    <w:r>
      <w:rPr>
        <w:rFonts w:ascii="Calibri" w:hAnsi="Calibri"/>
        <w:noProof/>
        <w:color w:val="000000" w:themeColor="text1"/>
        <w:sz w:val="20"/>
        <w:szCs w:val="20"/>
        <w:lang w:eastAsia="x-none" w:bidi="en-US"/>
      </w:rPr>
      <w:br/>
    </w:r>
    <w:r w:rsidRPr="00E03D03">
      <w:rPr>
        <w:rFonts w:ascii="Calibri" w:hAnsi="Calibri"/>
        <w:noProof/>
        <w:color w:val="000000" w:themeColor="text1"/>
        <w:sz w:val="20"/>
        <w:szCs w:val="20"/>
        <w:lang w:eastAsia="x-none" w:bidi="en-US"/>
      </w:rPr>
      <w:t xml:space="preserve">Validation of </w:t>
    </w:r>
    <w:r>
      <w:rPr>
        <w:rFonts w:ascii="Calibri" w:hAnsi="Calibri"/>
        <w:noProof/>
        <w:sz w:val="20"/>
        <w:szCs w:val="20"/>
        <w:lang w:eastAsia="x-none" w:bidi="en-US"/>
      </w:rPr>
      <w:t>the United Kingdom</w:t>
    </w:r>
    <w:r w:rsidRPr="00E03D03">
      <w:rPr>
        <w:rFonts w:ascii="Calibri" w:hAnsi="Calibri"/>
        <w:noProof/>
        <w:color w:val="000000" w:themeColor="text1"/>
        <w:sz w:val="20"/>
        <w:szCs w:val="20"/>
        <w:lang w:eastAsia="x-none" w:bidi="en-US"/>
      </w:rPr>
      <w:t>: Report on initial data collection and stakeholder consultation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4101089"/>
      <w:docPartObj>
        <w:docPartGallery w:val="Page Numbers (Top of Page)"/>
        <w:docPartUnique/>
      </w:docPartObj>
    </w:sdtPr>
    <w:sdtEndPr>
      <w:rPr>
        <w:rFonts w:ascii="Calibri" w:hAnsi="Calibri"/>
        <w:noProof/>
        <w:sz w:val="20"/>
        <w:szCs w:val="20"/>
        <w:lang w:eastAsia="x-none" w:bidi="en-US"/>
      </w:rPr>
    </w:sdtEndPr>
    <w:sdtContent>
      <w:p w14:paraId="3AAF3349" w14:textId="131B5FDC" w:rsidR="001A1618" w:rsidRPr="001E2B08" w:rsidRDefault="001A1618" w:rsidP="002D2DB6">
        <w:pPr>
          <w:pStyle w:val="Header"/>
          <w:spacing w:after="0" w:line="240" w:lineRule="auto"/>
          <w:jc w:val="right"/>
          <w:rPr>
            <w:rFonts w:ascii="Calibri" w:hAnsi="Calibri"/>
            <w:b/>
            <w:noProof/>
            <w:sz w:val="20"/>
            <w:szCs w:val="20"/>
            <w:lang w:eastAsia="x-none" w:bidi="en-US"/>
          </w:rPr>
        </w:pPr>
        <w:r w:rsidRPr="001E2B08">
          <w:rPr>
            <w:rFonts w:ascii="Calibri" w:hAnsi="Calibri"/>
            <w:b/>
            <w:noProof/>
            <w:sz w:val="20"/>
            <w:szCs w:val="20"/>
            <w:lang w:eastAsia="x-none" w:bidi="en-US"/>
          </w:rPr>
          <w:fldChar w:fldCharType="begin"/>
        </w:r>
        <w:r w:rsidRPr="001E2B08">
          <w:rPr>
            <w:rFonts w:ascii="Calibri" w:hAnsi="Calibri"/>
            <w:b/>
            <w:noProof/>
            <w:sz w:val="20"/>
            <w:szCs w:val="20"/>
            <w:lang w:eastAsia="x-none" w:bidi="en-US"/>
          </w:rPr>
          <w:instrText>PAGE   \* MERGEFORMAT</w:instrText>
        </w:r>
        <w:r w:rsidRPr="001E2B08">
          <w:rPr>
            <w:rFonts w:ascii="Calibri" w:hAnsi="Calibri"/>
            <w:b/>
            <w:noProof/>
            <w:sz w:val="20"/>
            <w:szCs w:val="20"/>
            <w:lang w:eastAsia="x-none" w:bidi="en-US"/>
          </w:rPr>
          <w:fldChar w:fldCharType="separate"/>
        </w:r>
        <w:r>
          <w:rPr>
            <w:rFonts w:ascii="Calibri" w:hAnsi="Calibri"/>
            <w:b/>
            <w:noProof/>
            <w:sz w:val="20"/>
            <w:szCs w:val="20"/>
            <w:lang w:eastAsia="x-none" w:bidi="en-US"/>
          </w:rPr>
          <w:t>3</w:t>
        </w:r>
        <w:r w:rsidRPr="001E2B08">
          <w:rPr>
            <w:rFonts w:ascii="Calibri" w:hAnsi="Calibri"/>
            <w:b/>
            <w:noProof/>
            <w:sz w:val="20"/>
            <w:szCs w:val="20"/>
            <w:lang w:eastAsia="x-none" w:bidi="en-US"/>
          </w:rPr>
          <w:fldChar w:fldCharType="end"/>
        </w:r>
      </w:p>
      <w:p w14:paraId="5CB7FEAA" w14:textId="4A98BA0E" w:rsidR="001A1618" w:rsidRPr="00E03D03" w:rsidRDefault="001A1618" w:rsidP="00E03D03">
        <w:pPr>
          <w:pStyle w:val="Header"/>
          <w:spacing w:line="240" w:lineRule="auto"/>
          <w:jc w:val="right"/>
        </w:pPr>
        <w:r w:rsidRPr="00590D8E">
          <w:rPr>
            <w:rFonts w:ascii="Calibri" w:hAnsi="Calibri"/>
            <w:noProof/>
            <w:sz w:val="20"/>
            <w:szCs w:val="20"/>
            <w:lang w:eastAsia="x-none" w:bidi="en-US"/>
          </w:rPr>
          <w:t xml:space="preserve">Validation of </w:t>
        </w:r>
        <w:r>
          <w:rPr>
            <w:rFonts w:ascii="Calibri" w:hAnsi="Calibri"/>
            <w:noProof/>
            <w:sz w:val="20"/>
            <w:szCs w:val="20"/>
            <w:lang w:eastAsia="x-none" w:bidi="en-US"/>
          </w:rPr>
          <w:t xml:space="preserve">the United Kingdom: </w:t>
        </w:r>
        <w:r w:rsidRPr="00590D8E">
          <w:rPr>
            <w:rFonts w:ascii="Calibri" w:hAnsi="Calibri"/>
            <w:noProof/>
            <w:sz w:val="20"/>
            <w:szCs w:val="20"/>
            <w:lang w:eastAsia="x-none" w:bidi="en-US"/>
          </w:rPr>
          <w:t>Report on initial data collection and stakeholder consultation</w:t>
        </w:r>
        <w:r>
          <w:rPr>
            <w:rFonts w:ascii="Calibri" w:hAnsi="Calibri"/>
            <w:noProof/>
            <w:sz w:val="20"/>
            <w:szCs w:val="20"/>
            <w:lang w:eastAsia="x-none" w:bidi="en-US"/>
          </w:rPr>
          <w:br/>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314225"/>
      <w:docPartObj>
        <w:docPartGallery w:val="Page Numbers (Top of Page)"/>
        <w:docPartUnique/>
      </w:docPartObj>
    </w:sdtPr>
    <w:sdtEndPr>
      <w:rPr>
        <w:rFonts w:ascii="Calibri" w:hAnsi="Calibri"/>
        <w:noProof/>
        <w:sz w:val="20"/>
        <w:szCs w:val="20"/>
        <w:lang w:eastAsia="x-none" w:bidi="en-US"/>
      </w:rPr>
    </w:sdtEndPr>
    <w:sdtContent>
      <w:p w14:paraId="68953D44" w14:textId="27FD70A0" w:rsidR="001A1618" w:rsidRPr="001E2B08" w:rsidRDefault="001A1618" w:rsidP="002D2DB6">
        <w:pPr>
          <w:pStyle w:val="Header"/>
          <w:spacing w:after="0" w:line="240" w:lineRule="auto"/>
          <w:jc w:val="right"/>
          <w:rPr>
            <w:rFonts w:ascii="Calibri" w:hAnsi="Calibri"/>
            <w:b/>
            <w:noProof/>
            <w:sz w:val="20"/>
            <w:szCs w:val="20"/>
            <w:lang w:eastAsia="x-none" w:bidi="en-US"/>
          </w:rPr>
        </w:pPr>
        <w:r w:rsidRPr="001E2B08">
          <w:rPr>
            <w:rFonts w:ascii="Calibri" w:hAnsi="Calibri"/>
            <w:b/>
            <w:noProof/>
            <w:sz w:val="20"/>
            <w:szCs w:val="20"/>
            <w:lang w:eastAsia="x-none" w:bidi="en-US"/>
          </w:rPr>
          <w:fldChar w:fldCharType="begin"/>
        </w:r>
        <w:r w:rsidRPr="001E2B08">
          <w:rPr>
            <w:rFonts w:ascii="Calibri" w:hAnsi="Calibri"/>
            <w:b/>
            <w:noProof/>
            <w:sz w:val="20"/>
            <w:szCs w:val="20"/>
            <w:lang w:eastAsia="x-none" w:bidi="en-US"/>
          </w:rPr>
          <w:instrText>PAGE   \* MERGEFORMAT</w:instrText>
        </w:r>
        <w:r w:rsidRPr="001E2B08">
          <w:rPr>
            <w:rFonts w:ascii="Calibri" w:hAnsi="Calibri"/>
            <w:b/>
            <w:noProof/>
            <w:sz w:val="20"/>
            <w:szCs w:val="20"/>
            <w:lang w:eastAsia="x-none" w:bidi="en-US"/>
          </w:rPr>
          <w:fldChar w:fldCharType="separate"/>
        </w:r>
        <w:r>
          <w:rPr>
            <w:rFonts w:ascii="Calibri" w:hAnsi="Calibri"/>
            <w:b/>
            <w:noProof/>
            <w:sz w:val="20"/>
            <w:szCs w:val="20"/>
            <w:lang w:eastAsia="x-none" w:bidi="en-US"/>
          </w:rPr>
          <w:t>5</w:t>
        </w:r>
        <w:r w:rsidRPr="001E2B08">
          <w:rPr>
            <w:rFonts w:ascii="Calibri" w:hAnsi="Calibri"/>
            <w:b/>
            <w:noProof/>
            <w:sz w:val="20"/>
            <w:szCs w:val="20"/>
            <w:lang w:eastAsia="x-none" w:bidi="en-US"/>
          </w:rPr>
          <w:fldChar w:fldCharType="end"/>
        </w:r>
      </w:p>
      <w:p w14:paraId="405C435A" w14:textId="05EE099B" w:rsidR="001A1618" w:rsidRPr="0097728B" w:rsidRDefault="001A1618">
        <w:pPr>
          <w:pStyle w:val="Header"/>
          <w:spacing w:line="240" w:lineRule="auto"/>
          <w:jc w:val="right"/>
          <w:rPr>
            <w:rFonts w:ascii="Calibri" w:hAnsi="Calibri"/>
            <w:noProof/>
            <w:color w:val="000000" w:themeColor="text1"/>
            <w:sz w:val="20"/>
            <w:szCs w:val="20"/>
            <w:lang w:eastAsia="x-none" w:bidi="en-US"/>
          </w:rPr>
        </w:pPr>
        <w:r w:rsidRPr="00590D8E">
          <w:rPr>
            <w:rFonts w:ascii="Calibri" w:hAnsi="Calibri"/>
            <w:noProof/>
            <w:sz w:val="20"/>
            <w:szCs w:val="20"/>
            <w:lang w:eastAsia="x-none" w:bidi="en-US"/>
          </w:rPr>
          <w:t xml:space="preserve">Validation of </w:t>
        </w:r>
        <w:r>
          <w:rPr>
            <w:rFonts w:ascii="Calibri" w:hAnsi="Calibri"/>
            <w:noProof/>
            <w:sz w:val="20"/>
            <w:szCs w:val="20"/>
            <w:lang w:eastAsia="x-none" w:bidi="en-US"/>
          </w:rPr>
          <w:t xml:space="preserve">the United Kingdom: </w:t>
        </w:r>
        <w:r w:rsidRPr="00590D8E">
          <w:rPr>
            <w:rFonts w:ascii="Calibri" w:hAnsi="Calibri"/>
            <w:noProof/>
            <w:sz w:val="20"/>
            <w:szCs w:val="20"/>
            <w:lang w:eastAsia="x-none" w:bidi="en-US"/>
          </w:rPr>
          <w:t>Report on initial data collection and stakeholder consultation</w:t>
        </w:r>
        <w:r>
          <w:rPr>
            <w:rFonts w:ascii="Calibri" w:hAnsi="Calibri"/>
            <w:noProof/>
            <w:sz w:val="20"/>
            <w:szCs w:val="20"/>
            <w:lang w:eastAsia="x-none" w:bidi="en-US"/>
          </w:rPr>
          <w:br/>
        </w:r>
        <w:r>
          <w:rPr>
            <w:rFonts w:ascii="Calibri" w:hAnsi="Calibri"/>
            <w:noProof/>
            <w:sz w:val="20"/>
            <w:szCs w:val="20"/>
            <w:lang w:eastAsia="x-none" w:bidi="en-US"/>
          </w:rPr>
          <w:fldChar w:fldCharType="begin"/>
        </w:r>
        <w:r>
          <w:rPr>
            <w:rFonts w:ascii="Calibri" w:hAnsi="Calibri"/>
            <w:noProof/>
            <w:sz w:val="20"/>
            <w:szCs w:val="20"/>
            <w:lang w:eastAsia="x-none" w:bidi="en-US"/>
          </w:rPr>
          <w:instrText xml:space="preserve"> STYLEREF "Heading 1" \* MERGEFORMAT </w:instrText>
        </w:r>
        <w:r>
          <w:rPr>
            <w:rFonts w:ascii="Calibri" w:hAnsi="Calibri"/>
            <w:noProof/>
            <w:sz w:val="20"/>
            <w:szCs w:val="20"/>
            <w:lang w:eastAsia="x-none" w:bidi="en-US"/>
          </w:rPr>
          <w:fldChar w:fldCharType="separate"/>
        </w:r>
        <w:r w:rsidR="000047B5">
          <w:rPr>
            <w:rFonts w:ascii="Calibri" w:hAnsi="Calibri"/>
            <w:noProof/>
            <w:sz w:val="20"/>
            <w:szCs w:val="20"/>
            <w:lang w:eastAsia="x-none" w:bidi="en-US"/>
          </w:rPr>
          <w:t>Executive Summary</w:t>
        </w:r>
        <w:r>
          <w:rPr>
            <w:rFonts w:ascii="Calibri" w:hAnsi="Calibri"/>
            <w:noProof/>
            <w:sz w:val="20"/>
            <w:szCs w:val="20"/>
            <w:lang w:eastAsia="x-none" w:bidi="en-US"/>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A1A94" w14:textId="0E8A3F0F" w:rsidR="001A1618" w:rsidRPr="00E03D03" w:rsidRDefault="001A1618" w:rsidP="00E03D03">
    <w:pPr>
      <w:pStyle w:val="Header"/>
      <w:spacing w:line="240" w:lineRule="auto"/>
      <w:jc w:val="right"/>
      <w:rPr>
        <w:color w:val="000000" w:themeColor="text1"/>
      </w:rPr>
    </w:pPr>
    <w:r w:rsidRPr="00E03D03">
      <w:rPr>
        <w:rFonts w:ascii="Calibri" w:hAnsi="Calibri"/>
        <w:b/>
        <w:noProof/>
        <w:color w:val="000000" w:themeColor="text1"/>
        <w:sz w:val="20"/>
        <w:szCs w:val="20"/>
        <w:lang w:eastAsia="x-none" w:bidi="en-US"/>
      </w:rPr>
      <w:fldChar w:fldCharType="begin"/>
    </w:r>
    <w:r w:rsidRPr="00E03D03">
      <w:rPr>
        <w:rFonts w:ascii="Calibri" w:hAnsi="Calibri"/>
        <w:b/>
        <w:noProof/>
        <w:color w:val="000000" w:themeColor="text1"/>
        <w:sz w:val="20"/>
        <w:szCs w:val="20"/>
        <w:lang w:eastAsia="x-none" w:bidi="en-US"/>
      </w:rPr>
      <w:instrText>PAGE   \* MERGEFORMAT</w:instrText>
    </w:r>
    <w:r w:rsidRPr="00E03D03">
      <w:rPr>
        <w:rFonts w:ascii="Calibri" w:hAnsi="Calibri"/>
        <w:b/>
        <w:noProof/>
        <w:color w:val="000000" w:themeColor="text1"/>
        <w:sz w:val="20"/>
        <w:szCs w:val="20"/>
        <w:lang w:eastAsia="x-none" w:bidi="en-US"/>
      </w:rPr>
      <w:fldChar w:fldCharType="separate"/>
    </w:r>
    <w:r>
      <w:rPr>
        <w:rFonts w:ascii="Calibri" w:hAnsi="Calibri"/>
        <w:b/>
        <w:noProof/>
        <w:color w:val="000000" w:themeColor="text1"/>
        <w:sz w:val="20"/>
        <w:szCs w:val="20"/>
        <w:lang w:eastAsia="x-none" w:bidi="en-US"/>
      </w:rPr>
      <w:t>18</w:t>
    </w:r>
    <w:r w:rsidRPr="00E03D03">
      <w:rPr>
        <w:rFonts w:ascii="Calibri" w:hAnsi="Calibri"/>
        <w:b/>
        <w:noProof/>
        <w:color w:val="000000" w:themeColor="text1"/>
        <w:sz w:val="20"/>
        <w:szCs w:val="20"/>
        <w:lang w:eastAsia="x-none" w:bidi="en-US"/>
      </w:rPr>
      <w:fldChar w:fldCharType="end"/>
    </w:r>
    <w:r>
      <w:rPr>
        <w:rFonts w:ascii="Calibri" w:hAnsi="Calibri"/>
        <w:noProof/>
        <w:color w:val="000000" w:themeColor="text1"/>
        <w:sz w:val="20"/>
        <w:szCs w:val="20"/>
        <w:lang w:eastAsia="x-none" w:bidi="en-US"/>
      </w:rPr>
      <w:br/>
    </w:r>
    <w:r w:rsidRPr="00E03D03">
      <w:rPr>
        <w:rFonts w:ascii="Calibri" w:hAnsi="Calibri"/>
        <w:noProof/>
        <w:color w:val="000000" w:themeColor="text1"/>
        <w:sz w:val="20"/>
        <w:szCs w:val="20"/>
        <w:lang w:eastAsia="x-none" w:bidi="en-US"/>
      </w:rPr>
      <w:t xml:space="preserve">Validation of </w:t>
    </w:r>
    <w:r>
      <w:rPr>
        <w:rFonts w:ascii="Calibri" w:hAnsi="Calibri"/>
        <w:noProof/>
        <w:sz w:val="20"/>
        <w:szCs w:val="20"/>
        <w:lang w:eastAsia="x-none" w:bidi="en-US"/>
      </w:rPr>
      <w:t>the United Kingdom</w:t>
    </w:r>
    <w:r w:rsidRPr="00E03D03">
      <w:rPr>
        <w:rFonts w:ascii="Calibri" w:hAnsi="Calibri"/>
        <w:noProof/>
        <w:color w:val="000000" w:themeColor="text1"/>
        <w:sz w:val="20"/>
        <w:szCs w:val="20"/>
        <w:lang w:eastAsia="x-none" w:bidi="en-US"/>
      </w:rPr>
      <w:t>: Report on initial data collection and stakeholder consultation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741867"/>
      <w:docPartObj>
        <w:docPartGallery w:val="Page Numbers (Top of Page)"/>
        <w:docPartUnique/>
      </w:docPartObj>
    </w:sdtPr>
    <w:sdtEndPr>
      <w:rPr>
        <w:rFonts w:ascii="Calibri" w:hAnsi="Calibri"/>
        <w:noProof/>
        <w:sz w:val="20"/>
        <w:szCs w:val="20"/>
        <w:lang w:eastAsia="x-none" w:bidi="en-US"/>
      </w:rPr>
    </w:sdtEndPr>
    <w:sdtContent>
      <w:p w14:paraId="4FFD2934" w14:textId="0AD03FDE" w:rsidR="001A1618" w:rsidRPr="001E2B08" w:rsidRDefault="001A1618" w:rsidP="002D2DB6">
        <w:pPr>
          <w:pStyle w:val="Header"/>
          <w:spacing w:after="0" w:line="240" w:lineRule="auto"/>
          <w:jc w:val="right"/>
          <w:rPr>
            <w:rFonts w:ascii="Calibri" w:hAnsi="Calibri"/>
            <w:b/>
            <w:noProof/>
            <w:sz w:val="20"/>
            <w:szCs w:val="20"/>
            <w:lang w:eastAsia="x-none" w:bidi="en-US"/>
          </w:rPr>
        </w:pPr>
        <w:r w:rsidRPr="001E2B08">
          <w:rPr>
            <w:rFonts w:ascii="Calibri" w:hAnsi="Calibri"/>
            <w:b/>
            <w:noProof/>
            <w:sz w:val="20"/>
            <w:szCs w:val="20"/>
            <w:lang w:eastAsia="x-none" w:bidi="en-US"/>
          </w:rPr>
          <w:fldChar w:fldCharType="begin"/>
        </w:r>
        <w:r w:rsidRPr="001E2B08">
          <w:rPr>
            <w:rFonts w:ascii="Calibri" w:hAnsi="Calibri"/>
            <w:b/>
            <w:noProof/>
            <w:sz w:val="20"/>
            <w:szCs w:val="20"/>
            <w:lang w:eastAsia="x-none" w:bidi="en-US"/>
          </w:rPr>
          <w:instrText>PAGE   \* MERGEFORMAT</w:instrText>
        </w:r>
        <w:r w:rsidRPr="001E2B08">
          <w:rPr>
            <w:rFonts w:ascii="Calibri" w:hAnsi="Calibri"/>
            <w:b/>
            <w:noProof/>
            <w:sz w:val="20"/>
            <w:szCs w:val="20"/>
            <w:lang w:eastAsia="x-none" w:bidi="en-US"/>
          </w:rPr>
          <w:fldChar w:fldCharType="separate"/>
        </w:r>
        <w:r>
          <w:rPr>
            <w:rFonts w:ascii="Calibri" w:hAnsi="Calibri"/>
            <w:b/>
            <w:noProof/>
            <w:sz w:val="20"/>
            <w:szCs w:val="20"/>
            <w:lang w:eastAsia="x-none" w:bidi="en-US"/>
          </w:rPr>
          <w:t>9</w:t>
        </w:r>
        <w:r w:rsidRPr="001E2B08">
          <w:rPr>
            <w:rFonts w:ascii="Calibri" w:hAnsi="Calibri"/>
            <w:b/>
            <w:noProof/>
            <w:sz w:val="20"/>
            <w:szCs w:val="20"/>
            <w:lang w:eastAsia="x-none" w:bidi="en-US"/>
          </w:rPr>
          <w:fldChar w:fldCharType="end"/>
        </w:r>
      </w:p>
      <w:p w14:paraId="3E22872F" w14:textId="472C1A74" w:rsidR="001A1618" w:rsidRPr="0097728B" w:rsidRDefault="001A1618">
        <w:pPr>
          <w:pStyle w:val="Header"/>
          <w:spacing w:line="240" w:lineRule="auto"/>
          <w:jc w:val="right"/>
          <w:rPr>
            <w:rFonts w:ascii="Calibri" w:hAnsi="Calibri"/>
            <w:noProof/>
            <w:sz w:val="20"/>
            <w:szCs w:val="20"/>
            <w:lang w:eastAsia="x-none" w:bidi="en-US"/>
          </w:rPr>
        </w:pPr>
        <w:r w:rsidRPr="00590D8E">
          <w:rPr>
            <w:rFonts w:ascii="Calibri" w:hAnsi="Calibri"/>
            <w:noProof/>
            <w:sz w:val="20"/>
            <w:szCs w:val="20"/>
            <w:lang w:eastAsia="x-none" w:bidi="en-US"/>
          </w:rPr>
          <w:t xml:space="preserve">Validation of </w:t>
        </w:r>
        <w:r>
          <w:rPr>
            <w:rFonts w:ascii="Calibri" w:hAnsi="Calibri"/>
            <w:noProof/>
            <w:sz w:val="20"/>
            <w:szCs w:val="20"/>
            <w:lang w:eastAsia="x-none" w:bidi="en-US"/>
          </w:rPr>
          <w:t xml:space="preserve">the United Kingdom: </w:t>
        </w:r>
        <w:r w:rsidRPr="00590D8E">
          <w:rPr>
            <w:rFonts w:ascii="Calibri" w:hAnsi="Calibri"/>
            <w:noProof/>
            <w:sz w:val="20"/>
            <w:szCs w:val="20"/>
            <w:lang w:eastAsia="x-none" w:bidi="en-US"/>
          </w:rPr>
          <w:t>Report on initial data collection and stakeholder consultation</w:t>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6120140"/>
      <w:docPartObj>
        <w:docPartGallery w:val="Page Numbers (Top of Page)"/>
        <w:docPartUnique/>
      </w:docPartObj>
    </w:sdtPr>
    <w:sdtEndPr>
      <w:rPr>
        <w:rFonts w:ascii="Calibri" w:hAnsi="Calibri"/>
        <w:noProof/>
        <w:sz w:val="20"/>
        <w:szCs w:val="20"/>
        <w:lang w:eastAsia="x-none" w:bidi="en-US"/>
      </w:rPr>
    </w:sdtEndPr>
    <w:sdtContent>
      <w:p w14:paraId="743DDB50" w14:textId="06F2561A" w:rsidR="001A1618" w:rsidRPr="0097728B" w:rsidRDefault="001A1618" w:rsidP="0097728B">
        <w:pPr>
          <w:pStyle w:val="Header"/>
          <w:spacing w:line="240" w:lineRule="auto"/>
          <w:jc w:val="center"/>
          <w:rPr>
            <w:rFonts w:ascii="Calibri" w:hAnsi="Calibri"/>
            <w:noProof/>
            <w:sz w:val="20"/>
            <w:szCs w:val="20"/>
            <w:lang w:eastAsia="x-none" w:bidi="en-US"/>
          </w:rPr>
        </w:pPr>
        <w:r w:rsidRPr="001E2B08">
          <w:rPr>
            <w:rFonts w:ascii="Calibri" w:hAnsi="Calibri"/>
            <w:b/>
            <w:noProof/>
            <w:sz w:val="20"/>
            <w:szCs w:val="20"/>
            <w:lang w:eastAsia="x-none" w:bidi="en-US"/>
          </w:rPr>
          <w:fldChar w:fldCharType="begin"/>
        </w:r>
        <w:r w:rsidRPr="001E2B08">
          <w:rPr>
            <w:rFonts w:ascii="Calibri" w:hAnsi="Calibri"/>
            <w:b/>
            <w:noProof/>
            <w:sz w:val="20"/>
            <w:szCs w:val="20"/>
            <w:lang w:eastAsia="x-none" w:bidi="en-US"/>
          </w:rPr>
          <w:instrText>PAGE   \* MERGEFORMAT</w:instrText>
        </w:r>
        <w:r w:rsidRPr="001E2B08">
          <w:rPr>
            <w:rFonts w:ascii="Calibri" w:hAnsi="Calibri"/>
            <w:b/>
            <w:noProof/>
            <w:sz w:val="20"/>
            <w:szCs w:val="20"/>
            <w:lang w:eastAsia="x-none" w:bidi="en-US"/>
          </w:rPr>
          <w:fldChar w:fldCharType="separate"/>
        </w:r>
        <w:r>
          <w:rPr>
            <w:rFonts w:ascii="Calibri" w:hAnsi="Calibri"/>
            <w:b/>
            <w:noProof/>
            <w:sz w:val="20"/>
            <w:szCs w:val="20"/>
            <w:lang w:eastAsia="x-none" w:bidi="en-US"/>
          </w:rPr>
          <w:t>12</w:t>
        </w:r>
        <w:r w:rsidRPr="001E2B08">
          <w:rPr>
            <w:rFonts w:ascii="Calibri" w:hAnsi="Calibri"/>
            <w:b/>
            <w:noProof/>
            <w:sz w:val="20"/>
            <w:szCs w:val="20"/>
            <w:lang w:eastAsia="x-none" w:bidi="en-US"/>
          </w:rPr>
          <w:fldChar w:fldCharType="end"/>
        </w:r>
        <w:r>
          <w:rPr>
            <w:rFonts w:ascii="Calibri" w:hAnsi="Calibri"/>
            <w:b/>
            <w:noProof/>
            <w:sz w:val="20"/>
            <w:szCs w:val="20"/>
            <w:lang w:eastAsia="x-none" w:bidi="en-US"/>
          </w:rPr>
          <w:br/>
        </w:r>
      </w:p>
      <w:p w14:paraId="04138094" w14:textId="6C32BA3E" w:rsidR="001A1618" w:rsidRPr="00E03D03" w:rsidRDefault="001A1618" w:rsidP="00E03D03">
        <w:pPr>
          <w:pStyle w:val="Header"/>
          <w:spacing w:line="240" w:lineRule="auto"/>
          <w:jc w:val="right"/>
        </w:pPr>
        <w:r w:rsidRPr="00590D8E">
          <w:rPr>
            <w:rFonts w:ascii="Calibri" w:hAnsi="Calibri"/>
            <w:noProof/>
            <w:sz w:val="20"/>
            <w:szCs w:val="20"/>
            <w:lang w:eastAsia="x-none" w:bidi="en-US"/>
          </w:rPr>
          <w:t xml:space="preserve">Validation of </w:t>
        </w:r>
        <w:r>
          <w:rPr>
            <w:rFonts w:ascii="Calibri" w:hAnsi="Calibri"/>
            <w:noProof/>
            <w:sz w:val="20"/>
            <w:szCs w:val="20"/>
            <w:lang w:eastAsia="x-none" w:bidi="en-US"/>
          </w:rPr>
          <w:t xml:space="preserve">the United Kingdom: </w:t>
        </w:r>
        <w:r w:rsidRPr="00590D8E">
          <w:rPr>
            <w:rFonts w:ascii="Calibri" w:hAnsi="Calibri"/>
            <w:noProof/>
            <w:sz w:val="20"/>
            <w:szCs w:val="20"/>
            <w:lang w:eastAsia="x-none" w:bidi="en-US"/>
          </w:rPr>
          <w:t>Report on initial data collection and stakeholder consultation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A40322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DCB48B2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19"/>
    <w:lvl w:ilvl="0">
      <w:start w:val="1"/>
      <w:numFmt w:val="bullet"/>
      <w:lvlText w:val=""/>
      <w:lvlJc w:val="left"/>
      <w:pPr>
        <w:tabs>
          <w:tab w:val="num" w:pos="0"/>
        </w:tabs>
      </w:pPr>
      <w:rPr>
        <w:rFonts w:ascii="Symbol" w:hAnsi="Symbol"/>
      </w:rPr>
    </w:lvl>
  </w:abstractNum>
  <w:abstractNum w:abstractNumId="3" w15:restartNumberingAfterBreak="0">
    <w:nsid w:val="089B640A"/>
    <w:multiLevelType w:val="hybridMultilevel"/>
    <w:tmpl w:val="55702CD6"/>
    <w:lvl w:ilvl="0" w:tplc="86C826E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C4388"/>
    <w:multiLevelType w:val="hybridMultilevel"/>
    <w:tmpl w:val="E0F6DC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0E24FC"/>
    <w:multiLevelType w:val="multilevel"/>
    <w:tmpl w:val="2158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30452C"/>
    <w:multiLevelType w:val="hybridMultilevel"/>
    <w:tmpl w:val="5AF49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E25A6E"/>
    <w:multiLevelType w:val="hybridMultilevel"/>
    <w:tmpl w:val="2892E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A1148D"/>
    <w:multiLevelType w:val="multilevel"/>
    <w:tmpl w:val="19BC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6F4E99"/>
    <w:multiLevelType w:val="multilevel"/>
    <w:tmpl w:val="1A68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555072"/>
    <w:multiLevelType w:val="hybridMultilevel"/>
    <w:tmpl w:val="5B788DDA"/>
    <w:lvl w:ilvl="0" w:tplc="D472CF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EAD01CC"/>
    <w:multiLevelType w:val="multilevel"/>
    <w:tmpl w:val="2F62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E112C3"/>
    <w:multiLevelType w:val="multilevel"/>
    <w:tmpl w:val="E064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104FBB"/>
    <w:multiLevelType w:val="hybridMultilevel"/>
    <w:tmpl w:val="2A648B8A"/>
    <w:lvl w:ilvl="0" w:tplc="CB38BB9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E2E17"/>
    <w:multiLevelType w:val="hybridMultilevel"/>
    <w:tmpl w:val="068C71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D633335"/>
    <w:multiLevelType w:val="multilevel"/>
    <w:tmpl w:val="6998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C0175B"/>
    <w:multiLevelType w:val="hybridMultilevel"/>
    <w:tmpl w:val="6378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406A5"/>
    <w:multiLevelType w:val="hybridMultilevel"/>
    <w:tmpl w:val="C46AB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514940"/>
    <w:multiLevelType w:val="hybridMultilevel"/>
    <w:tmpl w:val="46022E06"/>
    <w:lvl w:ilvl="0" w:tplc="00FE6084">
      <w:start w:val="1"/>
      <w:numFmt w:val="bullet"/>
      <w:pStyle w:val="ListBullet1"/>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EE0CDE"/>
    <w:multiLevelType w:val="hybridMultilevel"/>
    <w:tmpl w:val="A14A313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EF00BB3"/>
    <w:multiLevelType w:val="multilevel"/>
    <w:tmpl w:val="EF96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6F0CB1"/>
    <w:multiLevelType w:val="multilevel"/>
    <w:tmpl w:val="0B72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4E78C4"/>
    <w:multiLevelType w:val="multilevel"/>
    <w:tmpl w:val="989C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7B0E71"/>
    <w:multiLevelType w:val="hybridMultilevel"/>
    <w:tmpl w:val="F0602600"/>
    <w:lvl w:ilvl="0" w:tplc="1CFC68F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79B1E70"/>
    <w:multiLevelType w:val="hybridMultilevel"/>
    <w:tmpl w:val="B01475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A7460C4"/>
    <w:multiLevelType w:val="multilevel"/>
    <w:tmpl w:val="0558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0E16B8"/>
    <w:multiLevelType w:val="multilevel"/>
    <w:tmpl w:val="6A76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343038"/>
    <w:multiLevelType w:val="multilevel"/>
    <w:tmpl w:val="BEE626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446FF9"/>
    <w:multiLevelType w:val="multilevel"/>
    <w:tmpl w:val="0638C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19786D"/>
    <w:multiLevelType w:val="multilevel"/>
    <w:tmpl w:val="621E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9B6EA6"/>
    <w:multiLevelType w:val="multilevel"/>
    <w:tmpl w:val="485E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5E290A"/>
    <w:multiLevelType w:val="hybridMultilevel"/>
    <w:tmpl w:val="1ED884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833974"/>
    <w:multiLevelType w:val="multilevel"/>
    <w:tmpl w:val="8922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9F4F0C"/>
    <w:multiLevelType w:val="hybridMultilevel"/>
    <w:tmpl w:val="1A94E6C2"/>
    <w:lvl w:ilvl="0" w:tplc="4774C0F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BA70489"/>
    <w:multiLevelType w:val="multilevel"/>
    <w:tmpl w:val="6D42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DBD1B10"/>
    <w:multiLevelType w:val="multilevel"/>
    <w:tmpl w:val="DD2E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
  </w:num>
  <w:num w:numId="3">
    <w:abstractNumId w:val="0"/>
  </w:num>
  <w:num w:numId="4">
    <w:abstractNumId w:val="16"/>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7"/>
  </w:num>
  <w:num w:numId="8">
    <w:abstractNumId w:val="28"/>
  </w:num>
  <w:num w:numId="9">
    <w:abstractNumId w:val="8"/>
  </w:num>
  <w:num w:numId="10">
    <w:abstractNumId w:val="31"/>
  </w:num>
  <w:num w:numId="11">
    <w:abstractNumId w:val="34"/>
  </w:num>
  <w:num w:numId="12">
    <w:abstractNumId w:val="9"/>
  </w:num>
  <w:num w:numId="13">
    <w:abstractNumId w:val="20"/>
  </w:num>
  <w:num w:numId="14">
    <w:abstractNumId w:val="26"/>
  </w:num>
  <w:num w:numId="15">
    <w:abstractNumId w:val="25"/>
  </w:num>
  <w:num w:numId="16">
    <w:abstractNumId w:val="30"/>
  </w:num>
  <w:num w:numId="17">
    <w:abstractNumId w:val="32"/>
  </w:num>
  <w:num w:numId="18">
    <w:abstractNumId w:val="21"/>
  </w:num>
  <w:num w:numId="19">
    <w:abstractNumId w:val="11"/>
  </w:num>
  <w:num w:numId="20">
    <w:abstractNumId w:val="5"/>
  </w:num>
  <w:num w:numId="21">
    <w:abstractNumId w:val="29"/>
  </w:num>
  <w:num w:numId="22">
    <w:abstractNumId w:val="12"/>
  </w:num>
  <w:num w:numId="23">
    <w:abstractNumId w:val="35"/>
  </w:num>
  <w:num w:numId="24">
    <w:abstractNumId w:val="22"/>
  </w:num>
  <w:num w:numId="25">
    <w:abstractNumId w:val="15"/>
  </w:num>
  <w:num w:numId="26">
    <w:abstractNumId w:val="33"/>
  </w:num>
  <w:num w:numId="27">
    <w:abstractNumId w:val="3"/>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7"/>
  </w:num>
  <w:num w:numId="33">
    <w:abstractNumId w:val="4"/>
  </w:num>
  <w:num w:numId="34">
    <w:abstractNumId w:val="19"/>
  </w:num>
  <w:num w:numId="35">
    <w:abstractNumId w:val="10"/>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6"/>
  </w:num>
  <w:num w:numId="39">
    <w:abstractNumId w:val="24"/>
  </w:num>
  <w:num w:numId="40">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0" w:nlCheck="1" w:checkStyle="0"/>
  <w:activeWritingStyle w:appName="MSWord" w:lang="en-US" w:vendorID="64" w:dllVersion="0" w:nlCheck="1" w:checkStyle="0"/>
  <w:activeWritingStyle w:appName="MSWord" w:lang="da-DK" w:vendorID="64" w:dllVersion="0" w:nlCheck="1" w:checkStyle="0"/>
  <w:activeWritingStyle w:appName="MSWord" w:lang="fr-FR" w:vendorID="64" w:dllVersion="0" w:nlCheck="1" w:checkStyle="0"/>
  <w:activeWritingStyle w:appName="MSWord" w:lang="es-ES" w:vendorID="64" w:dllVersion="0" w:nlCheck="1" w:checkStyle="0"/>
  <w:activeWritingStyle w:appName="MSWord" w:lang="nb-NO" w:vendorID="64" w:dllVersion="0" w:nlCheck="1" w:checkStyle="0"/>
  <w:activeWritingStyle w:appName="MSWord" w:lang="en-SG"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nb-NO" w:vendorID="64" w:dllVersion="4096" w:nlCheck="1" w:checkStyle="0"/>
  <w:activeWritingStyle w:appName="MSWord" w:lang="de-DE"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drawingGridHorizontalSpacing w:val="11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61__i" w:val="H4sIAAAAAAAEAKtWckksSQxILCpxzi/NK1GyMqwFAAEhoTITAAAA"/>
    <w:docVar w:name="__grammarly61_1" w:val="H4sIAAAAAAAEAKtWcslPLs1NzSvxTFGyUjI0TjEzskxJ1TVKMzLUNUlLTNZNSjQ30LVMNjFJMTA3TTZPNVDSUQpOLS7OzM8DaTGuBQAw8hYeQwAAAA=="/>
  </w:docVars>
  <w:rsids>
    <w:rsidRoot w:val="00AF7641"/>
    <w:rsid w:val="00000332"/>
    <w:rsid w:val="00000960"/>
    <w:rsid w:val="00000D49"/>
    <w:rsid w:val="00000F54"/>
    <w:rsid w:val="0000108F"/>
    <w:rsid w:val="00001157"/>
    <w:rsid w:val="0000120B"/>
    <w:rsid w:val="00001222"/>
    <w:rsid w:val="00001313"/>
    <w:rsid w:val="00001AE1"/>
    <w:rsid w:val="00001EF3"/>
    <w:rsid w:val="00002168"/>
    <w:rsid w:val="00002474"/>
    <w:rsid w:val="0000276E"/>
    <w:rsid w:val="000027FC"/>
    <w:rsid w:val="00002934"/>
    <w:rsid w:val="00002B14"/>
    <w:rsid w:val="0000301D"/>
    <w:rsid w:val="00003602"/>
    <w:rsid w:val="00003C4B"/>
    <w:rsid w:val="00003C77"/>
    <w:rsid w:val="000040BA"/>
    <w:rsid w:val="000047B5"/>
    <w:rsid w:val="00004D6C"/>
    <w:rsid w:val="0000508C"/>
    <w:rsid w:val="0000526D"/>
    <w:rsid w:val="0000536B"/>
    <w:rsid w:val="000054E1"/>
    <w:rsid w:val="0000561F"/>
    <w:rsid w:val="000059D9"/>
    <w:rsid w:val="00005A8D"/>
    <w:rsid w:val="0000615D"/>
    <w:rsid w:val="000062B8"/>
    <w:rsid w:val="000064E3"/>
    <w:rsid w:val="00006AAA"/>
    <w:rsid w:val="00007022"/>
    <w:rsid w:val="000070B8"/>
    <w:rsid w:val="00007623"/>
    <w:rsid w:val="00007756"/>
    <w:rsid w:val="000077D7"/>
    <w:rsid w:val="00007885"/>
    <w:rsid w:val="00007A1B"/>
    <w:rsid w:val="00007C21"/>
    <w:rsid w:val="000100EE"/>
    <w:rsid w:val="00010524"/>
    <w:rsid w:val="00010A6F"/>
    <w:rsid w:val="00010AC4"/>
    <w:rsid w:val="00010ACB"/>
    <w:rsid w:val="000110B9"/>
    <w:rsid w:val="00011166"/>
    <w:rsid w:val="00011251"/>
    <w:rsid w:val="0001128A"/>
    <w:rsid w:val="0001138F"/>
    <w:rsid w:val="000115F5"/>
    <w:rsid w:val="000119F5"/>
    <w:rsid w:val="00011FF0"/>
    <w:rsid w:val="00011FFE"/>
    <w:rsid w:val="00012084"/>
    <w:rsid w:val="0001230C"/>
    <w:rsid w:val="00012664"/>
    <w:rsid w:val="00012715"/>
    <w:rsid w:val="00012C9B"/>
    <w:rsid w:val="00012CF7"/>
    <w:rsid w:val="000134A9"/>
    <w:rsid w:val="000136D1"/>
    <w:rsid w:val="00013763"/>
    <w:rsid w:val="00013A3E"/>
    <w:rsid w:val="00013AE0"/>
    <w:rsid w:val="00013D31"/>
    <w:rsid w:val="00013D9B"/>
    <w:rsid w:val="00013E38"/>
    <w:rsid w:val="000140DE"/>
    <w:rsid w:val="0001417A"/>
    <w:rsid w:val="000143E6"/>
    <w:rsid w:val="000149E7"/>
    <w:rsid w:val="00014BB3"/>
    <w:rsid w:val="00015341"/>
    <w:rsid w:val="000153B7"/>
    <w:rsid w:val="000156C4"/>
    <w:rsid w:val="000157D8"/>
    <w:rsid w:val="00015B48"/>
    <w:rsid w:val="00015C19"/>
    <w:rsid w:val="00015C71"/>
    <w:rsid w:val="00015D48"/>
    <w:rsid w:val="00015F69"/>
    <w:rsid w:val="00016390"/>
    <w:rsid w:val="0001649E"/>
    <w:rsid w:val="000171F9"/>
    <w:rsid w:val="00017744"/>
    <w:rsid w:val="000178B6"/>
    <w:rsid w:val="00017AB6"/>
    <w:rsid w:val="00017EC0"/>
    <w:rsid w:val="000201F1"/>
    <w:rsid w:val="00020458"/>
    <w:rsid w:val="00020F8B"/>
    <w:rsid w:val="000210D4"/>
    <w:rsid w:val="000214CC"/>
    <w:rsid w:val="000214DA"/>
    <w:rsid w:val="0002180C"/>
    <w:rsid w:val="00021976"/>
    <w:rsid w:val="00021B65"/>
    <w:rsid w:val="00021BF6"/>
    <w:rsid w:val="00021D83"/>
    <w:rsid w:val="000220B0"/>
    <w:rsid w:val="00022834"/>
    <w:rsid w:val="00022977"/>
    <w:rsid w:val="00022C84"/>
    <w:rsid w:val="00022D1D"/>
    <w:rsid w:val="0002301E"/>
    <w:rsid w:val="00023287"/>
    <w:rsid w:val="000237BE"/>
    <w:rsid w:val="00023BDA"/>
    <w:rsid w:val="00023E07"/>
    <w:rsid w:val="00024144"/>
    <w:rsid w:val="000243FC"/>
    <w:rsid w:val="00024481"/>
    <w:rsid w:val="00024779"/>
    <w:rsid w:val="000249B2"/>
    <w:rsid w:val="00024A61"/>
    <w:rsid w:val="00024DB2"/>
    <w:rsid w:val="0002500A"/>
    <w:rsid w:val="000250C6"/>
    <w:rsid w:val="00025131"/>
    <w:rsid w:val="000251B3"/>
    <w:rsid w:val="00025202"/>
    <w:rsid w:val="0002538F"/>
    <w:rsid w:val="00025751"/>
    <w:rsid w:val="00025877"/>
    <w:rsid w:val="00025A86"/>
    <w:rsid w:val="00025B8B"/>
    <w:rsid w:val="00025C89"/>
    <w:rsid w:val="00025CF5"/>
    <w:rsid w:val="000264D5"/>
    <w:rsid w:val="00026580"/>
    <w:rsid w:val="0002669A"/>
    <w:rsid w:val="00026727"/>
    <w:rsid w:val="00026B02"/>
    <w:rsid w:val="00026C5D"/>
    <w:rsid w:val="00026D3B"/>
    <w:rsid w:val="00027186"/>
    <w:rsid w:val="00027403"/>
    <w:rsid w:val="0002746E"/>
    <w:rsid w:val="00027607"/>
    <w:rsid w:val="0002762B"/>
    <w:rsid w:val="000277D5"/>
    <w:rsid w:val="000278E8"/>
    <w:rsid w:val="00027AC3"/>
    <w:rsid w:val="00027AF6"/>
    <w:rsid w:val="0003013E"/>
    <w:rsid w:val="000304F7"/>
    <w:rsid w:val="000306B9"/>
    <w:rsid w:val="000309A6"/>
    <w:rsid w:val="00030AE1"/>
    <w:rsid w:val="000310BA"/>
    <w:rsid w:val="000312E9"/>
    <w:rsid w:val="00031309"/>
    <w:rsid w:val="0003174A"/>
    <w:rsid w:val="000317A1"/>
    <w:rsid w:val="00031814"/>
    <w:rsid w:val="00031933"/>
    <w:rsid w:val="00031A23"/>
    <w:rsid w:val="00031CC2"/>
    <w:rsid w:val="00031FAF"/>
    <w:rsid w:val="00032E4E"/>
    <w:rsid w:val="00032FB5"/>
    <w:rsid w:val="00033069"/>
    <w:rsid w:val="000330B8"/>
    <w:rsid w:val="000330DE"/>
    <w:rsid w:val="000331C4"/>
    <w:rsid w:val="0003360F"/>
    <w:rsid w:val="000336BF"/>
    <w:rsid w:val="00033D56"/>
    <w:rsid w:val="0003432F"/>
    <w:rsid w:val="0003436B"/>
    <w:rsid w:val="00034474"/>
    <w:rsid w:val="00034884"/>
    <w:rsid w:val="000349DB"/>
    <w:rsid w:val="00034C97"/>
    <w:rsid w:val="00034DC5"/>
    <w:rsid w:val="00034F0E"/>
    <w:rsid w:val="000350DE"/>
    <w:rsid w:val="00035461"/>
    <w:rsid w:val="00035B5D"/>
    <w:rsid w:val="00035B94"/>
    <w:rsid w:val="00035D06"/>
    <w:rsid w:val="00035DC4"/>
    <w:rsid w:val="00035F3D"/>
    <w:rsid w:val="000360E8"/>
    <w:rsid w:val="000363D0"/>
    <w:rsid w:val="000364B8"/>
    <w:rsid w:val="0003702D"/>
    <w:rsid w:val="0003714B"/>
    <w:rsid w:val="0003721E"/>
    <w:rsid w:val="00037592"/>
    <w:rsid w:val="000377CF"/>
    <w:rsid w:val="00037859"/>
    <w:rsid w:val="0003796F"/>
    <w:rsid w:val="000379C4"/>
    <w:rsid w:val="00037A18"/>
    <w:rsid w:val="00037CAC"/>
    <w:rsid w:val="00040593"/>
    <w:rsid w:val="00040798"/>
    <w:rsid w:val="00040935"/>
    <w:rsid w:val="00040C61"/>
    <w:rsid w:val="000411DE"/>
    <w:rsid w:val="000413CD"/>
    <w:rsid w:val="00041842"/>
    <w:rsid w:val="000418B4"/>
    <w:rsid w:val="00041B92"/>
    <w:rsid w:val="00041B96"/>
    <w:rsid w:val="00041BA0"/>
    <w:rsid w:val="00041CE7"/>
    <w:rsid w:val="00041E8F"/>
    <w:rsid w:val="00041EFD"/>
    <w:rsid w:val="000421EF"/>
    <w:rsid w:val="000425F7"/>
    <w:rsid w:val="00042C47"/>
    <w:rsid w:val="00042F2C"/>
    <w:rsid w:val="00043014"/>
    <w:rsid w:val="00043069"/>
    <w:rsid w:val="00043236"/>
    <w:rsid w:val="00043452"/>
    <w:rsid w:val="000435D1"/>
    <w:rsid w:val="000439D3"/>
    <w:rsid w:val="00043B23"/>
    <w:rsid w:val="00043D85"/>
    <w:rsid w:val="00043F65"/>
    <w:rsid w:val="0004422D"/>
    <w:rsid w:val="0004495E"/>
    <w:rsid w:val="00044B68"/>
    <w:rsid w:val="00044CFA"/>
    <w:rsid w:val="00044E87"/>
    <w:rsid w:val="0004518F"/>
    <w:rsid w:val="000451A9"/>
    <w:rsid w:val="00045490"/>
    <w:rsid w:val="000454C6"/>
    <w:rsid w:val="000459D2"/>
    <w:rsid w:val="00045BCD"/>
    <w:rsid w:val="00045C5C"/>
    <w:rsid w:val="00045C99"/>
    <w:rsid w:val="00045DFD"/>
    <w:rsid w:val="000464A0"/>
    <w:rsid w:val="000464A3"/>
    <w:rsid w:val="0004682B"/>
    <w:rsid w:val="0004729A"/>
    <w:rsid w:val="00047446"/>
    <w:rsid w:val="0004792B"/>
    <w:rsid w:val="00047B58"/>
    <w:rsid w:val="00047BF5"/>
    <w:rsid w:val="00047D79"/>
    <w:rsid w:val="00047DA0"/>
    <w:rsid w:val="00050132"/>
    <w:rsid w:val="000502A1"/>
    <w:rsid w:val="000505B8"/>
    <w:rsid w:val="00050904"/>
    <w:rsid w:val="00050954"/>
    <w:rsid w:val="00050EEE"/>
    <w:rsid w:val="00050F0B"/>
    <w:rsid w:val="00051670"/>
    <w:rsid w:val="000519AF"/>
    <w:rsid w:val="000519E5"/>
    <w:rsid w:val="00051F38"/>
    <w:rsid w:val="000521D7"/>
    <w:rsid w:val="0005223F"/>
    <w:rsid w:val="00052ECE"/>
    <w:rsid w:val="00052F68"/>
    <w:rsid w:val="0005339D"/>
    <w:rsid w:val="00053447"/>
    <w:rsid w:val="00053472"/>
    <w:rsid w:val="000536D5"/>
    <w:rsid w:val="00053976"/>
    <w:rsid w:val="000539B9"/>
    <w:rsid w:val="00053E62"/>
    <w:rsid w:val="00053EFA"/>
    <w:rsid w:val="00053F45"/>
    <w:rsid w:val="00053F69"/>
    <w:rsid w:val="00054697"/>
    <w:rsid w:val="0005496B"/>
    <w:rsid w:val="00054D84"/>
    <w:rsid w:val="00054E4E"/>
    <w:rsid w:val="000554A4"/>
    <w:rsid w:val="0005564B"/>
    <w:rsid w:val="000556E7"/>
    <w:rsid w:val="000558BD"/>
    <w:rsid w:val="000559B9"/>
    <w:rsid w:val="00055EEB"/>
    <w:rsid w:val="00055F0C"/>
    <w:rsid w:val="00056A60"/>
    <w:rsid w:val="00056A61"/>
    <w:rsid w:val="00056BF6"/>
    <w:rsid w:val="000572D7"/>
    <w:rsid w:val="000575E9"/>
    <w:rsid w:val="00057DB0"/>
    <w:rsid w:val="00060074"/>
    <w:rsid w:val="0006010F"/>
    <w:rsid w:val="00060637"/>
    <w:rsid w:val="00060EB4"/>
    <w:rsid w:val="00061075"/>
    <w:rsid w:val="00061157"/>
    <w:rsid w:val="0006135F"/>
    <w:rsid w:val="00061450"/>
    <w:rsid w:val="00061862"/>
    <w:rsid w:val="000618E9"/>
    <w:rsid w:val="00061932"/>
    <w:rsid w:val="00061A6E"/>
    <w:rsid w:val="00061BDE"/>
    <w:rsid w:val="00062369"/>
    <w:rsid w:val="00062381"/>
    <w:rsid w:val="0006251E"/>
    <w:rsid w:val="00062526"/>
    <w:rsid w:val="00062530"/>
    <w:rsid w:val="000625A3"/>
    <w:rsid w:val="000625E3"/>
    <w:rsid w:val="000628BD"/>
    <w:rsid w:val="00062B16"/>
    <w:rsid w:val="00062BCC"/>
    <w:rsid w:val="00062C71"/>
    <w:rsid w:val="0006322B"/>
    <w:rsid w:val="000634FC"/>
    <w:rsid w:val="00063876"/>
    <w:rsid w:val="00063FDB"/>
    <w:rsid w:val="000640E3"/>
    <w:rsid w:val="0006419C"/>
    <w:rsid w:val="00064604"/>
    <w:rsid w:val="00064A22"/>
    <w:rsid w:val="00064B63"/>
    <w:rsid w:val="00064E90"/>
    <w:rsid w:val="00065257"/>
    <w:rsid w:val="000652C2"/>
    <w:rsid w:val="000652EE"/>
    <w:rsid w:val="00065385"/>
    <w:rsid w:val="0006551F"/>
    <w:rsid w:val="00065AF0"/>
    <w:rsid w:val="00065B5E"/>
    <w:rsid w:val="00065C19"/>
    <w:rsid w:val="00066104"/>
    <w:rsid w:val="000661E2"/>
    <w:rsid w:val="000664D0"/>
    <w:rsid w:val="000668E1"/>
    <w:rsid w:val="00066AC9"/>
    <w:rsid w:val="00066C59"/>
    <w:rsid w:val="00066C68"/>
    <w:rsid w:val="00066D43"/>
    <w:rsid w:val="000678F6"/>
    <w:rsid w:val="00067982"/>
    <w:rsid w:val="00067C84"/>
    <w:rsid w:val="00067D1F"/>
    <w:rsid w:val="000701AE"/>
    <w:rsid w:val="0007058D"/>
    <w:rsid w:val="0007062A"/>
    <w:rsid w:val="00070648"/>
    <w:rsid w:val="00070741"/>
    <w:rsid w:val="00070863"/>
    <w:rsid w:val="00070CCB"/>
    <w:rsid w:val="00070D85"/>
    <w:rsid w:val="00071204"/>
    <w:rsid w:val="000715F8"/>
    <w:rsid w:val="000719F1"/>
    <w:rsid w:val="00071F3F"/>
    <w:rsid w:val="00072038"/>
    <w:rsid w:val="000721B1"/>
    <w:rsid w:val="000722F1"/>
    <w:rsid w:val="00072467"/>
    <w:rsid w:val="00072491"/>
    <w:rsid w:val="0007279A"/>
    <w:rsid w:val="0007288E"/>
    <w:rsid w:val="000728F4"/>
    <w:rsid w:val="00072BB6"/>
    <w:rsid w:val="00072CCB"/>
    <w:rsid w:val="00072DC3"/>
    <w:rsid w:val="00072F23"/>
    <w:rsid w:val="000730AE"/>
    <w:rsid w:val="00073860"/>
    <w:rsid w:val="0007391C"/>
    <w:rsid w:val="00073D61"/>
    <w:rsid w:val="00073D70"/>
    <w:rsid w:val="00073FBC"/>
    <w:rsid w:val="000740DD"/>
    <w:rsid w:val="000744D6"/>
    <w:rsid w:val="00074597"/>
    <w:rsid w:val="00074612"/>
    <w:rsid w:val="0007477A"/>
    <w:rsid w:val="00074AFF"/>
    <w:rsid w:val="00074B2C"/>
    <w:rsid w:val="00074F09"/>
    <w:rsid w:val="00075071"/>
    <w:rsid w:val="000750E0"/>
    <w:rsid w:val="00075167"/>
    <w:rsid w:val="000753C3"/>
    <w:rsid w:val="00075701"/>
    <w:rsid w:val="00075AD2"/>
    <w:rsid w:val="00075DFB"/>
    <w:rsid w:val="0007633A"/>
    <w:rsid w:val="000766BB"/>
    <w:rsid w:val="000768FD"/>
    <w:rsid w:val="00076AB7"/>
    <w:rsid w:val="00076ADA"/>
    <w:rsid w:val="00076EF8"/>
    <w:rsid w:val="00077228"/>
    <w:rsid w:val="000772ED"/>
    <w:rsid w:val="00077639"/>
    <w:rsid w:val="000778B4"/>
    <w:rsid w:val="00077ADE"/>
    <w:rsid w:val="00077C84"/>
    <w:rsid w:val="00077FBE"/>
    <w:rsid w:val="000800AD"/>
    <w:rsid w:val="00080454"/>
    <w:rsid w:val="000804BE"/>
    <w:rsid w:val="00080527"/>
    <w:rsid w:val="0008067C"/>
    <w:rsid w:val="0008071A"/>
    <w:rsid w:val="000808D9"/>
    <w:rsid w:val="00080A38"/>
    <w:rsid w:val="00080BA3"/>
    <w:rsid w:val="000810F1"/>
    <w:rsid w:val="00081347"/>
    <w:rsid w:val="00081438"/>
    <w:rsid w:val="00081B37"/>
    <w:rsid w:val="000821CD"/>
    <w:rsid w:val="000823C1"/>
    <w:rsid w:val="000825F0"/>
    <w:rsid w:val="000826E5"/>
    <w:rsid w:val="000829B9"/>
    <w:rsid w:val="000829E1"/>
    <w:rsid w:val="00082E47"/>
    <w:rsid w:val="00082F2C"/>
    <w:rsid w:val="000832F1"/>
    <w:rsid w:val="00083514"/>
    <w:rsid w:val="00083537"/>
    <w:rsid w:val="000836A7"/>
    <w:rsid w:val="00083719"/>
    <w:rsid w:val="0008371E"/>
    <w:rsid w:val="00083B8C"/>
    <w:rsid w:val="00083FEC"/>
    <w:rsid w:val="00084081"/>
    <w:rsid w:val="0008426E"/>
    <w:rsid w:val="0008448E"/>
    <w:rsid w:val="000844B5"/>
    <w:rsid w:val="0008496E"/>
    <w:rsid w:val="00084E86"/>
    <w:rsid w:val="00085070"/>
    <w:rsid w:val="0008569E"/>
    <w:rsid w:val="000857BB"/>
    <w:rsid w:val="000859BD"/>
    <w:rsid w:val="00085D87"/>
    <w:rsid w:val="00085E41"/>
    <w:rsid w:val="00085F11"/>
    <w:rsid w:val="00085F1B"/>
    <w:rsid w:val="00085F99"/>
    <w:rsid w:val="00086211"/>
    <w:rsid w:val="0008662A"/>
    <w:rsid w:val="00086FF7"/>
    <w:rsid w:val="000873CD"/>
    <w:rsid w:val="00087486"/>
    <w:rsid w:val="0008756C"/>
    <w:rsid w:val="000877BB"/>
    <w:rsid w:val="00087A14"/>
    <w:rsid w:val="00087E0F"/>
    <w:rsid w:val="00087F8C"/>
    <w:rsid w:val="000909D1"/>
    <w:rsid w:val="00090B30"/>
    <w:rsid w:val="00090F18"/>
    <w:rsid w:val="0009134C"/>
    <w:rsid w:val="0009146C"/>
    <w:rsid w:val="00091729"/>
    <w:rsid w:val="00091EFE"/>
    <w:rsid w:val="0009208F"/>
    <w:rsid w:val="0009216F"/>
    <w:rsid w:val="000924E3"/>
    <w:rsid w:val="000929B5"/>
    <w:rsid w:val="000929E1"/>
    <w:rsid w:val="0009308F"/>
    <w:rsid w:val="000934B3"/>
    <w:rsid w:val="000937CC"/>
    <w:rsid w:val="00093806"/>
    <w:rsid w:val="0009391A"/>
    <w:rsid w:val="00093C72"/>
    <w:rsid w:val="00093E86"/>
    <w:rsid w:val="00093FF2"/>
    <w:rsid w:val="00094325"/>
    <w:rsid w:val="00094882"/>
    <w:rsid w:val="000948BD"/>
    <w:rsid w:val="000948EE"/>
    <w:rsid w:val="00094933"/>
    <w:rsid w:val="000949EE"/>
    <w:rsid w:val="00094A97"/>
    <w:rsid w:val="00094DDD"/>
    <w:rsid w:val="00095306"/>
    <w:rsid w:val="0009531C"/>
    <w:rsid w:val="000954EC"/>
    <w:rsid w:val="00095517"/>
    <w:rsid w:val="000957BD"/>
    <w:rsid w:val="000962CD"/>
    <w:rsid w:val="000968D7"/>
    <w:rsid w:val="00096C7C"/>
    <w:rsid w:val="00096D49"/>
    <w:rsid w:val="00097197"/>
    <w:rsid w:val="000971ED"/>
    <w:rsid w:val="000971F5"/>
    <w:rsid w:val="000972E3"/>
    <w:rsid w:val="000973CB"/>
    <w:rsid w:val="0009767D"/>
    <w:rsid w:val="0009795A"/>
    <w:rsid w:val="00097A62"/>
    <w:rsid w:val="00097A74"/>
    <w:rsid w:val="00097D3F"/>
    <w:rsid w:val="00097F99"/>
    <w:rsid w:val="000A0046"/>
    <w:rsid w:val="000A00E7"/>
    <w:rsid w:val="000A03A3"/>
    <w:rsid w:val="000A08A0"/>
    <w:rsid w:val="000A0A2B"/>
    <w:rsid w:val="000A0C3D"/>
    <w:rsid w:val="000A13E5"/>
    <w:rsid w:val="000A1560"/>
    <w:rsid w:val="000A1642"/>
    <w:rsid w:val="000A1869"/>
    <w:rsid w:val="000A197F"/>
    <w:rsid w:val="000A199B"/>
    <w:rsid w:val="000A1FD9"/>
    <w:rsid w:val="000A2111"/>
    <w:rsid w:val="000A224E"/>
    <w:rsid w:val="000A238B"/>
    <w:rsid w:val="000A2748"/>
    <w:rsid w:val="000A28CC"/>
    <w:rsid w:val="000A2EFB"/>
    <w:rsid w:val="000A2F00"/>
    <w:rsid w:val="000A3096"/>
    <w:rsid w:val="000A3702"/>
    <w:rsid w:val="000A37CB"/>
    <w:rsid w:val="000A3821"/>
    <w:rsid w:val="000A39FE"/>
    <w:rsid w:val="000A3C9B"/>
    <w:rsid w:val="000A3FEA"/>
    <w:rsid w:val="000A4068"/>
    <w:rsid w:val="000A43B1"/>
    <w:rsid w:val="000A45F4"/>
    <w:rsid w:val="000A4BB0"/>
    <w:rsid w:val="000A4DFE"/>
    <w:rsid w:val="000A4FBC"/>
    <w:rsid w:val="000A5063"/>
    <w:rsid w:val="000A51BA"/>
    <w:rsid w:val="000A52F9"/>
    <w:rsid w:val="000A589D"/>
    <w:rsid w:val="000A5B06"/>
    <w:rsid w:val="000A5B29"/>
    <w:rsid w:val="000A5EC5"/>
    <w:rsid w:val="000A5F60"/>
    <w:rsid w:val="000A62BC"/>
    <w:rsid w:val="000A63DC"/>
    <w:rsid w:val="000A661C"/>
    <w:rsid w:val="000A673B"/>
    <w:rsid w:val="000A69B1"/>
    <w:rsid w:val="000A6C04"/>
    <w:rsid w:val="000A6E52"/>
    <w:rsid w:val="000A6EAE"/>
    <w:rsid w:val="000A6FB9"/>
    <w:rsid w:val="000A7013"/>
    <w:rsid w:val="000A71C1"/>
    <w:rsid w:val="000A74A6"/>
    <w:rsid w:val="000A7506"/>
    <w:rsid w:val="000A75B7"/>
    <w:rsid w:val="000A7A93"/>
    <w:rsid w:val="000B02CA"/>
    <w:rsid w:val="000B0306"/>
    <w:rsid w:val="000B0550"/>
    <w:rsid w:val="000B05A1"/>
    <w:rsid w:val="000B076D"/>
    <w:rsid w:val="000B07BD"/>
    <w:rsid w:val="000B0D5F"/>
    <w:rsid w:val="000B1472"/>
    <w:rsid w:val="000B14B6"/>
    <w:rsid w:val="000B1E81"/>
    <w:rsid w:val="000B2072"/>
    <w:rsid w:val="000B22AF"/>
    <w:rsid w:val="000B2524"/>
    <w:rsid w:val="000B270C"/>
    <w:rsid w:val="000B2827"/>
    <w:rsid w:val="000B2C77"/>
    <w:rsid w:val="000B2E42"/>
    <w:rsid w:val="000B340C"/>
    <w:rsid w:val="000B366C"/>
    <w:rsid w:val="000B36B4"/>
    <w:rsid w:val="000B3761"/>
    <w:rsid w:val="000B3768"/>
    <w:rsid w:val="000B393F"/>
    <w:rsid w:val="000B3A87"/>
    <w:rsid w:val="000B3B7E"/>
    <w:rsid w:val="000B3BDB"/>
    <w:rsid w:val="000B4093"/>
    <w:rsid w:val="000B42DA"/>
    <w:rsid w:val="000B4548"/>
    <w:rsid w:val="000B4607"/>
    <w:rsid w:val="000B4785"/>
    <w:rsid w:val="000B47A7"/>
    <w:rsid w:val="000B484D"/>
    <w:rsid w:val="000B4A40"/>
    <w:rsid w:val="000B4E22"/>
    <w:rsid w:val="000B50A0"/>
    <w:rsid w:val="000B5462"/>
    <w:rsid w:val="000B54A6"/>
    <w:rsid w:val="000B577A"/>
    <w:rsid w:val="000B57B2"/>
    <w:rsid w:val="000B57D7"/>
    <w:rsid w:val="000B57E9"/>
    <w:rsid w:val="000B5861"/>
    <w:rsid w:val="000B5926"/>
    <w:rsid w:val="000B59A5"/>
    <w:rsid w:val="000B5C6A"/>
    <w:rsid w:val="000B5EAE"/>
    <w:rsid w:val="000B5FF0"/>
    <w:rsid w:val="000B6177"/>
    <w:rsid w:val="000B62FA"/>
    <w:rsid w:val="000B65C2"/>
    <w:rsid w:val="000B66C3"/>
    <w:rsid w:val="000B6BB7"/>
    <w:rsid w:val="000B6E09"/>
    <w:rsid w:val="000B6E0C"/>
    <w:rsid w:val="000B6E33"/>
    <w:rsid w:val="000B6F1E"/>
    <w:rsid w:val="000B70D0"/>
    <w:rsid w:val="000B72EB"/>
    <w:rsid w:val="000B75F3"/>
    <w:rsid w:val="000B76FA"/>
    <w:rsid w:val="000B7837"/>
    <w:rsid w:val="000B784F"/>
    <w:rsid w:val="000B78BE"/>
    <w:rsid w:val="000B7C60"/>
    <w:rsid w:val="000B7C78"/>
    <w:rsid w:val="000B7CEB"/>
    <w:rsid w:val="000B7D5D"/>
    <w:rsid w:val="000C01B3"/>
    <w:rsid w:val="000C049D"/>
    <w:rsid w:val="000C0588"/>
    <w:rsid w:val="000C07B1"/>
    <w:rsid w:val="000C0933"/>
    <w:rsid w:val="000C0A70"/>
    <w:rsid w:val="000C0D5E"/>
    <w:rsid w:val="000C0E7B"/>
    <w:rsid w:val="000C102B"/>
    <w:rsid w:val="000C13EE"/>
    <w:rsid w:val="000C13FD"/>
    <w:rsid w:val="000C1436"/>
    <w:rsid w:val="000C1670"/>
    <w:rsid w:val="000C1759"/>
    <w:rsid w:val="000C1793"/>
    <w:rsid w:val="000C19FF"/>
    <w:rsid w:val="000C1B3A"/>
    <w:rsid w:val="000C1BE6"/>
    <w:rsid w:val="000C1F59"/>
    <w:rsid w:val="000C1F6C"/>
    <w:rsid w:val="000C1FE6"/>
    <w:rsid w:val="000C2271"/>
    <w:rsid w:val="000C269D"/>
    <w:rsid w:val="000C28B7"/>
    <w:rsid w:val="000C2A24"/>
    <w:rsid w:val="000C2BC3"/>
    <w:rsid w:val="000C2E40"/>
    <w:rsid w:val="000C3208"/>
    <w:rsid w:val="000C35DD"/>
    <w:rsid w:val="000C3729"/>
    <w:rsid w:val="000C3813"/>
    <w:rsid w:val="000C3C61"/>
    <w:rsid w:val="000C3F45"/>
    <w:rsid w:val="000C4A51"/>
    <w:rsid w:val="000C4BE0"/>
    <w:rsid w:val="000C4CD8"/>
    <w:rsid w:val="000C4EF8"/>
    <w:rsid w:val="000C5442"/>
    <w:rsid w:val="000C55A5"/>
    <w:rsid w:val="000C566A"/>
    <w:rsid w:val="000C5685"/>
    <w:rsid w:val="000C5730"/>
    <w:rsid w:val="000C574A"/>
    <w:rsid w:val="000C5A1B"/>
    <w:rsid w:val="000C5ADD"/>
    <w:rsid w:val="000C5BC6"/>
    <w:rsid w:val="000C5C2F"/>
    <w:rsid w:val="000C5C53"/>
    <w:rsid w:val="000C5DBC"/>
    <w:rsid w:val="000C61C3"/>
    <w:rsid w:val="000C6476"/>
    <w:rsid w:val="000C647E"/>
    <w:rsid w:val="000C64EE"/>
    <w:rsid w:val="000C658E"/>
    <w:rsid w:val="000C662A"/>
    <w:rsid w:val="000C687A"/>
    <w:rsid w:val="000C68F4"/>
    <w:rsid w:val="000C6B17"/>
    <w:rsid w:val="000C6BF0"/>
    <w:rsid w:val="000C6CDF"/>
    <w:rsid w:val="000C6D01"/>
    <w:rsid w:val="000C6D6A"/>
    <w:rsid w:val="000C6E3D"/>
    <w:rsid w:val="000C7136"/>
    <w:rsid w:val="000C7B03"/>
    <w:rsid w:val="000C7BDA"/>
    <w:rsid w:val="000C7CC1"/>
    <w:rsid w:val="000C7FD2"/>
    <w:rsid w:val="000D00F8"/>
    <w:rsid w:val="000D03E9"/>
    <w:rsid w:val="000D045B"/>
    <w:rsid w:val="000D08BA"/>
    <w:rsid w:val="000D0B47"/>
    <w:rsid w:val="000D0BF7"/>
    <w:rsid w:val="000D0CA3"/>
    <w:rsid w:val="000D0D15"/>
    <w:rsid w:val="000D0F45"/>
    <w:rsid w:val="000D0F87"/>
    <w:rsid w:val="000D1042"/>
    <w:rsid w:val="000D11A0"/>
    <w:rsid w:val="000D1303"/>
    <w:rsid w:val="000D14D8"/>
    <w:rsid w:val="000D1541"/>
    <w:rsid w:val="000D1594"/>
    <w:rsid w:val="000D1608"/>
    <w:rsid w:val="000D173C"/>
    <w:rsid w:val="000D1888"/>
    <w:rsid w:val="000D1AAB"/>
    <w:rsid w:val="000D1C8E"/>
    <w:rsid w:val="000D1D70"/>
    <w:rsid w:val="000D2061"/>
    <w:rsid w:val="000D274B"/>
    <w:rsid w:val="000D27EE"/>
    <w:rsid w:val="000D2AA0"/>
    <w:rsid w:val="000D2ADB"/>
    <w:rsid w:val="000D2E08"/>
    <w:rsid w:val="000D3140"/>
    <w:rsid w:val="000D3315"/>
    <w:rsid w:val="000D35DE"/>
    <w:rsid w:val="000D3748"/>
    <w:rsid w:val="000D3CB1"/>
    <w:rsid w:val="000D4297"/>
    <w:rsid w:val="000D4506"/>
    <w:rsid w:val="000D4758"/>
    <w:rsid w:val="000D4EF1"/>
    <w:rsid w:val="000D5235"/>
    <w:rsid w:val="000D523A"/>
    <w:rsid w:val="000D543C"/>
    <w:rsid w:val="000D556D"/>
    <w:rsid w:val="000D5FE1"/>
    <w:rsid w:val="000D6159"/>
    <w:rsid w:val="000D65EF"/>
    <w:rsid w:val="000D6B92"/>
    <w:rsid w:val="000D6D4F"/>
    <w:rsid w:val="000D6F42"/>
    <w:rsid w:val="000D6F8D"/>
    <w:rsid w:val="000D7437"/>
    <w:rsid w:val="000D7482"/>
    <w:rsid w:val="000D74C4"/>
    <w:rsid w:val="000D7BC3"/>
    <w:rsid w:val="000D7C5C"/>
    <w:rsid w:val="000E002B"/>
    <w:rsid w:val="000E0375"/>
    <w:rsid w:val="000E04C3"/>
    <w:rsid w:val="000E058D"/>
    <w:rsid w:val="000E0695"/>
    <w:rsid w:val="000E06DC"/>
    <w:rsid w:val="000E06FA"/>
    <w:rsid w:val="000E0B16"/>
    <w:rsid w:val="000E0B38"/>
    <w:rsid w:val="000E0C32"/>
    <w:rsid w:val="000E0D40"/>
    <w:rsid w:val="000E10CE"/>
    <w:rsid w:val="000E1177"/>
    <w:rsid w:val="000E11C4"/>
    <w:rsid w:val="000E1203"/>
    <w:rsid w:val="000E15E0"/>
    <w:rsid w:val="000E1725"/>
    <w:rsid w:val="000E19C4"/>
    <w:rsid w:val="000E1A23"/>
    <w:rsid w:val="000E1ACB"/>
    <w:rsid w:val="000E1C56"/>
    <w:rsid w:val="000E2198"/>
    <w:rsid w:val="000E24DF"/>
    <w:rsid w:val="000E28E8"/>
    <w:rsid w:val="000E29D0"/>
    <w:rsid w:val="000E2A48"/>
    <w:rsid w:val="000E2B4A"/>
    <w:rsid w:val="000E2BD6"/>
    <w:rsid w:val="000E2DAD"/>
    <w:rsid w:val="000E3416"/>
    <w:rsid w:val="000E3947"/>
    <w:rsid w:val="000E3BA3"/>
    <w:rsid w:val="000E3C60"/>
    <w:rsid w:val="000E3D76"/>
    <w:rsid w:val="000E3EAD"/>
    <w:rsid w:val="000E40BE"/>
    <w:rsid w:val="000E46E0"/>
    <w:rsid w:val="000E47D4"/>
    <w:rsid w:val="000E47EC"/>
    <w:rsid w:val="000E4944"/>
    <w:rsid w:val="000E4A81"/>
    <w:rsid w:val="000E4C14"/>
    <w:rsid w:val="000E4E64"/>
    <w:rsid w:val="000E4F3E"/>
    <w:rsid w:val="000E4F52"/>
    <w:rsid w:val="000E4F75"/>
    <w:rsid w:val="000E50D4"/>
    <w:rsid w:val="000E5320"/>
    <w:rsid w:val="000E54D2"/>
    <w:rsid w:val="000E5538"/>
    <w:rsid w:val="000E553D"/>
    <w:rsid w:val="000E55C8"/>
    <w:rsid w:val="000E61F3"/>
    <w:rsid w:val="000E6256"/>
    <w:rsid w:val="000E6C7A"/>
    <w:rsid w:val="000E6CB0"/>
    <w:rsid w:val="000E6D40"/>
    <w:rsid w:val="000E6E2E"/>
    <w:rsid w:val="000E6EFE"/>
    <w:rsid w:val="000E7224"/>
    <w:rsid w:val="000E78D6"/>
    <w:rsid w:val="000E792C"/>
    <w:rsid w:val="000E7AE0"/>
    <w:rsid w:val="000E7C88"/>
    <w:rsid w:val="000E7D42"/>
    <w:rsid w:val="000E7E94"/>
    <w:rsid w:val="000E7EE2"/>
    <w:rsid w:val="000E7FBA"/>
    <w:rsid w:val="000F00FB"/>
    <w:rsid w:val="000F05B5"/>
    <w:rsid w:val="000F064B"/>
    <w:rsid w:val="000F0E7D"/>
    <w:rsid w:val="000F10AA"/>
    <w:rsid w:val="000F17E9"/>
    <w:rsid w:val="000F196F"/>
    <w:rsid w:val="000F1CD2"/>
    <w:rsid w:val="000F1E90"/>
    <w:rsid w:val="000F1FEE"/>
    <w:rsid w:val="000F20BD"/>
    <w:rsid w:val="000F20F2"/>
    <w:rsid w:val="000F22E1"/>
    <w:rsid w:val="000F2336"/>
    <w:rsid w:val="000F23B8"/>
    <w:rsid w:val="000F2408"/>
    <w:rsid w:val="000F2772"/>
    <w:rsid w:val="000F29CC"/>
    <w:rsid w:val="000F2D16"/>
    <w:rsid w:val="000F2DDB"/>
    <w:rsid w:val="000F31AA"/>
    <w:rsid w:val="000F32B2"/>
    <w:rsid w:val="000F3469"/>
    <w:rsid w:val="000F3656"/>
    <w:rsid w:val="000F3D2F"/>
    <w:rsid w:val="000F42FA"/>
    <w:rsid w:val="000F447E"/>
    <w:rsid w:val="000F455E"/>
    <w:rsid w:val="000F49F2"/>
    <w:rsid w:val="000F4B8D"/>
    <w:rsid w:val="000F4F08"/>
    <w:rsid w:val="000F50C3"/>
    <w:rsid w:val="000F50FA"/>
    <w:rsid w:val="000F511A"/>
    <w:rsid w:val="000F543A"/>
    <w:rsid w:val="000F5863"/>
    <w:rsid w:val="000F5872"/>
    <w:rsid w:val="000F5A72"/>
    <w:rsid w:val="000F5E09"/>
    <w:rsid w:val="000F613B"/>
    <w:rsid w:val="000F67F8"/>
    <w:rsid w:val="000F6853"/>
    <w:rsid w:val="000F6C2A"/>
    <w:rsid w:val="000F6D64"/>
    <w:rsid w:val="000F7127"/>
    <w:rsid w:val="000F7694"/>
    <w:rsid w:val="000F77E0"/>
    <w:rsid w:val="000F7A25"/>
    <w:rsid w:val="000F7C9C"/>
    <w:rsid w:val="000F7E9A"/>
    <w:rsid w:val="000F7FFA"/>
    <w:rsid w:val="0010006D"/>
    <w:rsid w:val="001000F5"/>
    <w:rsid w:val="00100176"/>
    <w:rsid w:val="001004CE"/>
    <w:rsid w:val="001006CF"/>
    <w:rsid w:val="00100B37"/>
    <w:rsid w:val="00100FE9"/>
    <w:rsid w:val="00101DB0"/>
    <w:rsid w:val="00101F60"/>
    <w:rsid w:val="00101F89"/>
    <w:rsid w:val="00102283"/>
    <w:rsid w:val="001025BF"/>
    <w:rsid w:val="00102679"/>
    <w:rsid w:val="0010274E"/>
    <w:rsid w:val="0010279A"/>
    <w:rsid w:val="00102AA0"/>
    <w:rsid w:val="00102C4B"/>
    <w:rsid w:val="00102E14"/>
    <w:rsid w:val="00103033"/>
    <w:rsid w:val="001030D3"/>
    <w:rsid w:val="001030FE"/>
    <w:rsid w:val="0010318C"/>
    <w:rsid w:val="00103255"/>
    <w:rsid w:val="0010391C"/>
    <w:rsid w:val="00103A42"/>
    <w:rsid w:val="00103E97"/>
    <w:rsid w:val="00104201"/>
    <w:rsid w:val="00104685"/>
    <w:rsid w:val="0010470A"/>
    <w:rsid w:val="00104B10"/>
    <w:rsid w:val="00104DB2"/>
    <w:rsid w:val="00104EF1"/>
    <w:rsid w:val="00105164"/>
    <w:rsid w:val="001052D0"/>
    <w:rsid w:val="00105773"/>
    <w:rsid w:val="0010578A"/>
    <w:rsid w:val="001057D1"/>
    <w:rsid w:val="0010580F"/>
    <w:rsid w:val="00105BDC"/>
    <w:rsid w:val="00105D64"/>
    <w:rsid w:val="00106349"/>
    <w:rsid w:val="001063E9"/>
    <w:rsid w:val="00106ADB"/>
    <w:rsid w:val="00106EFB"/>
    <w:rsid w:val="001070FB"/>
    <w:rsid w:val="0010749B"/>
    <w:rsid w:val="0010762B"/>
    <w:rsid w:val="00107AF7"/>
    <w:rsid w:val="00107C67"/>
    <w:rsid w:val="00107DB0"/>
    <w:rsid w:val="00107F8D"/>
    <w:rsid w:val="00110D35"/>
    <w:rsid w:val="00110E42"/>
    <w:rsid w:val="00110EB7"/>
    <w:rsid w:val="0011136D"/>
    <w:rsid w:val="001118D1"/>
    <w:rsid w:val="00111B82"/>
    <w:rsid w:val="00111BC0"/>
    <w:rsid w:val="00111C1D"/>
    <w:rsid w:val="00111CD4"/>
    <w:rsid w:val="00111EA8"/>
    <w:rsid w:val="00112004"/>
    <w:rsid w:val="0011283D"/>
    <w:rsid w:val="0011286C"/>
    <w:rsid w:val="00112A82"/>
    <w:rsid w:val="00112C45"/>
    <w:rsid w:val="00112D48"/>
    <w:rsid w:val="00112D9C"/>
    <w:rsid w:val="00112E15"/>
    <w:rsid w:val="00112E37"/>
    <w:rsid w:val="00113847"/>
    <w:rsid w:val="001139B4"/>
    <w:rsid w:val="00113B8F"/>
    <w:rsid w:val="00113CE0"/>
    <w:rsid w:val="00113E77"/>
    <w:rsid w:val="00113F00"/>
    <w:rsid w:val="00113F1D"/>
    <w:rsid w:val="00113FFE"/>
    <w:rsid w:val="001145F8"/>
    <w:rsid w:val="0011479A"/>
    <w:rsid w:val="00114912"/>
    <w:rsid w:val="00114917"/>
    <w:rsid w:val="001149A2"/>
    <w:rsid w:val="00114C8C"/>
    <w:rsid w:val="0011506B"/>
    <w:rsid w:val="001156A4"/>
    <w:rsid w:val="00115770"/>
    <w:rsid w:val="001157FF"/>
    <w:rsid w:val="001159D5"/>
    <w:rsid w:val="001162E0"/>
    <w:rsid w:val="001163CF"/>
    <w:rsid w:val="001166A8"/>
    <w:rsid w:val="00116746"/>
    <w:rsid w:val="00116844"/>
    <w:rsid w:val="001168A9"/>
    <w:rsid w:val="00116DD8"/>
    <w:rsid w:val="001170EC"/>
    <w:rsid w:val="0011712D"/>
    <w:rsid w:val="0011717D"/>
    <w:rsid w:val="0011743E"/>
    <w:rsid w:val="001174D9"/>
    <w:rsid w:val="001178BA"/>
    <w:rsid w:val="001178E5"/>
    <w:rsid w:val="001179C7"/>
    <w:rsid w:val="00117A08"/>
    <w:rsid w:val="00117A57"/>
    <w:rsid w:val="00117AC2"/>
    <w:rsid w:val="00117D4C"/>
    <w:rsid w:val="00117D77"/>
    <w:rsid w:val="00117F88"/>
    <w:rsid w:val="00117FB5"/>
    <w:rsid w:val="001200CC"/>
    <w:rsid w:val="001206B1"/>
    <w:rsid w:val="00120912"/>
    <w:rsid w:val="00120955"/>
    <w:rsid w:val="00120AD6"/>
    <w:rsid w:val="00120B49"/>
    <w:rsid w:val="00120CEB"/>
    <w:rsid w:val="00120EC9"/>
    <w:rsid w:val="00121422"/>
    <w:rsid w:val="001216A2"/>
    <w:rsid w:val="00121A99"/>
    <w:rsid w:val="00121ADB"/>
    <w:rsid w:val="00121F3C"/>
    <w:rsid w:val="001224C5"/>
    <w:rsid w:val="001227EA"/>
    <w:rsid w:val="0012297A"/>
    <w:rsid w:val="00122CB1"/>
    <w:rsid w:val="001230D2"/>
    <w:rsid w:val="001231D7"/>
    <w:rsid w:val="00123281"/>
    <w:rsid w:val="001235DD"/>
    <w:rsid w:val="001236CB"/>
    <w:rsid w:val="00123761"/>
    <w:rsid w:val="00123844"/>
    <w:rsid w:val="00123973"/>
    <w:rsid w:val="00123B40"/>
    <w:rsid w:val="00123B97"/>
    <w:rsid w:val="00123FCE"/>
    <w:rsid w:val="0012401B"/>
    <w:rsid w:val="001244E2"/>
    <w:rsid w:val="001249F4"/>
    <w:rsid w:val="001250A1"/>
    <w:rsid w:val="00125412"/>
    <w:rsid w:val="0012569D"/>
    <w:rsid w:val="00125767"/>
    <w:rsid w:val="00126186"/>
    <w:rsid w:val="001261E4"/>
    <w:rsid w:val="00126213"/>
    <w:rsid w:val="0012633B"/>
    <w:rsid w:val="00126AA0"/>
    <w:rsid w:val="00126C90"/>
    <w:rsid w:val="00126D4F"/>
    <w:rsid w:val="00126FD3"/>
    <w:rsid w:val="00127069"/>
    <w:rsid w:val="00127259"/>
    <w:rsid w:val="00127277"/>
    <w:rsid w:val="0012729F"/>
    <w:rsid w:val="0012730F"/>
    <w:rsid w:val="001277AA"/>
    <w:rsid w:val="00127A5F"/>
    <w:rsid w:val="00127F41"/>
    <w:rsid w:val="001300C0"/>
    <w:rsid w:val="00130245"/>
    <w:rsid w:val="001302C7"/>
    <w:rsid w:val="00130501"/>
    <w:rsid w:val="00130766"/>
    <w:rsid w:val="00130ABA"/>
    <w:rsid w:val="00130FA7"/>
    <w:rsid w:val="00130FBD"/>
    <w:rsid w:val="001310DB"/>
    <w:rsid w:val="00131126"/>
    <w:rsid w:val="00131195"/>
    <w:rsid w:val="001312D5"/>
    <w:rsid w:val="001313C2"/>
    <w:rsid w:val="001314D0"/>
    <w:rsid w:val="00131585"/>
    <w:rsid w:val="00131906"/>
    <w:rsid w:val="0013201A"/>
    <w:rsid w:val="001322A4"/>
    <w:rsid w:val="0013230C"/>
    <w:rsid w:val="001326ED"/>
    <w:rsid w:val="00132D29"/>
    <w:rsid w:val="00132E30"/>
    <w:rsid w:val="001330EA"/>
    <w:rsid w:val="00133236"/>
    <w:rsid w:val="001335B9"/>
    <w:rsid w:val="001336F0"/>
    <w:rsid w:val="001336FC"/>
    <w:rsid w:val="00133846"/>
    <w:rsid w:val="00133B05"/>
    <w:rsid w:val="00133CA2"/>
    <w:rsid w:val="00133CE0"/>
    <w:rsid w:val="00133D2C"/>
    <w:rsid w:val="001340AD"/>
    <w:rsid w:val="001341E6"/>
    <w:rsid w:val="001343AA"/>
    <w:rsid w:val="00134517"/>
    <w:rsid w:val="0013483C"/>
    <w:rsid w:val="00134871"/>
    <w:rsid w:val="00134AA3"/>
    <w:rsid w:val="00134AAF"/>
    <w:rsid w:val="00134CF1"/>
    <w:rsid w:val="001353C0"/>
    <w:rsid w:val="00135755"/>
    <w:rsid w:val="00135B1C"/>
    <w:rsid w:val="00135C57"/>
    <w:rsid w:val="00135CF6"/>
    <w:rsid w:val="00135D44"/>
    <w:rsid w:val="00135D7E"/>
    <w:rsid w:val="00135E05"/>
    <w:rsid w:val="00135E53"/>
    <w:rsid w:val="001360C4"/>
    <w:rsid w:val="0013637A"/>
    <w:rsid w:val="001363D7"/>
    <w:rsid w:val="001366A6"/>
    <w:rsid w:val="00136747"/>
    <w:rsid w:val="00136840"/>
    <w:rsid w:val="00136BE8"/>
    <w:rsid w:val="00136CD4"/>
    <w:rsid w:val="0013701A"/>
    <w:rsid w:val="00137217"/>
    <w:rsid w:val="00137391"/>
    <w:rsid w:val="00137625"/>
    <w:rsid w:val="00140009"/>
    <w:rsid w:val="0014048D"/>
    <w:rsid w:val="00140586"/>
    <w:rsid w:val="00140DC6"/>
    <w:rsid w:val="00140DD7"/>
    <w:rsid w:val="00140DE6"/>
    <w:rsid w:val="00140E2B"/>
    <w:rsid w:val="00141175"/>
    <w:rsid w:val="00141215"/>
    <w:rsid w:val="00141243"/>
    <w:rsid w:val="001418B0"/>
    <w:rsid w:val="00141A74"/>
    <w:rsid w:val="001422AF"/>
    <w:rsid w:val="00142581"/>
    <w:rsid w:val="00142754"/>
    <w:rsid w:val="001429C2"/>
    <w:rsid w:val="00142A98"/>
    <w:rsid w:val="00142C1B"/>
    <w:rsid w:val="00142E5D"/>
    <w:rsid w:val="00143558"/>
    <w:rsid w:val="0014361E"/>
    <w:rsid w:val="00143790"/>
    <w:rsid w:val="001438E3"/>
    <w:rsid w:val="0014391C"/>
    <w:rsid w:val="001439ED"/>
    <w:rsid w:val="00143EB3"/>
    <w:rsid w:val="00143F24"/>
    <w:rsid w:val="00144883"/>
    <w:rsid w:val="001448EE"/>
    <w:rsid w:val="00144AC8"/>
    <w:rsid w:val="00144C9C"/>
    <w:rsid w:val="00144E68"/>
    <w:rsid w:val="00144F7C"/>
    <w:rsid w:val="001453E7"/>
    <w:rsid w:val="00145584"/>
    <w:rsid w:val="00145605"/>
    <w:rsid w:val="0014580D"/>
    <w:rsid w:val="001459DE"/>
    <w:rsid w:val="00145BC6"/>
    <w:rsid w:val="00145DD2"/>
    <w:rsid w:val="00146680"/>
    <w:rsid w:val="00146E73"/>
    <w:rsid w:val="00147108"/>
    <w:rsid w:val="00147238"/>
    <w:rsid w:val="00147553"/>
    <w:rsid w:val="00147877"/>
    <w:rsid w:val="001478C9"/>
    <w:rsid w:val="00147A9E"/>
    <w:rsid w:val="00147BF4"/>
    <w:rsid w:val="00150003"/>
    <w:rsid w:val="00150174"/>
    <w:rsid w:val="00150187"/>
    <w:rsid w:val="0015033A"/>
    <w:rsid w:val="0015039B"/>
    <w:rsid w:val="0015093A"/>
    <w:rsid w:val="00150C7C"/>
    <w:rsid w:val="00150D2B"/>
    <w:rsid w:val="00150EF7"/>
    <w:rsid w:val="00151294"/>
    <w:rsid w:val="001512AA"/>
    <w:rsid w:val="001512E9"/>
    <w:rsid w:val="001518E3"/>
    <w:rsid w:val="00151988"/>
    <w:rsid w:val="001520DC"/>
    <w:rsid w:val="00152259"/>
    <w:rsid w:val="00152327"/>
    <w:rsid w:val="001525E0"/>
    <w:rsid w:val="00152655"/>
    <w:rsid w:val="0015274A"/>
    <w:rsid w:val="00152A34"/>
    <w:rsid w:val="00153372"/>
    <w:rsid w:val="0015347E"/>
    <w:rsid w:val="001539A2"/>
    <w:rsid w:val="00153CDD"/>
    <w:rsid w:val="00153DD4"/>
    <w:rsid w:val="00153FB0"/>
    <w:rsid w:val="001540AE"/>
    <w:rsid w:val="001541EC"/>
    <w:rsid w:val="00154362"/>
    <w:rsid w:val="001543DA"/>
    <w:rsid w:val="001545D1"/>
    <w:rsid w:val="0015481E"/>
    <w:rsid w:val="001548E8"/>
    <w:rsid w:val="00154ACA"/>
    <w:rsid w:val="00154D60"/>
    <w:rsid w:val="00154DF8"/>
    <w:rsid w:val="00155016"/>
    <w:rsid w:val="0015547F"/>
    <w:rsid w:val="00155725"/>
    <w:rsid w:val="001558C3"/>
    <w:rsid w:val="0015593D"/>
    <w:rsid w:val="00155974"/>
    <w:rsid w:val="00155A7E"/>
    <w:rsid w:val="00155E26"/>
    <w:rsid w:val="00156278"/>
    <w:rsid w:val="001563DE"/>
    <w:rsid w:val="00156960"/>
    <w:rsid w:val="00156A92"/>
    <w:rsid w:val="00156DD0"/>
    <w:rsid w:val="00156FA6"/>
    <w:rsid w:val="00156FDF"/>
    <w:rsid w:val="0015710C"/>
    <w:rsid w:val="001574BF"/>
    <w:rsid w:val="001574C8"/>
    <w:rsid w:val="00157617"/>
    <w:rsid w:val="0015778A"/>
    <w:rsid w:val="00157EBB"/>
    <w:rsid w:val="0016034F"/>
    <w:rsid w:val="00160466"/>
    <w:rsid w:val="0016074E"/>
    <w:rsid w:val="00160A85"/>
    <w:rsid w:val="00160A9C"/>
    <w:rsid w:val="00160ACD"/>
    <w:rsid w:val="00160B5E"/>
    <w:rsid w:val="00160BBD"/>
    <w:rsid w:val="00161137"/>
    <w:rsid w:val="001611C0"/>
    <w:rsid w:val="00161395"/>
    <w:rsid w:val="00161478"/>
    <w:rsid w:val="00161AA2"/>
    <w:rsid w:val="00161BE8"/>
    <w:rsid w:val="00161EE4"/>
    <w:rsid w:val="00162185"/>
    <w:rsid w:val="001621E7"/>
    <w:rsid w:val="0016246C"/>
    <w:rsid w:val="00162974"/>
    <w:rsid w:val="00162CA6"/>
    <w:rsid w:val="0016324D"/>
    <w:rsid w:val="0016346A"/>
    <w:rsid w:val="00163489"/>
    <w:rsid w:val="00163495"/>
    <w:rsid w:val="001634AE"/>
    <w:rsid w:val="00163638"/>
    <w:rsid w:val="00163789"/>
    <w:rsid w:val="00163F54"/>
    <w:rsid w:val="0016445C"/>
    <w:rsid w:val="0016485F"/>
    <w:rsid w:val="001649E7"/>
    <w:rsid w:val="001652FC"/>
    <w:rsid w:val="001653CC"/>
    <w:rsid w:val="00165647"/>
    <w:rsid w:val="00165656"/>
    <w:rsid w:val="00165FD4"/>
    <w:rsid w:val="00166157"/>
    <w:rsid w:val="0016618A"/>
    <w:rsid w:val="001662BC"/>
    <w:rsid w:val="001662EB"/>
    <w:rsid w:val="0016643F"/>
    <w:rsid w:val="001664C2"/>
    <w:rsid w:val="001665A9"/>
    <w:rsid w:val="0016667F"/>
    <w:rsid w:val="001667D1"/>
    <w:rsid w:val="00166876"/>
    <w:rsid w:val="00166C16"/>
    <w:rsid w:val="001673CE"/>
    <w:rsid w:val="00167688"/>
    <w:rsid w:val="0016772E"/>
    <w:rsid w:val="00167DDE"/>
    <w:rsid w:val="00167E28"/>
    <w:rsid w:val="00167EE0"/>
    <w:rsid w:val="00170107"/>
    <w:rsid w:val="0017043A"/>
    <w:rsid w:val="0017051E"/>
    <w:rsid w:val="00170A5A"/>
    <w:rsid w:val="00170C25"/>
    <w:rsid w:val="00170EBF"/>
    <w:rsid w:val="001711EA"/>
    <w:rsid w:val="00171632"/>
    <w:rsid w:val="0017173A"/>
    <w:rsid w:val="001717CA"/>
    <w:rsid w:val="00171AB3"/>
    <w:rsid w:val="00171BB7"/>
    <w:rsid w:val="00171CFB"/>
    <w:rsid w:val="0017202E"/>
    <w:rsid w:val="00172075"/>
    <w:rsid w:val="0017215E"/>
    <w:rsid w:val="00172180"/>
    <w:rsid w:val="00172215"/>
    <w:rsid w:val="00172478"/>
    <w:rsid w:val="0017260E"/>
    <w:rsid w:val="0017299C"/>
    <w:rsid w:val="00172A44"/>
    <w:rsid w:val="00172BC0"/>
    <w:rsid w:val="00172DBE"/>
    <w:rsid w:val="001730CA"/>
    <w:rsid w:val="0017315A"/>
    <w:rsid w:val="001731CE"/>
    <w:rsid w:val="00173AD8"/>
    <w:rsid w:val="00173B46"/>
    <w:rsid w:val="00173E9B"/>
    <w:rsid w:val="001743AB"/>
    <w:rsid w:val="001744A6"/>
    <w:rsid w:val="00174595"/>
    <w:rsid w:val="00174657"/>
    <w:rsid w:val="001748B3"/>
    <w:rsid w:val="00174C81"/>
    <w:rsid w:val="001750FF"/>
    <w:rsid w:val="001751C0"/>
    <w:rsid w:val="00175448"/>
    <w:rsid w:val="001754F1"/>
    <w:rsid w:val="001756E0"/>
    <w:rsid w:val="00175AFC"/>
    <w:rsid w:val="00175C25"/>
    <w:rsid w:val="00176408"/>
    <w:rsid w:val="0017657D"/>
    <w:rsid w:val="0017665E"/>
    <w:rsid w:val="001766CF"/>
    <w:rsid w:val="0017680B"/>
    <w:rsid w:val="00176A44"/>
    <w:rsid w:val="00176BFC"/>
    <w:rsid w:val="00177020"/>
    <w:rsid w:val="0017768E"/>
    <w:rsid w:val="00177D5F"/>
    <w:rsid w:val="00177ED9"/>
    <w:rsid w:val="00177F2F"/>
    <w:rsid w:val="00177F88"/>
    <w:rsid w:val="00180161"/>
    <w:rsid w:val="0018024D"/>
    <w:rsid w:val="001803F5"/>
    <w:rsid w:val="00180556"/>
    <w:rsid w:val="0018081E"/>
    <w:rsid w:val="00180BF6"/>
    <w:rsid w:val="00180C07"/>
    <w:rsid w:val="00180DFE"/>
    <w:rsid w:val="00181044"/>
    <w:rsid w:val="0018120D"/>
    <w:rsid w:val="00181486"/>
    <w:rsid w:val="0018162E"/>
    <w:rsid w:val="00181A68"/>
    <w:rsid w:val="00181ABA"/>
    <w:rsid w:val="00181BF6"/>
    <w:rsid w:val="00181C1D"/>
    <w:rsid w:val="00181C9C"/>
    <w:rsid w:val="00181DF4"/>
    <w:rsid w:val="00181ED6"/>
    <w:rsid w:val="001822B7"/>
    <w:rsid w:val="001825D4"/>
    <w:rsid w:val="001826E8"/>
    <w:rsid w:val="00182700"/>
    <w:rsid w:val="001827AD"/>
    <w:rsid w:val="001829F0"/>
    <w:rsid w:val="00182DB9"/>
    <w:rsid w:val="00182F93"/>
    <w:rsid w:val="00182FFD"/>
    <w:rsid w:val="001830BE"/>
    <w:rsid w:val="001832E5"/>
    <w:rsid w:val="00183360"/>
    <w:rsid w:val="00183758"/>
    <w:rsid w:val="00183849"/>
    <w:rsid w:val="001839D2"/>
    <w:rsid w:val="00183CFF"/>
    <w:rsid w:val="00183DB4"/>
    <w:rsid w:val="00183E52"/>
    <w:rsid w:val="00184F45"/>
    <w:rsid w:val="001851BC"/>
    <w:rsid w:val="001851F9"/>
    <w:rsid w:val="00185B9C"/>
    <w:rsid w:val="00185FC5"/>
    <w:rsid w:val="0018624C"/>
    <w:rsid w:val="00186322"/>
    <w:rsid w:val="00186759"/>
    <w:rsid w:val="0018692D"/>
    <w:rsid w:val="00186CA7"/>
    <w:rsid w:val="0018718A"/>
    <w:rsid w:val="001877F8"/>
    <w:rsid w:val="00187994"/>
    <w:rsid w:val="00187B57"/>
    <w:rsid w:val="00187B93"/>
    <w:rsid w:val="00187CD7"/>
    <w:rsid w:val="00187D12"/>
    <w:rsid w:val="00187EED"/>
    <w:rsid w:val="001901A6"/>
    <w:rsid w:val="0019072B"/>
    <w:rsid w:val="00190AAA"/>
    <w:rsid w:val="00191078"/>
    <w:rsid w:val="0019114B"/>
    <w:rsid w:val="001911FF"/>
    <w:rsid w:val="00191732"/>
    <w:rsid w:val="00191C19"/>
    <w:rsid w:val="00192050"/>
    <w:rsid w:val="001922C6"/>
    <w:rsid w:val="00192674"/>
    <w:rsid w:val="00192778"/>
    <w:rsid w:val="00192B44"/>
    <w:rsid w:val="00192CE0"/>
    <w:rsid w:val="00192DAF"/>
    <w:rsid w:val="00192E8D"/>
    <w:rsid w:val="00192F7D"/>
    <w:rsid w:val="00193427"/>
    <w:rsid w:val="0019390C"/>
    <w:rsid w:val="00193E53"/>
    <w:rsid w:val="001940C0"/>
    <w:rsid w:val="001944E0"/>
    <w:rsid w:val="0019456B"/>
    <w:rsid w:val="00194892"/>
    <w:rsid w:val="00194D89"/>
    <w:rsid w:val="00194FD0"/>
    <w:rsid w:val="00195048"/>
    <w:rsid w:val="001950A6"/>
    <w:rsid w:val="001953B8"/>
    <w:rsid w:val="001953E8"/>
    <w:rsid w:val="00195444"/>
    <w:rsid w:val="00195461"/>
    <w:rsid w:val="0019574A"/>
    <w:rsid w:val="001957BB"/>
    <w:rsid w:val="0019598A"/>
    <w:rsid w:val="00195A06"/>
    <w:rsid w:val="00195EED"/>
    <w:rsid w:val="001960DE"/>
    <w:rsid w:val="001967D7"/>
    <w:rsid w:val="0019681D"/>
    <w:rsid w:val="00196A5A"/>
    <w:rsid w:val="00196B3D"/>
    <w:rsid w:val="00196BFA"/>
    <w:rsid w:val="00196CAC"/>
    <w:rsid w:val="00196D36"/>
    <w:rsid w:val="00196F4D"/>
    <w:rsid w:val="001970E7"/>
    <w:rsid w:val="001975E8"/>
    <w:rsid w:val="00197759"/>
    <w:rsid w:val="001977CC"/>
    <w:rsid w:val="0019782F"/>
    <w:rsid w:val="00197880"/>
    <w:rsid w:val="00197AF3"/>
    <w:rsid w:val="00197B96"/>
    <w:rsid w:val="00197D0E"/>
    <w:rsid w:val="00197D99"/>
    <w:rsid w:val="00197E50"/>
    <w:rsid w:val="00197FFC"/>
    <w:rsid w:val="001A039C"/>
    <w:rsid w:val="001A04E3"/>
    <w:rsid w:val="001A056D"/>
    <w:rsid w:val="001A0AAE"/>
    <w:rsid w:val="001A0C63"/>
    <w:rsid w:val="001A0D81"/>
    <w:rsid w:val="001A0DBB"/>
    <w:rsid w:val="001A0E4E"/>
    <w:rsid w:val="001A1618"/>
    <w:rsid w:val="001A1647"/>
    <w:rsid w:val="001A1B2A"/>
    <w:rsid w:val="001A1B77"/>
    <w:rsid w:val="001A1D1D"/>
    <w:rsid w:val="001A1DA8"/>
    <w:rsid w:val="001A2020"/>
    <w:rsid w:val="001A2139"/>
    <w:rsid w:val="001A25A8"/>
    <w:rsid w:val="001A278E"/>
    <w:rsid w:val="001A2874"/>
    <w:rsid w:val="001A2AD2"/>
    <w:rsid w:val="001A2C0C"/>
    <w:rsid w:val="001A2C8D"/>
    <w:rsid w:val="001A2D5E"/>
    <w:rsid w:val="001A2DE6"/>
    <w:rsid w:val="001A2F2D"/>
    <w:rsid w:val="001A309F"/>
    <w:rsid w:val="001A3745"/>
    <w:rsid w:val="001A39DF"/>
    <w:rsid w:val="001A3A13"/>
    <w:rsid w:val="001A3B93"/>
    <w:rsid w:val="001A421B"/>
    <w:rsid w:val="001A4884"/>
    <w:rsid w:val="001A4C73"/>
    <w:rsid w:val="001A4E37"/>
    <w:rsid w:val="001A4EDC"/>
    <w:rsid w:val="001A4F79"/>
    <w:rsid w:val="001A5048"/>
    <w:rsid w:val="001A51C1"/>
    <w:rsid w:val="001A54BF"/>
    <w:rsid w:val="001A559D"/>
    <w:rsid w:val="001A57E8"/>
    <w:rsid w:val="001A590F"/>
    <w:rsid w:val="001A595D"/>
    <w:rsid w:val="001A5ECE"/>
    <w:rsid w:val="001A65F7"/>
    <w:rsid w:val="001A6932"/>
    <w:rsid w:val="001A6ACA"/>
    <w:rsid w:val="001A6FF2"/>
    <w:rsid w:val="001A71DE"/>
    <w:rsid w:val="001A7240"/>
    <w:rsid w:val="001A746F"/>
    <w:rsid w:val="001A77B0"/>
    <w:rsid w:val="001A77E6"/>
    <w:rsid w:val="001A7849"/>
    <w:rsid w:val="001A7D44"/>
    <w:rsid w:val="001A7F0D"/>
    <w:rsid w:val="001B00A7"/>
    <w:rsid w:val="001B023E"/>
    <w:rsid w:val="001B0318"/>
    <w:rsid w:val="001B0397"/>
    <w:rsid w:val="001B0470"/>
    <w:rsid w:val="001B0564"/>
    <w:rsid w:val="001B09DB"/>
    <w:rsid w:val="001B0B63"/>
    <w:rsid w:val="001B0B90"/>
    <w:rsid w:val="001B0BF7"/>
    <w:rsid w:val="001B0FAD"/>
    <w:rsid w:val="001B141A"/>
    <w:rsid w:val="001B1660"/>
    <w:rsid w:val="001B18D6"/>
    <w:rsid w:val="001B1D96"/>
    <w:rsid w:val="001B247F"/>
    <w:rsid w:val="001B268A"/>
    <w:rsid w:val="001B27D3"/>
    <w:rsid w:val="001B29FA"/>
    <w:rsid w:val="001B3047"/>
    <w:rsid w:val="001B308D"/>
    <w:rsid w:val="001B349F"/>
    <w:rsid w:val="001B3948"/>
    <w:rsid w:val="001B3A19"/>
    <w:rsid w:val="001B3B8D"/>
    <w:rsid w:val="001B3DDD"/>
    <w:rsid w:val="001B3E3F"/>
    <w:rsid w:val="001B3EFB"/>
    <w:rsid w:val="001B42A9"/>
    <w:rsid w:val="001B449C"/>
    <w:rsid w:val="001B4597"/>
    <w:rsid w:val="001B47A8"/>
    <w:rsid w:val="001B48DF"/>
    <w:rsid w:val="001B492A"/>
    <w:rsid w:val="001B4C99"/>
    <w:rsid w:val="001B4E47"/>
    <w:rsid w:val="001B5518"/>
    <w:rsid w:val="001B56EF"/>
    <w:rsid w:val="001B59B6"/>
    <w:rsid w:val="001B5BE5"/>
    <w:rsid w:val="001B5D69"/>
    <w:rsid w:val="001B5D81"/>
    <w:rsid w:val="001B617F"/>
    <w:rsid w:val="001B69DE"/>
    <w:rsid w:val="001B6B09"/>
    <w:rsid w:val="001B6B55"/>
    <w:rsid w:val="001B6D26"/>
    <w:rsid w:val="001B716C"/>
    <w:rsid w:val="001B752F"/>
    <w:rsid w:val="001B75A8"/>
    <w:rsid w:val="001B78A5"/>
    <w:rsid w:val="001B7AF6"/>
    <w:rsid w:val="001B7B72"/>
    <w:rsid w:val="001B7BF2"/>
    <w:rsid w:val="001B7C3E"/>
    <w:rsid w:val="001B7EAC"/>
    <w:rsid w:val="001C087D"/>
    <w:rsid w:val="001C0898"/>
    <w:rsid w:val="001C0985"/>
    <w:rsid w:val="001C0BF4"/>
    <w:rsid w:val="001C0D9B"/>
    <w:rsid w:val="001C0EBB"/>
    <w:rsid w:val="001C11F9"/>
    <w:rsid w:val="001C16AC"/>
    <w:rsid w:val="001C1EED"/>
    <w:rsid w:val="001C1F63"/>
    <w:rsid w:val="001C20E9"/>
    <w:rsid w:val="001C2587"/>
    <w:rsid w:val="001C2731"/>
    <w:rsid w:val="001C277E"/>
    <w:rsid w:val="001C28EF"/>
    <w:rsid w:val="001C2981"/>
    <w:rsid w:val="001C3087"/>
    <w:rsid w:val="001C31CD"/>
    <w:rsid w:val="001C3233"/>
    <w:rsid w:val="001C3400"/>
    <w:rsid w:val="001C371C"/>
    <w:rsid w:val="001C3843"/>
    <w:rsid w:val="001C388C"/>
    <w:rsid w:val="001C3A57"/>
    <w:rsid w:val="001C3E3E"/>
    <w:rsid w:val="001C3FB0"/>
    <w:rsid w:val="001C41E5"/>
    <w:rsid w:val="001C45B0"/>
    <w:rsid w:val="001C47A4"/>
    <w:rsid w:val="001C4966"/>
    <w:rsid w:val="001C4B7A"/>
    <w:rsid w:val="001C4EC6"/>
    <w:rsid w:val="001C4F7C"/>
    <w:rsid w:val="001C574E"/>
    <w:rsid w:val="001C5ED5"/>
    <w:rsid w:val="001C653B"/>
    <w:rsid w:val="001C685F"/>
    <w:rsid w:val="001C6B22"/>
    <w:rsid w:val="001C6C29"/>
    <w:rsid w:val="001C6DD0"/>
    <w:rsid w:val="001C6E94"/>
    <w:rsid w:val="001C7281"/>
    <w:rsid w:val="001C736F"/>
    <w:rsid w:val="001C7895"/>
    <w:rsid w:val="001C79E6"/>
    <w:rsid w:val="001C7CC7"/>
    <w:rsid w:val="001C7DE7"/>
    <w:rsid w:val="001C7F64"/>
    <w:rsid w:val="001D00B1"/>
    <w:rsid w:val="001D02A1"/>
    <w:rsid w:val="001D030F"/>
    <w:rsid w:val="001D0349"/>
    <w:rsid w:val="001D04DA"/>
    <w:rsid w:val="001D05D1"/>
    <w:rsid w:val="001D0775"/>
    <w:rsid w:val="001D0792"/>
    <w:rsid w:val="001D0905"/>
    <w:rsid w:val="001D096C"/>
    <w:rsid w:val="001D09BC"/>
    <w:rsid w:val="001D1135"/>
    <w:rsid w:val="001D1145"/>
    <w:rsid w:val="001D1207"/>
    <w:rsid w:val="001D1476"/>
    <w:rsid w:val="001D1801"/>
    <w:rsid w:val="001D1ABC"/>
    <w:rsid w:val="001D1EF2"/>
    <w:rsid w:val="001D1F80"/>
    <w:rsid w:val="001D220C"/>
    <w:rsid w:val="001D258B"/>
    <w:rsid w:val="001D27A0"/>
    <w:rsid w:val="001D2960"/>
    <w:rsid w:val="001D2A50"/>
    <w:rsid w:val="001D2A73"/>
    <w:rsid w:val="001D2AA3"/>
    <w:rsid w:val="001D3026"/>
    <w:rsid w:val="001D353E"/>
    <w:rsid w:val="001D36CB"/>
    <w:rsid w:val="001D36F3"/>
    <w:rsid w:val="001D3968"/>
    <w:rsid w:val="001D3E7A"/>
    <w:rsid w:val="001D44CC"/>
    <w:rsid w:val="001D4683"/>
    <w:rsid w:val="001D4946"/>
    <w:rsid w:val="001D4AFE"/>
    <w:rsid w:val="001D4B09"/>
    <w:rsid w:val="001D4B3D"/>
    <w:rsid w:val="001D4C93"/>
    <w:rsid w:val="001D4F61"/>
    <w:rsid w:val="001D4F73"/>
    <w:rsid w:val="001D50B9"/>
    <w:rsid w:val="001D5284"/>
    <w:rsid w:val="001D55EB"/>
    <w:rsid w:val="001D5DC8"/>
    <w:rsid w:val="001D6232"/>
    <w:rsid w:val="001D623B"/>
    <w:rsid w:val="001D6594"/>
    <w:rsid w:val="001D691F"/>
    <w:rsid w:val="001D6A81"/>
    <w:rsid w:val="001D6B03"/>
    <w:rsid w:val="001D6FA9"/>
    <w:rsid w:val="001D71CE"/>
    <w:rsid w:val="001D72E5"/>
    <w:rsid w:val="001D7593"/>
    <w:rsid w:val="001D75D7"/>
    <w:rsid w:val="001D7D9D"/>
    <w:rsid w:val="001D7E01"/>
    <w:rsid w:val="001E042C"/>
    <w:rsid w:val="001E04A6"/>
    <w:rsid w:val="001E0622"/>
    <w:rsid w:val="001E0C6D"/>
    <w:rsid w:val="001E0D02"/>
    <w:rsid w:val="001E0D9A"/>
    <w:rsid w:val="001E0E5D"/>
    <w:rsid w:val="001E1437"/>
    <w:rsid w:val="001E14C5"/>
    <w:rsid w:val="001E1611"/>
    <w:rsid w:val="001E1F19"/>
    <w:rsid w:val="001E2678"/>
    <w:rsid w:val="001E2710"/>
    <w:rsid w:val="001E28B0"/>
    <w:rsid w:val="001E2B07"/>
    <w:rsid w:val="001E2B08"/>
    <w:rsid w:val="001E2B15"/>
    <w:rsid w:val="001E2C16"/>
    <w:rsid w:val="001E2C46"/>
    <w:rsid w:val="001E30AA"/>
    <w:rsid w:val="001E316C"/>
    <w:rsid w:val="001E3554"/>
    <w:rsid w:val="001E37C8"/>
    <w:rsid w:val="001E3849"/>
    <w:rsid w:val="001E3EC2"/>
    <w:rsid w:val="001E3FF4"/>
    <w:rsid w:val="001E44B6"/>
    <w:rsid w:val="001E4593"/>
    <w:rsid w:val="001E4747"/>
    <w:rsid w:val="001E496C"/>
    <w:rsid w:val="001E49A2"/>
    <w:rsid w:val="001E4A67"/>
    <w:rsid w:val="001E568F"/>
    <w:rsid w:val="001E5714"/>
    <w:rsid w:val="001E59AD"/>
    <w:rsid w:val="001E5C6C"/>
    <w:rsid w:val="001E5DC0"/>
    <w:rsid w:val="001E6289"/>
    <w:rsid w:val="001E65BA"/>
    <w:rsid w:val="001E6708"/>
    <w:rsid w:val="001E68AF"/>
    <w:rsid w:val="001E6968"/>
    <w:rsid w:val="001E6978"/>
    <w:rsid w:val="001E6A54"/>
    <w:rsid w:val="001E6B5F"/>
    <w:rsid w:val="001E6C9F"/>
    <w:rsid w:val="001E73EE"/>
    <w:rsid w:val="001E7571"/>
    <w:rsid w:val="001E759A"/>
    <w:rsid w:val="001E774C"/>
    <w:rsid w:val="001E7AC9"/>
    <w:rsid w:val="001F060D"/>
    <w:rsid w:val="001F0B74"/>
    <w:rsid w:val="001F0CE7"/>
    <w:rsid w:val="001F0D11"/>
    <w:rsid w:val="001F138D"/>
    <w:rsid w:val="001F14DC"/>
    <w:rsid w:val="001F164D"/>
    <w:rsid w:val="001F1650"/>
    <w:rsid w:val="001F17EE"/>
    <w:rsid w:val="001F186C"/>
    <w:rsid w:val="001F1AD9"/>
    <w:rsid w:val="001F1C8E"/>
    <w:rsid w:val="001F1EC2"/>
    <w:rsid w:val="001F1F5F"/>
    <w:rsid w:val="001F2172"/>
    <w:rsid w:val="001F21A0"/>
    <w:rsid w:val="001F23A3"/>
    <w:rsid w:val="001F24F0"/>
    <w:rsid w:val="001F262C"/>
    <w:rsid w:val="001F2738"/>
    <w:rsid w:val="001F288E"/>
    <w:rsid w:val="001F2F26"/>
    <w:rsid w:val="001F30A4"/>
    <w:rsid w:val="001F345C"/>
    <w:rsid w:val="001F3609"/>
    <w:rsid w:val="001F3638"/>
    <w:rsid w:val="001F36D4"/>
    <w:rsid w:val="001F36DD"/>
    <w:rsid w:val="001F3A79"/>
    <w:rsid w:val="001F3D3A"/>
    <w:rsid w:val="001F3E54"/>
    <w:rsid w:val="001F42CE"/>
    <w:rsid w:val="001F45C1"/>
    <w:rsid w:val="001F45EB"/>
    <w:rsid w:val="001F4935"/>
    <w:rsid w:val="001F498E"/>
    <w:rsid w:val="001F4A96"/>
    <w:rsid w:val="001F4AB3"/>
    <w:rsid w:val="001F4AC9"/>
    <w:rsid w:val="001F4E8B"/>
    <w:rsid w:val="001F4F63"/>
    <w:rsid w:val="001F522E"/>
    <w:rsid w:val="001F52CB"/>
    <w:rsid w:val="001F5494"/>
    <w:rsid w:val="001F55AF"/>
    <w:rsid w:val="001F5705"/>
    <w:rsid w:val="001F5840"/>
    <w:rsid w:val="001F590E"/>
    <w:rsid w:val="001F5A6A"/>
    <w:rsid w:val="001F5AA5"/>
    <w:rsid w:val="001F5AD9"/>
    <w:rsid w:val="001F5CD5"/>
    <w:rsid w:val="001F6008"/>
    <w:rsid w:val="001F614E"/>
    <w:rsid w:val="001F62C4"/>
    <w:rsid w:val="001F63A4"/>
    <w:rsid w:val="001F6521"/>
    <w:rsid w:val="001F663E"/>
    <w:rsid w:val="001F6AC6"/>
    <w:rsid w:val="001F70F8"/>
    <w:rsid w:val="001F761E"/>
    <w:rsid w:val="001F7E28"/>
    <w:rsid w:val="001F7E77"/>
    <w:rsid w:val="0020020E"/>
    <w:rsid w:val="00200264"/>
    <w:rsid w:val="002005D8"/>
    <w:rsid w:val="00200865"/>
    <w:rsid w:val="00200F1E"/>
    <w:rsid w:val="00201351"/>
    <w:rsid w:val="00201608"/>
    <w:rsid w:val="00201CE7"/>
    <w:rsid w:val="00202492"/>
    <w:rsid w:val="0020291D"/>
    <w:rsid w:val="00202BA4"/>
    <w:rsid w:val="00202C15"/>
    <w:rsid w:val="00203076"/>
    <w:rsid w:val="00203434"/>
    <w:rsid w:val="0020348B"/>
    <w:rsid w:val="0020369C"/>
    <w:rsid w:val="00203B3D"/>
    <w:rsid w:val="00203B4F"/>
    <w:rsid w:val="00203BDD"/>
    <w:rsid w:val="00203E0F"/>
    <w:rsid w:val="00203EA3"/>
    <w:rsid w:val="00203FC3"/>
    <w:rsid w:val="002042AF"/>
    <w:rsid w:val="002046EA"/>
    <w:rsid w:val="002049A9"/>
    <w:rsid w:val="00204CAF"/>
    <w:rsid w:val="00204CC9"/>
    <w:rsid w:val="00204DD4"/>
    <w:rsid w:val="00204DE7"/>
    <w:rsid w:val="002051F4"/>
    <w:rsid w:val="00205259"/>
    <w:rsid w:val="0020551A"/>
    <w:rsid w:val="00205993"/>
    <w:rsid w:val="00205ADF"/>
    <w:rsid w:val="00205CD8"/>
    <w:rsid w:val="00205CF6"/>
    <w:rsid w:val="002060D3"/>
    <w:rsid w:val="00206128"/>
    <w:rsid w:val="002061B8"/>
    <w:rsid w:val="002064A2"/>
    <w:rsid w:val="00206945"/>
    <w:rsid w:val="00206957"/>
    <w:rsid w:val="00206C03"/>
    <w:rsid w:val="00207100"/>
    <w:rsid w:val="00207293"/>
    <w:rsid w:val="002074B0"/>
    <w:rsid w:val="00207C11"/>
    <w:rsid w:val="00207EB6"/>
    <w:rsid w:val="00210195"/>
    <w:rsid w:val="002102FE"/>
    <w:rsid w:val="00210354"/>
    <w:rsid w:val="002103DA"/>
    <w:rsid w:val="00210E14"/>
    <w:rsid w:val="0021119A"/>
    <w:rsid w:val="002114F1"/>
    <w:rsid w:val="0021161F"/>
    <w:rsid w:val="00211D01"/>
    <w:rsid w:val="002122F8"/>
    <w:rsid w:val="002128A7"/>
    <w:rsid w:val="002128CE"/>
    <w:rsid w:val="002129B3"/>
    <w:rsid w:val="00212F36"/>
    <w:rsid w:val="00213077"/>
    <w:rsid w:val="002136BD"/>
    <w:rsid w:val="00213881"/>
    <w:rsid w:val="00213F9C"/>
    <w:rsid w:val="00214271"/>
    <w:rsid w:val="002143B4"/>
    <w:rsid w:val="0021541A"/>
    <w:rsid w:val="00215792"/>
    <w:rsid w:val="002158B8"/>
    <w:rsid w:val="002158CF"/>
    <w:rsid w:val="0021596A"/>
    <w:rsid w:val="00215BD8"/>
    <w:rsid w:val="00216265"/>
    <w:rsid w:val="0021647C"/>
    <w:rsid w:val="0021649D"/>
    <w:rsid w:val="002167EA"/>
    <w:rsid w:val="00216A3B"/>
    <w:rsid w:val="00216B36"/>
    <w:rsid w:val="00216E3B"/>
    <w:rsid w:val="00216E8D"/>
    <w:rsid w:val="00216EAA"/>
    <w:rsid w:val="002172F6"/>
    <w:rsid w:val="0021736E"/>
    <w:rsid w:val="002173AE"/>
    <w:rsid w:val="00217414"/>
    <w:rsid w:val="00217724"/>
    <w:rsid w:val="0021782A"/>
    <w:rsid w:val="00217A33"/>
    <w:rsid w:val="0022009F"/>
    <w:rsid w:val="0022013F"/>
    <w:rsid w:val="002208B6"/>
    <w:rsid w:val="00220A51"/>
    <w:rsid w:val="00220B60"/>
    <w:rsid w:val="00220D97"/>
    <w:rsid w:val="00220EF4"/>
    <w:rsid w:val="00221049"/>
    <w:rsid w:val="00221580"/>
    <w:rsid w:val="002215D2"/>
    <w:rsid w:val="00221AD9"/>
    <w:rsid w:val="00221B57"/>
    <w:rsid w:val="002220DD"/>
    <w:rsid w:val="0022210E"/>
    <w:rsid w:val="00222199"/>
    <w:rsid w:val="00222514"/>
    <w:rsid w:val="00222528"/>
    <w:rsid w:val="002226E4"/>
    <w:rsid w:val="002227B5"/>
    <w:rsid w:val="0022281C"/>
    <w:rsid w:val="002228CF"/>
    <w:rsid w:val="00222C07"/>
    <w:rsid w:val="00222F17"/>
    <w:rsid w:val="002231F9"/>
    <w:rsid w:val="002234ED"/>
    <w:rsid w:val="002236AA"/>
    <w:rsid w:val="002239FF"/>
    <w:rsid w:val="00223C32"/>
    <w:rsid w:val="00223D7A"/>
    <w:rsid w:val="00223FA5"/>
    <w:rsid w:val="00223FED"/>
    <w:rsid w:val="00223FFB"/>
    <w:rsid w:val="0022417B"/>
    <w:rsid w:val="00224421"/>
    <w:rsid w:val="0022449D"/>
    <w:rsid w:val="00224529"/>
    <w:rsid w:val="0022454D"/>
    <w:rsid w:val="002245E7"/>
    <w:rsid w:val="00224680"/>
    <w:rsid w:val="00224BFD"/>
    <w:rsid w:val="00224ECF"/>
    <w:rsid w:val="002254A9"/>
    <w:rsid w:val="002258F2"/>
    <w:rsid w:val="00225C6A"/>
    <w:rsid w:val="00225CD2"/>
    <w:rsid w:val="00225DE3"/>
    <w:rsid w:val="00225E0F"/>
    <w:rsid w:val="002260E7"/>
    <w:rsid w:val="00226235"/>
    <w:rsid w:val="002264B5"/>
    <w:rsid w:val="00226528"/>
    <w:rsid w:val="00226A33"/>
    <w:rsid w:val="00226C05"/>
    <w:rsid w:val="00226F1F"/>
    <w:rsid w:val="0022744D"/>
    <w:rsid w:val="002277FF"/>
    <w:rsid w:val="002278BD"/>
    <w:rsid w:val="00227DBD"/>
    <w:rsid w:val="00227DCF"/>
    <w:rsid w:val="00227FB0"/>
    <w:rsid w:val="00230130"/>
    <w:rsid w:val="00230A1D"/>
    <w:rsid w:val="00230DEC"/>
    <w:rsid w:val="00231187"/>
    <w:rsid w:val="002311CB"/>
    <w:rsid w:val="002315B8"/>
    <w:rsid w:val="002317CF"/>
    <w:rsid w:val="00231815"/>
    <w:rsid w:val="002319F3"/>
    <w:rsid w:val="00231A66"/>
    <w:rsid w:val="00231B25"/>
    <w:rsid w:val="00231C4E"/>
    <w:rsid w:val="00231CDD"/>
    <w:rsid w:val="00231E48"/>
    <w:rsid w:val="002321C6"/>
    <w:rsid w:val="00232402"/>
    <w:rsid w:val="0023241F"/>
    <w:rsid w:val="00232531"/>
    <w:rsid w:val="00232533"/>
    <w:rsid w:val="00232B47"/>
    <w:rsid w:val="00232C9D"/>
    <w:rsid w:val="00232D65"/>
    <w:rsid w:val="00232DBA"/>
    <w:rsid w:val="00232E81"/>
    <w:rsid w:val="0023360F"/>
    <w:rsid w:val="0023393B"/>
    <w:rsid w:val="00233964"/>
    <w:rsid w:val="00233AE2"/>
    <w:rsid w:val="00233B46"/>
    <w:rsid w:val="002344C4"/>
    <w:rsid w:val="002344F5"/>
    <w:rsid w:val="00234622"/>
    <w:rsid w:val="00234707"/>
    <w:rsid w:val="00234C1E"/>
    <w:rsid w:val="00234D37"/>
    <w:rsid w:val="00234DB5"/>
    <w:rsid w:val="00234DDC"/>
    <w:rsid w:val="00234EB3"/>
    <w:rsid w:val="0023562C"/>
    <w:rsid w:val="002359D7"/>
    <w:rsid w:val="002360BC"/>
    <w:rsid w:val="00236194"/>
    <w:rsid w:val="0023621C"/>
    <w:rsid w:val="002362B2"/>
    <w:rsid w:val="00236459"/>
    <w:rsid w:val="002366C9"/>
    <w:rsid w:val="0023670D"/>
    <w:rsid w:val="00236935"/>
    <w:rsid w:val="00236A37"/>
    <w:rsid w:val="00236BC1"/>
    <w:rsid w:val="00236E95"/>
    <w:rsid w:val="00236EDC"/>
    <w:rsid w:val="00236F27"/>
    <w:rsid w:val="002372AE"/>
    <w:rsid w:val="0023741B"/>
    <w:rsid w:val="002375C1"/>
    <w:rsid w:val="00237764"/>
    <w:rsid w:val="00240059"/>
    <w:rsid w:val="00240201"/>
    <w:rsid w:val="002405D0"/>
    <w:rsid w:val="002406ED"/>
    <w:rsid w:val="002408E1"/>
    <w:rsid w:val="002409F6"/>
    <w:rsid w:val="00240C0D"/>
    <w:rsid w:val="00240F35"/>
    <w:rsid w:val="00241142"/>
    <w:rsid w:val="002412B1"/>
    <w:rsid w:val="002418FF"/>
    <w:rsid w:val="002419F8"/>
    <w:rsid w:val="00241D34"/>
    <w:rsid w:val="00241F44"/>
    <w:rsid w:val="00242292"/>
    <w:rsid w:val="0024295C"/>
    <w:rsid w:val="00242A7B"/>
    <w:rsid w:val="00242B40"/>
    <w:rsid w:val="00242C6E"/>
    <w:rsid w:val="00242CE3"/>
    <w:rsid w:val="00242E3D"/>
    <w:rsid w:val="00242EDB"/>
    <w:rsid w:val="00242F49"/>
    <w:rsid w:val="00242F77"/>
    <w:rsid w:val="00243061"/>
    <w:rsid w:val="00243216"/>
    <w:rsid w:val="002432FB"/>
    <w:rsid w:val="002433DF"/>
    <w:rsid w:val="00243412"/>
    <w:rsid w:val="002434EA"/>
    <w:rsid w:val="0024396C"/>
    <w:rsid w:val="00243EC1"/>
    <w:rsid w:val="00243F4D"/>
    <w:rsid w:val="00244659"/>
    <w:rsid w:val="00245370"/>
    <w:rsid w:val="0024556F"/>
    <w:rsid w:val="00245CE6"/>
    <w:rsid w:val="00245D37"/>
    <w:rsid w:val="00246637"/>
    <w:rsid w:val="00246703"/>
    <w:rsid w:val="0024683D"/>
    <w:rsid w:val="002469AA"/>
    <w:rsid w:val="00246FF0"/>
    <w:rsid w:val="0024708E"/>
    <w:rsid w:val="00247309"/>
    <w:rsid w:val="0024754B"/>
    <w:rsid w:val="002476DE"/>
    <w:rsid w:val="002477BE"/>
    <w:rsid w:val="0024796E"/>
    <w:rsid w:val="00247985"/>
    <w:rsid w:val="002479F7"/>
    <w:rsid w:val="002479F8"/>
    <w:rsid w:val="00247E8A"/>
    <w:rsid w:val="00247ED7"/>
    <w:rsid w:val="00247EF0"/>
    <w:rsid w:val="002500BA"/>
    <w:rsid w:val="00250135"/>
    <w:rsid w:val="00250144"/>
    <w:rsid w:val="00250340"/>
    <w:rsid w:val="002504DD"/>
    <w:rsid w:val="0025059C"/>
    <w:rsid w:val="002505FC"/>
    <w:rsid w:val="0025097A"/>
    <w:rsid w:val="00250A15"/>
    <w:rsid w:val="00250F3A"/>
    <w:rsid w:val="002510FA"/>
    <w:rsid w:val="0025149A"/>
    <w:rsid w:val="0025197D"/>
    <w:rsid w:val="00251A11"/>
    <w:rsid w:val="00251A2B"/>
    <w:rsid w:val="00251A5A"/>
    <w:rsid w:val="00251A6C"/>
    <w:rsid w:val="00251A83"/>
    <w:rsid w:val="00251B3D"/>
    <w:rsid w:val="00251B4D"/>
    <w:rsid w:val="00251CDA"/>
    <w:rsid w:val="002524CC"/>
    <w:rsid w:val="00252872"/>
    <w:rsid w:val="00252A14"/>
    <w:rsid w:val="00252ADC"/>
    <w:rsid w:val="00252B33"/>
    <w:rsid w:val="00252DC4"/>
    <w:rsid w:val="00252F10"/>
    <w:rsid w:val="0025326F"/>
    <w:rsid w:val="00253338"/>
    <w:rsid w:val="002533AA"/>
    <w:rsid w:val="00253523"/>
    <w:rsid w:val="00253541"/>
    <w:rsid w:val="00253594"/>
    <w:rsid w:val="00253778"/>
    <w:rsid w:val="0025390F"/>
    <w:rsid w:val="0025409D"/>
    <w:rsid w:val="00254D0D"/>
    <w:rsid w:val="00254E63"/>
    <w:rsid w:val="00255056"/>
    <w:rsid w:val="0025526E"/>
    <w:rsid w:val="002552C3"/>
    <w:rsid w:val="00255881"/>
    <w:rsid w:val="00255B30"/>
    <w:rsid w:val="00255B6F"/>
    <w:rsid w:val="00255FBE"/>
    <w:rsid w:val="00256372"/>
    <w:rsid w:val="002564DB"/>
    <w:rsid w:val="0025658A"/>
    <w:rsid w:val="002565A0"/>
    <w:rsid w:val="0025678C"/>
    <w:rsid w:val="0025700B"/>
    <w:rsid w:val="002575D2"/>
    <w:rsid w:val="0025766C"/>
    <w:rsid w:val="002579D3"/>
    <w:rsid w:val="00257D43"/>
    <w:rsid w:val="0026001F"/>
    <w:rsid w:val="002600D6"/>
    <w:rsid w:val="00260761"/>
    <w:rsid w:val="00260B32"/>
    <w:rsid w:val="00260C14"/>
    <w:rsid w:val="00260DAD"/>
    <w:rsid w:val="00260E8F"/>
    <w:rsid w:val="00261773"/>
    <w:rsid w:val="002617E5"/>
    <w:rsid w:val="002619BA"/>
    <w:rsid w:val="00261A80"/>
    <w:rsid w:val="00261B53"/>
    <w:rsid w:val="00261B74"/>
    <w:rsid w:val="00262074"/>
    <w:rsid w:val="002623FB"/>
    <w:rsid w:val="00262920"/>
    <w:rsid w:val="002629A5"/>
    <w:rsid w:val="00262A9E"/>
    <w:rsid w:val="00262AA0"/>
    <w:rsid w:val="00262E5C"/>
    <w:rsid w:val="00262F72"/>
    <w:rsid w:val="00263129"/>
    <w:rsid w:val="002632B7"/>
    <w:rsid w:val="002633E0"/>
    <w:rsid w:val="002636B8"/>
    <w:rsid w:val="00263937"/>
    <w:rsid w:val="00263A29"/>
    <w:rsid w:val="00263A90"/>
    <w:rsid w:val="002641F2"/>
    <w:rsid w:val="0026422C"/>
    <w:rsid w:val="0026438B"/>
    <w:rsid w:val="002643EF"/>
    <w:rsid w:val="00264AAD"/>
    <w:rsid w:val="00264B98"/>
    <w:rsid w:val="00264C3C"/>
    <w:rsid w:val="00264D14"/>
    <w:rsid w:val="00264D54"/>
    <w:rsid w:val="00264DFE"/>
    <w:rsid w:val="00265359"/>
    <w:rsid w:val="002659F4"/>
    <w:rsid w:val="0026643F"/>
    <w:rsid w:val="00266F0C"/>
    <w:rsid w:val="00267582"/>
    <w:rsid w:val="00267804"/>
    <w:rsid w:val="00267988"/>
    <w:rsid w:val="00267B4D"/>
    <w:rsid w:val="00267B79"/>
    <w:rsid w:val="00267BB2"/>
    <w:rsid w:val="00267C69"/>
    <w:rsid w:val="00267D42"/>
    <w:rsid w:val="0027004B"/>
    <w:rsid w:val="0027071B"/>
    <w:rsid w:val="00270C78"/>
    <w:rsid w:val="00270EFB"/>
    <w:rsid w:val="00271034"/>
    <w:rsid w:val="002710F9"/>
    <w:rsid w:val="00271560"/>
    <w:rsid w:val="0027160D"/>
    <w:rsid w:val="00271DF8"/>
    <w:rsid w:val="00271EDF"/>
    <w:rsid w:val="00271FCA"/>
    <w:rsid w:val="0027201A"/>
    <w:rsid w:val="00272233"/>
    <w:rsid w:val="00272314"/>
    <w:rsid w:val="0027237D"/>
    <w:rsid w:val="00272392"/>
    <w:rsid w:val="002726D3"/>
    <w:rsid w:val="00272867"/>
    <w:rsid w:val="002728AA"/>
    <w:rsid w:val="00272C6E"/>
    <w:rsid w:val="00272F18"/>
    <w:rsid w:val="00272FB1"/>
    <w:rsid w:val="00273084"/>
    <w:rsid w:val="002731C9"/>
    <w:rsid w:val="002731F1"/>
    <w:rsid w:val="00273F4F"/>
    <w:rsid w:val="00274185"/>
    <w:rsid w:val="00274271"/>
    <w:rsid w:val="002743B2"/>
    <w:rsid w:val="00274886"/>
    <w:rsid w:val="002748D3"/>
    <w:rsid w:val="00274B71"/>
    <w:rsid w:val="00274DF3"/>
    <w:rsid w:val="00274F30"/>
    <w:rsid w:val="002756B9"/>
    <w:rsid w:val="002757DD"/>
    <w:rsid w:val="00275BB6"/>
    <w:rsid w:val="00275C3E"/>
    <w:rsid w:val="00275CD5"/>
    <w:rsid w:val="00276539"/>
    <w:rsid w:val="00276B35"/>
    <w:rsid w:val="00276B5E"/>
    <w:rsid w:val="00276C17"/>
    <w:rsid w:val="00276CB5"/>
    <w:rsid w:val="00276EE2"/>
    <w:rsid w:val="002777A2"/>
    <w:rsid w:val="00277BDB"/>
    <w:rsid w:val="00277D77"/>
    <w:rsid w:val="00280125"/>
    <w:rsid w:val="0028035F"/>
    <w:rsid w:val="002804BB"/>
    <w:rsid w:val="00280B74"/>
    <w:rsid w:val="00280D82"/>
    <w:rsid w:val="00280DD8"/>
    <w:rsid w:val="00280FB9"/>
    <w:rsid w:val="00280FD4"/>
    <w:rsid w:val="0028102D"/>
    <w:rsid w:val="002815A3"/>
    <w:rsid w:val="002815F6"/>
    <w:rsid w:val="00281C88"/>
    <w:rsid w:val="00282364"/>
    <w:rsid w:val="002823BC"/>
    <w:rsid w:val="002824DD"/>
    <w:rsid w:val="00282631"/>
    <w:rsid w:val="00282DCD"/>
    <w:rsid w:val="00282EFF"/>
    <w:rsid w:val="00283163"/>
    <w:rsid w:val="00283251"/>
    <w:rsid w:val="0028364D"/>
    <w:rsid w:val="00283664"/>
    <w:rsid w:val="002836F1"/>
    <w:rsid w:val="00283C5F"/>
    <w:rsid w:val="0028415F"/>
    <w:rsid w:val="002841FA"/>
    <w:rsid w:val="002843A6"/>
    <w:rsid w:val="00284738"/>
    <w:rsid w:val="002847BB"/>
    <w:rsid w:val="00284B7E"/>
    <w:rsid w:val="00284CBF"/>
    <w:rsid w:val="00284CCF"/>
    <w:rsid w:val="00285074"/>
    <w:rsid w:val="00285140"/>
    <w:rsid w:val="0028550D"/>
    <w:rsid w:val="00285519"/>
    <w:rsid w:val="00285662"/>
    <w:rsid w:val="00285961"/>
    <w:rsid w:val="00285C10"/>
    <w:rsid w:val="00285E0B"/>
    <w:rsid w:val="002860C0"/>
    <w:rsid w:val="002861AB"/>
    <w:rsid w:val="002864BA"/>
    <w:rsid w:val="002864FC"/>
    <w:rsid w:val="00286F95"/>
    <w:rsid w:val="002875F2"/>
    <w:rsid w:val="00287AF9"/>
    <w:rsid w:val="00287B77"/>
    <w:rsid w:val="00287BD1"/>
    <w:rsid w:val="00287F5B"/>
    <w:rsid w:val="00290123"/>
    <w:rsid w:val="0029057C"/>
    <w:rsid w:val="002907F1"/>
    <w:rsid w:val="002909D8"/>
    <w:rsid w:val="0029116E"/>
    <w:rsid w:val="002911E2"/>
    <w:rsid w:val="002912C1"/>
    <w:rsid w:val="00291ACA"/>
    <w:rsid w:val="00291DD2"/>
    <w:rsid w:val="00291F2D"/>
    <w:rsid w:val="00291F81"/>
    <w:rsid w:val="00291FBE"/>
    <w:rsid w:val="002921DD"/>
    <w:rsid w:val="002925AB"/>
    <w:rsid w:val="002929E0"/>
    <w:rsid w:val="00292B65"/>
    <w:rsid w:val="00292C01"/>
    <w:rsid w:val="00292C21"/>
    <w:rsid w:val="00293166"/>
    <w:rsid w:val="002931C5"/>
    <w:rsid w:val="00293218"/>
    <w:rsid w:val="00293304"/>
    <w:rsid w:val="00293668"/>
    <w:rsid w:val="002937A1"/>
    <w:rsid w:val="00293909"/>
    <w:rsid w:val="0029391B"/>
    <w:rsid w:val="00293E7E"/>
    <w:rsid w:val="00293EB1"/>
    <w:rsid w:val="00293F7C"/>
    <w:rsid w:val="00294085"/>
    <w:rsid w:val="0029415E"/>
    <w:rsid w:val="00294290"/>
    <w:rsid w:val="002942D1"/>
    <w:rsid w:val="00294611"/>
    <w:rsid w:val="00294674"/>
    <w:rsid w:val="00294D26"/>
    <w:rsid w:val="00294D74"/>
    <w:rsid w:val="002956EE"/>
    <w:rsid w:val="00295A58"/>
    <w:rsid w:val="00295CAE"/>
    <w:rsid w:val="00295EF2"/>
    <w:rsid w:val="00296922"/>
    <w:rsid w:val="00296BAA"/>
    <w:rsid w:val="00296EE9"/>
    <w:rsid w:val="00297C49"/>
    <w:rsid w:val="002A0813"/>
    <w:rsid w:val="002A0AC5"/>
    <w:rsid w:val="002A1048"/>
    <w:rsid w:val="002A170A"/>
    <w:rsid w:val="002A19DC"/>
    <w:rsid w:val="002A1B9B"/>
    <w:rsid w:val="002A1D58"/>
    <w:rsid w:val="002A2309"/>
    <w:rsid w:val="002A2420"/>
    <w:rsid w:val="002A24E3"/>
    <w:rsid w:val="002A286A"/>
    <w:rsid w:val="002A2A22"/>
    <w:rsid w:val="002A2A63"/>
    <w:rsid w:val="002A2AE8"/>
    <w:rsid w:val="002A31A1"/>
    <w:rsid w:val="002A380D"/>
    <w:rsid w:val="002A38B2"/>
    <w:rsid w:val="002A3C76"/>
    <w:rsid w:val="002A3D93"/>
    <w:rsid w:val="002A3E20"/>
    <w:rsid w:val="002A412B"/>
    <w:rsid w:val="002A416B"/>
    <w:rsid w:val="002A428B"/>
    <w:rsid w:val="002A4450"/>
    <w:rsid w:val="002A45F3"/>
    <w:rsid w:val="002A4784"/>
    <w:rsid w:val="002A47F8"/>
    <w:rsid w:val="002A4DEB"/>
    <w:rsid w:val="002A4E2F"/>
    <w:rsid w:val="002A553F"/>
    <w:rsid w:val="002A5A4B"/>
    <w:rsid w:val="002A5F6C"/>
    <w:rsid w:val="002A659A"/>
    <w:rsid w:val="002A666B"/>
    <w:rsid w:val="002A6753"/>
    <w:rsid w:val="002A6B1A"/>
    <w:rsid w:val="002A6F13"/>
    <w:rsid w:val="002A7115"/>
    <w:rsid w:val="002A7484"/>
    <w:rsid w:val="002A7D60"/>
    <w:rsid w:val="002A7DCC"/>
    <w:rsid w:val="002B03C5"/>
    <w:rsid w:val="002B08FE"/>
    <w:rsid w:val="002B0909"/>
    <w:rsid w:val="002B0A45"/>
    <w:rsid w:val="002B0AAB"/>
    <w:rsid w:val="002B0BEF"/>
    <w:rsid w:val="002B0E47"/>
    <w:rsid w:val="002B127F"/>
    <w:rsid w:val="002B1945"/>
    <w:rsid w:val="002B1A41"/>
    <w:rsid w:val="002B1B26"/>
    <w:rsid w:val="002B20ED"/>
    <w:rsid w:val="002B2174"/>
    <w:rsid w:val="002B21B1"/>
    <w:rsid w:val="002B225E"/>
    <w:rsid w:val="002B23AF"/>
    <w:rsid w:val="002B24F9"/>
    <w:rsid w:val="002B25DC"/>
    <w:rsid w:val="002B2605"/>
    <w:rsid w:val="002B2A29"/>
    <w:rsid w:val="002B2A3B"/>
    <w:rsid w:val="002B2AEE"/>
    <w:rsid w:val="002B2D9E"/>
    <w:rsid w:val="002B2E9B"/>
    <w:rsid w:val="002B2ECC"/>
    <w:rsid w:val="002B30F0"/>
    <w:rsid w:val="002B30FC"/>
    <w:rsid w:val="002B3127"/>
    <w:rsid w:val="002B342E"/>
    <w:rsid w:val="002B372B"/>
    <w:rsid w:val="002B3944"/>
    <w:rsid w:val="002B39FD"/>
    <w:rsid w:val="002B3B0C"/>
    <w:rsid w:val="002B4057"/>
    <w:rsid w:val="002B42E3"/>
    <w:rsid w:val="002B476E"/>
    <w:rsid w:val="002B49EA"/>
    <w:rsid w:val="002B4A41"/>
    <w:rsid w:val="002B5390"/>
    <w:rsid w:val="002B5739"/>
    <w:rsid w:val="002B5765"/>
    <w:rsid w:val="002B5889"/>
    <w:rsid w:val="002B58C6"/>
    <w:rsid w:val="002B5C6A"/>
    <w:rsid w:val="002B5FD2"/>
    <w:rsid w:val="002B6018"/>
    <w:rsid w:val="002B636D"/>
    <w:rsid w:val="002B645C"/>
    <w:rsid w:val="002B6999"/>
    <w:rsid w:val="002B69CA"/>
    <w:rsid w:val="002B6AF3"/>
    <w:rsid w:val="002B6BEE"/>
    <w:rsid w:val="002B6F76"/>
    <w:rsid w:val="002B713E"/>
    <w:rsid w:val="002B721C"/>
    <w:rsid w:val="002B74B8"/>
    <w:rsid w:val="002B7761"/>
    <w:rsid w:val="002B79D9"/>
    <w:rsid w:val="002B7D3B"/>
    <w:rsid w:val="002B7F99"/>
    <w:rsid w:val="002C0220"/>
    <w:rsid w:val="002C0239"/>
    <w:rsid w:val="002C0263"/>
    <w:rsid w:val="002C055F"/>
    <w:rsid w:val="002C05DC"/>
    <w:rsid w:val="002C0E2B"/>
    <w:rsid w:val="002C11C3"/>
    <w:rsid w:val="002C130D"/>
    <w:rsid w:val="002C147E"/>
    <w:rsid w:val="002C1BD3"/>
    <w:rsid w:val="002C1C9E"/>
    <w:rsid w:val="002C1FF0"/>
    <w:rsid w:val="002C20F5"/>
    <w:rsid w:val="002C23CC"/>
    <w:rsid w:val="002C26C7"/>
    <w:rsid w:val="002C26E6"/>
    <w:rsid w:val="002C2964"/>
    <w:rsid w:val="002C29E5"/>
    <w:rsid w:val="002C2A37"/>
    <w:rsid w:val="002C2C50"/>
    <w:rsid w:val="002C2F02"/>
    <w:rsid w:val="002C361A"/>
    <w:rsid w:val="002C3D8C"/>
    <w:rsid w:val="002C3E6E"/>
    <w:rsid w:val="002C467C"/>
    <w:rsid w:val="002C4AC7"/>
    <w:rsid w:val="002C4D6D"/>
    <w:rsid w:val="002C4DC2"/>
    <w:rsid w:val="002C517F"/>
    <w:rsid w:val="002C5389"/>
    <w:rsid w:val="002C59AB"/>
    <w:rsid w:val="002C60EC"/>
    <w:rsid w:val="002C62CE"/>
    <w:rsid w:val="002C65C1"/>
    <w:rsid w:val="002C6615"/>
    <w:rsid w:val="002C662D"/>
    <w:rsid w:val="002C6785"/>
    <w:rsid w:val="002C69CD"/>
    <w:rsid w:val="002C6A79"/>
    <w:rsid w:val="002C6C45"/>
    <w:rsid w:val="002C6D12"/>
    <w:rsid w:val="002C6EE8"/>
    <w:rsid w:val="002C7109"/>
    <w:rsid w:val="002C7176"/>
    <w:rsid w:val="002C7431"/>
    <w:rsid w:val="002C7796"/>
    <w:rsid w:val="002C77BA"/>
    <w:rsid w:val="002C7B12"/>
    <w:rsid w:val="002C7CC9"/>
    <w:rsid w:val="002C7D49"/>
    <w:rsid w:val="002C7E30"/>
    <w:rsid w:val="002D010C"/>
    <w:rsid w:val="002D016D"/>
    <w:rsid w:val="002D0331"/>
    <w:rsid w:val="002D076C"/>
    <w:rsid w:val="002D0B58"/>
    <w:rsid w:val="002D0B76"/>
    <w:rsid w:val="002D0BC4"/>
    <w:rsid w:val="002D0D9D"/>
    <w:rsid w:val="002D0EB3"/>
    <w:rsid w:val="002D10C9"/>
    <w:rsid w:val="002D113A"/>
    <w:rsid w:val="002D1169"/>
    <w:rsid w:val="002D1244"/>
    <w:rsid w:val="002D1540"/>
    <w:rsid w:val="002D1545"/>
    <w:rsid w:val="002D18EC"/>
    <w:rsid w:val="002D2022"/>
    <w:rsid w:val="002D2182"/>
    <w:rsid w:val="002D2464"/>
    <w:rsid w:val="002D2A21"/>
    <w:rsid w:val="002D2BC0"/>
    <w:rsid w:val="002D2D9E"/>
    <w:rsid w:val="002D2DB6"/>
    <w:rsid w:val="002D2E80"/>
    <w:rsid w:val="002D30F9"/>
    <w:rsid w:val="002D32AF"/>
    <w:rsid w:val="002D36C6"/>
    <w:rsid w:val="002D38F0"/>
    <w:rsid w:val="002D3B28"/>
    <w:rsid w:val="002D3E29"/>
    <w:rsid w:val="002D4607"/>
    <w:rsid w:val="002D46F5"/>
    <w:rsid w:val="002D4701"/>
    <w:rsid w:val="002D4E41"/>
    <w:rsid w:val="002D5110"/>
    <w:rsid w:val="002D5252"/>
    <w:rsid w:val="002D53E3"/>
    <w:rsid w:val="002D550A"/>
    <w:rsid w:val="002D5742"/>
    <w:rsid w:val="002D57AB"/>
    <w:rsid w:val="002D5923"/>
    <w:rsid w:val="002D5939"/>
    <w:rsid w:val="002D59D0"/>
    <w:rsid w:val="002D5AC9"/>
    <w:rsid w:val="002D5C5D"/>
    <w:rsid w:val="002D5CB4"/>
    <w:rsid w:val="002D5D54"/>
    <w:rsid w:val="002D5E85"/>
    <w:rsid w:val="002D5F4E"/>
    <w:rsid w:val="002D601A"/>
    <w:rsid w:val="002D6173"/>
    <w:rsid w:val="002D6A6C"/>
    <w:rsid w:val="002D6A8F"/>
    <w:rsid w:val="002D7019"/>
    <w:rsid w:val="002D7162"/>
    <w:rsid w:val="002D7371"/>
    <w:rsid w:val="002D73BF"/>
    <w:rsid w:val="002D7566"/>
    <w:rsid w:val="002D7A86"/>
    <w:rsid w:val="002D7D03"/>
    <w:rsid w:val="002D7D06"/>
    <w:rsid w:val="002E005E"/>
    <w:rsid w:val="002E02FB"/>
    <w:rsid w:val="002E03C1"/>
    <w:rsid w:val="002E0B81"/>
    <w:rsid w:val="002E0C9C"/>
    <w:rsid w:val="002E0D5A"/>
    <w:rsid w:val="002E0E85"/>
    <w:rsid w:val="002E0F56"/>
    <w:rsid w:val="002E0FF8"/>
    <w:rsid w:val="002E1250"/>
    <w:rsid w:val="002E1297"/>
    <w:rsid w:val="002E15E6"/>
    <w:rsid w:val="002E17E4"/>
    <w:rsid w:val="002E19E4"/>
    <w:rsid w:val="002E1AAA"/>
    <w:rsid w:val="002E1D56"/>
    <w:rsid w:val="002E1F90"/>
    <w:rsid w:val="002E2036"/>
    <w:rsid w:val="002E21D0"/>
    <w:rsid w:val="002E245C"/>
    <w:rsid w:val="002E28AA"/>
    <w:rsid w:val="002E294F"/>
    <w:rsid w:val="002E2A65"/>
    <w:rsid w:val="002E2A83"/>
    <w:rsid w:val="002E2B78"/>
    <w:rsid w:val="002E3359"/>
    <w:rsid w:val="002E3481"/>
    <w:rsid w:val="002E3517"/>
    <w:rsid w:val="002E3552"/>
    <w:rsid w:val="002E356B"/>
    <w:rsid w:val="002E361D"/>
    <w:rsid w:val="002E3669"/>
    <w:rsid w:val="002E376F"/>
    <w:rsid w:val="002E396F"/>
    <w:rsid w:val="002E39D3"/>
    <w:rsid w:val="002E3B91"/>
    <w:rsid w:val="002E3C08"/>
    <w:rsid w:val="002E3C1D"/>
    <w:rsid w:val="002E4469"/>
    <w:rsid w:val="002E4601"/>
    <w:rsid w:val="002E4764"/>
    <w:rsid w:val="002E4877"/>
    <w:rsid w:val="002E498C"/>
    <w:rsid w:val="002E4AA9"/>
    <w:rsid w:val="002E4BAF"/>
    <w:rsid w:val="002E4E15"/>
    <w:rsid w:val="002E4FA3"/>
    <w:rsid w:val="002E4FAB"/>
    <w:rsid w:val="002E514F"/>
    <w:rsid w:val="002E555F"/>
    <w:rsid w:val="002E5817"/>
    <w:rsid w:val="002E58B4"/>
    <w:rsid w:val="002E5A00"/>
    <w:rsid w:val="002E5F74"/>
    <w:rsid w:val="002E60FF"/>
    <w:rsid w:val="002E62EC"/>
    <w:rsid w:val="002E63F0"/>
    <w:rsid w:val="002E6B14"/>
    <w:rsid w:val="002E70E1"/>
    <w:rsid w:val="002E713B"/>
    <w:rsid w:val="002E727A"/>
    <w:rsid w:val="002E74BC"/>
    <w:rsid w:val="002E7704"/>
    <w:rsid w:val="002E7751"/>
    <w:rsid w:val="002E7A18"/>
    <w:rsid w:val="002E7B5D"/>
    <w:rsid w:val="002E7D17"/>
    <w:rsid w:val="002E7DA9"/>
    <w:rsid w:val="002E7F0B"/>
    <w:rsid w:val="002E7F98"/>
    <w:rsid w:val="002F00E0"/>
    <w:rsid w:val="002F05F2"/>
    <w:rsid w:val="002F0602"/>
    <w:rsid w:val="002F07AE"/>
    <w:rsid w:val="002F0C11"/>
    <w:rsid w:val="002F13D1"/>
    <w:rsid w:val="002F13F5"/>
    <w:rsid w:val="002F156D"/>
    <w:rsid w:val="002F15DA"/>
    <w:rsid w:val="002F1817"/>
    <w:rsid w:val="002F21E2"/>
    <w:rsid w:val="002F2229"/>
    <w:rsid w:val="002F2387"/>
    <w:rsid w:val="002F256F"/>
    <w:rsid w:val="002F25B8"/>
    <w:rsid w:val="002F25FF"/>
    <w:rsid w:val="002F2AF7"/>
    <w:rsid w:val="002F2B4E"/>
    <w:rsid w:val="002F2C01"/>
    <w:rsid w:val="002F2EDD"/>
    <w:rsid w:val="002F2F5F"/>
    <w:rsid w:val="002F3562"/>
    <w:rsid w:val="002F370D"/>
    <w:rsid w:val="002F439D"/>
    <w:rsid w:val="002F46A3"/>
    <w:rsid w:val="002F4979"/>
    <w:rsid w:val="002F49F9"/>
    <w:rsid w:val="002F4B04"/>
    <w:rsid w:val="002F4CFD"/>
    <w:rsid w:val="002F4E4B"/>
    <w:rsid w:val="002F5044"/>
    <w:rsid w:val="002F533D"/>
    <w:rsid w:val="002F54A1"/>
    <w:rsid w:val="002F55C9"/>
    <w:rsid w:val="002F5613"/>
    <w:rsid w:val="002F59A7"/>
    <w:rsid w:val="002F6313"/>
    <w:rsid w:val="002F6581"/>
    <w:rsid w:val="002F6621"/>
    <w:rsid w:val="002F6E3C"/>
    <w:rsid w:val="002F6F74"/>
    <w:rsid w:val="002F74DF"/>
    <w:rsid w:val="002F78CA"/>
    <w:rsid w:val="002F7EF4"/>
    <w:rsid w:val="002F7FF8"/>
    <w:rsid w:val="003000B0"/>
    <w:rsid w:val="003005FE"/>
    <w:rsid w:val="00300720"/>
    <w:rsid w:val="003008F6"/>
    <w:rsid w:val="003009F4"/>
    <w:rsid w:val="00300B80"/>
    <w:rsid w:val="0030101D"/>
    <w:rsid w:val="00301155"/>
    <w:rsid w:val="00301269"/>
    <w:rsid w:val="003015DF"/>
    <w:rsid w:val="00301BBB"/>
    <w:rsid w:val="00301BFD"/>
    <w:rsid w:val="00301D5C"/>
    <w:rsid w:val="00301DB8"/>
    <w:rsid w:val="003020D8"/>
    <w:rsid w:val="003024E3"/>
    <w:rsid w:val="00302630"/>
    <w:rsid w:val="00302770"/>
    <w:rsid w:val="0030278D"/>
    <w:rsid w:val="00302AA8"/>
    <w:rsid w:val="00302C60"/>
    <w:rsid w:val="00302D0F"/>
    <w:rsid w:val="00302FFD"/>
    <w:rsid w:val="00303351"/>
    <w:rsid w:val="003035A5"/>
    <w:rsid w:val="003037ED"/>
    <w:rsid w:val="00303AA1"/>
    <w:rsid w:val="00303C00"/>
    <w:rsid w:val="00303C1B"/>
    <w:rsid w:val="00303D6B"/>
    <w:rsid w:val="00303E4A"/>
    <w:rsid w:val="00303F9E"/>
    <w:rsid w:val="00304FD2"/>
    <w:rsid w:val="003050B4"/>
    <w:rsid w:val="0030521D"/>
    <w:rsid w:val="00305435"/>
    <w:rsid w:val="00305A24"/>
    <w:rsid w:val="00305F83"/>
    <w:rsid w:val="00306307"/>
    <w:rsid w:val="003064E9"/>
    <w:rsid w:val="00306A56"/>
    <w:rsid w:val="00306E3D"/>
    <w:rsid w:val="00307092"/>
    <w:rsid w:val="00307272"/>
    <w:rsid w:val="003075EC"/>
    <w:rsid w:val="0030766C"/>
    <w:rsid w:val="003077F8"/>
    <w:rsid w:val="00307878"/>
    <w:rsid w:val="003078F0"/>
    <w:rsid w:val="00307A94"/>
    <w:rsid w:val="00307EC4"/>
    <w:rsid w:val="00307F1B"/>
    <w:rsid w:val="00307F54"/>
    <w:rsid w:val="0031001A"/>
    <w:rsid w:val="00310327"/>
    <w:rsid w:val="00310345"/>
    <w:rsid w:val="003103B3"/>
    <w:rsid w:val="003105D2"/>
    <w:rsid w:val="003107D5"/>
    <w:rsid w:val="0031084F"/>
    <w:rsid w:val="00310B97"/>
    <w:rsid w:val="0031121E"/>
    <w:rsid w:val="00311B2F"/>
    <w:rsid w:val="00312467"/>
    <w:rsid w:val="0031249E"/>
    <w:rsid w:val="0031254C"/>
    <w:rsid w:val="00312654"/>
    <w:rsid w:val="00312A7A"/>
    <w:rsid w:val="00312AA8"/>
    <w:rsid w:val="00313017"/>
    <w:rsid w:val="00313222"/>
    <w:rsid w:val="0031366A"/>
    <w:rsid w:val="003136D6"/>
    <w:rsid w:val="0031370C"/>
    <w:rsid w:val="00313D7D"/>
    <w:rsid w:val="00313F0A"/>
    <w:rsid w:val="0031432D"/>
    <w:rsid w:val="003144A0"/>
    <w:rsid w:val="00314B92"/>
    <w:rsid w:val="003150C2"/>
    <w:rsid w:val="00315454"/>
    <w:rsid w:val="003154F0"/>
    <w:rsid w:val="0031558D"/>
    <w:rsid w:val="003157AD"/>
    <w:rsid w:val="00315D2D"/>
    <w:rsid w:val="00315D6D"/>
    <w:rsid w:val="003160BC"/>
    <w:rsid w:val="003163D0"/>
    <w:rsid w:val="00316433"/>
    <w:rsid w:val="00316A80"/>
    <w:rsid w:val="00316BA0"/>
    <w:rsid w:val="00316C21"/>
    <w:rsid w:val="00316EB1"/>
    <w:rsid w:val="003171B9"/>
    <w:rsid w:val="00317648"/>
    <w:rsid w:val="003176F9"/>
    <w:rsid w:val="00317A92"/>
    <w:rsid w:val="00317C71"/>
    <w:rsid w:val="00317F7C"/>
    <w:rsid w:val="00317FC9"/>
    <w:rsid w:val="003200A4"/>
    <w:rsid w:val="00320359"/>
    <w:rsid w:val="0032085F"/>
    <w:rsid w:val="00320E5D"/>
    <w:rsid w:val="00320EF6"/>
    <w:rsid w:val="00320FDA"/>
    <w:rsid w:val="003210C0"/>
    <w:rsid w:val="00321276"/>
    <w:rsid w:val="003214D9"/>
    <w:rsid w:val="0032196D"/>
    <w:rsid w:val="00322151"/>
    <w:rsid w:val="00322295"/>
    <w:rsid w:val="003223B1"/>
    <w:rsid w:val="00322C8D"/>
    <w:rsid w:val="00322E19"/>
    <w:rsid w:val="00322FE4"/>
    <w:rsid w:val="00323262"/>
    <w:rsid w:val="0032344C"/>
    <w:rsid w:val="003236EA"/>
    <w:rsid w:val="003239E0"/>
    <w:rsid w:val="00323A88"/>
    <w:rsid w:val="00323B4E"/>
    <w:rsid w:val="00323C77"/>
    <w:rsid w:val="00323DA2"/>
    <w:rsid w:val="00323DAF"/>
    <w:rsid w:val="00323F53"/>
    <w:rsid w:val="00324185"/>
    <w:rsid w:val="003241AE"/>
    <w:rsid w:val="0032435E"/>
    <w:rsid w:val="003244E6"/>
    <w:rsid w:val="00324574"/>
    <w:rsid w:val="00324984"/>
    <w:rsid w:val="00324B4F"/>
    <w:rsid w:val="00324BA8"/>
    <w:rsid w:val="00324C41"/>
    <w:rsid w:val="00325148"/>
    <w:rsid w:val="00325232"/>
    <w:rsid w:val="00325454"/>
    <w:rsid w:val="00325618"/>
    <w:rsid w:val="00325809"/>
    <w:rsid w:val="00325FF1"/>
    <w:rsid w:val="0032624A"/>
    <w:rsid w:val="00326253"/>
    <w:rsid w:val="003263B9"/>
    <w:rsid w:val="0032671C"/>
    <w:rsid w:val="0032684B"/>
    <w:rsid w:val="00326B3A"/>
    <w:rsid w:val="00326EE7"/>
    <w:rsid w:val="003270C4"/>
    <w:rsid w:val="00327237"/>
    <w:rsid w:val="003276E6"/>
    <w:rsid w:val="003276F7"/>
    <w:rsid w:val="00327890"/>
    <w:rsid w:val="0032791F"/>
    <w:rsid w:val="00330104"/>
    <w:rsid w:val="0033081E"/>
    <w:rsid w:val="003308A7"/>
    <w:rsid w:val="003308C8"/>
    <w:rsid w:val="00330E1B"/>
    <w:rsid w:val="00331013"/>
    <w:rsid w:val="00331165"/>
    <w:rsid w:val="00331308"/>
    <w:rsid w:val="003316C4"/>
    <w:rsid w:val="00331CB5"/>
    <w:rsid w:val="00331DA6"/>
    <w:rsid w:val="00332018"/>
    <w:rsid w:val="00332022"/>
    <w:rsid w:val="003320AF"/>
    <w:rsid w:val="00332202"/>
    <w:rsid w:val="00332676"/>
    <w:rsid w:val="0033290B"/>
    <w:rsid w:val="00332921"/>
    <w:rsid w:val="0033293E"/>
    <w:rsid w:val="00332BA9"/>
    <w:rsid w:val="00332BC6"/>
    <w:rsid w:val="00332FF6"/>
    <w:rsid w:val="003330AA"/>
    <w:rsid w:val="003331D6"/>
    <w:rsid w:val="0033359A"/>
    <w:rsid w:val="00333905"/>
    <w:rsid w:val="00334081"/>
    <w:rsid w:val="00334272"/>
    <w:rsid w:val="003346C9"/>
    <w:rsid w:val="00334A37"/>
    <w:rsid w:val="003354A1"/>
    <w:rsid w:val="00335972"/>
    <w:rsid w:val="003359DB"/>
    <w:rsid w:val="00335D07"/>
    <w:rsid w:val="00335F55"/>
    <w:rsid w:val="00335FA3"/>
    <w:rsid w:val="003361B0"/>
    <w:rsid w:val="00336434"/>
    <w:rsid w:val="0033678C"/>
    <w:rsid w:val="003367AD"/>
    <w:rsid w:val="003367C3"/>
    <w:rsid w:val="003367F0"/>
    <w:rsid w:val="00336846"/>
    <w:rsid w:val="00336933"/>
    <w:rsid w:val="00336A6A"/>
    <w:rsid w:val="00336C37"/>
    <w:rsid w:val="003374F5"/>
    <w:rsid w:val="00337730"/>
    <w:rsid w:val="0033793E"/>
    <w:rsid w:val="00337C01"/>
    <w:rsid w:val="00337F6D"/>
    <w:rsid w:val="0034008E"/>
    <w:rsid w:val="0034017E"/>
    <w:rsid w:val="00340A75"/>
    <w:rsid w:val="00340C7B"/>
    <w:rsid w:val="00340D7C"/>
    <w:rsid w:val="003412AF"/>
    <w:rsid w:val="00341583"/>
    <w:rsid w:val="003417E4"/>
    <w:rsid w:val="00341900"/>
    <w:rsid w:val="00341E51"/>
    <w:rsid w:val="00341FD3"/>
    <w:rsid w:val="003420F4"/>
    <w:rsid w:val="00342325"/>
    <w:rsid w:val="003432B9"/>
    <w:rsid w:val="0034345A"/>
    <w:rsid w:val="00343468"/>
    <w:rsid w:val="00343747"/>
    <w:rsid w:val="00343C3B"/>
    <w:rsid w:val="00343D73"/>
    <w:rsid w:val="00344523"/>
    <w:rsid w:val="00344612"/>
    <w:rsid w:val="00344D6C"/>
    <w:rsid w:val="00344E31"/>
    <w:rsid w:val="003453CF"/>
    <w:rsid w:val="00345735"/>
    <w:rsid w:val="00345CA4"/>
    <w:rsid w:val="00345F76"/>
    <w:rsid w:val="00345FB7"/>
    <w:rsid w:val="00345FDE"/>
    <w:rsid w:val="0034615B"/>
    <w:rsid w:val="0034621A"/>
    <w:rsid w:val="00346829"/>
    <w:rsid w:val="003468F5"/>
    <w:rsid w:val="00347030"/>
    <w:rsid w:val="0034714B"/>
    <w:rsid w:val="003471D3"/>
    <w:rsid w:val="003471F0"/>
    <w:rsid w:val="00347553"/>
    <w:rsid w:val="003475B6"/>
    <w:rsid w:val="003477A1"/>
    <w:rsid w:val="00347E2A"/>
    <w:rsid w:val="00347F4E"/>
    <w:rsid w:val="00350179"/>
    <w:rsid w:val="003502E1"/>
    <w:rsid w:val="003504F9"/>
    <w:rsid w:val="00350529"/>
    <w:rsid w:val="00350AA9"/>
    <w:rsid w:val="00350E93"/>
    <w:rsid w:val="00350F2F"/>
    <w:rsid w:val="003512D4"/>
    <w:rsid w:val="00351DB3"/>
    <w:rsid w:val="00351EA9"/>
    <w:rsid w:val="00352002"/>
    <w:rsid w:val="00352321"/>
    <w:rsid w:val="00352356"/>
    <w:rsid w:val="003523EC"/>
    <w:rsid w:val="003524D6"/>
    <w:rsid w:val="00352674"/>
    <w:rsid w:val="00352B49"/>
    <w:rsid w:val="00352C31"/>
    <w:rsid w:val="00352DA0"/>
    <w:rsid w:val="00352E30"/>
    <w:rsid w:val="00352E7D"/>
    <w:rsid w:val="003531BC"/>
    <w:rsid w:val="003531F8"/>
    <w:rsid w:val="003533BE"/>
    <w:rsid w:val="003537EE"/>
    <w:rsid w:val="00353D0F"/>
    <w:rsid w:val="00353D1A"/>
    <w:rsid w:val="00353DA0"/>
    <w:rsid w:val="00353EC5"/>
    <w:rsid w:val="00353ED3"/>
    <w:rsid w:val="00353FF4"/>
    <w:rsid w:val="0035414C"/>
    <w:rsid w:val="00354566"/>
    <w:rsid w:val="0035478D"/>
    <w:rsid w:val="00354B54"/>
    <w:rsid w:val="00354BEE"/>
    <w:rsid w:val="00354CDE"/>
    <w:rsid w:val="00354E5F"/>
    <w:rsid w:val="00354EDA"/>
    <w:rsid w:val="0035544A"/>
    <w:rsid w:val="003554CD"/>
    <w:rsid w:val="0035562E"/>
    <w:rsid w:val="00355700"/>
    <w:rsid w:val="0035583D"/>
    <w:rsid w:val="00355ADC"/>
    <w:rsid w:val="00355CFB"/>
    <w:rsid w:val="00355EA9"/>
    <w:rsid w:val="0035637E"/>
    <w:rsid w:val="00356746"/>
    <w:rsid w:val="0035683B"/>
    <w:rsid w:val="003568EE"/>
    <w:rsid w:val="00356CC3"/>
    <w:rsid w:val="00356DED"/>
    <w:rsid w:val="003570C5"/>
    <w:rsid w:val="00357555"/>
    <w:rsid w:val="003578A5"/>
    <w:rsid w:val="00357E40"/>
    <w:rsid w:val="00357F4E"/>
    <w:rsid w:val="00360343"/>
    <w:rsid w:val="00360B3A"/>
    <w:rsid w:val="00360ED4"/>
    <w:rsid w:val="00361088"/>
    <w:rsid w:val="003613D6"/>
    <w:rsid w:val="0036156A"/>
    <w:rsid w:val="003616B2"/>
    <w:rsid w:val="00361A5A"/>
    <w:rsid w:val="00361ABE"/>
    <w:rsid w:val="00361B3B"/>
    <w:rsid w:val="00361F29"/>
    <w:rsid w:val="00361F82"/>
    <w:rsid w:val="0036211F"/>
    <w:rsid w:val="00362496"/>
    <w:rsid w:val="003627E4"/>
    <w:rsid w:val="0036285A"/>
    <w:rsid w:val="00362FE3"/>
    <w:rsid w:val="00363161"/>
    <w:rsid w:val="003633E9"/>
    <w:rsid w:val="0036342D"/>
    <w:rsid w:val="00363642"/>
    <w:rsid w:val="003636DD"/>
    <w:rsid w:val="00363873"/>
    <w:rsid w:val="00363B65"/>
    <w:rsid w:val="00363C2E"/>
    <w:rsid w:val="00363D15"/>
    <w:rsid w:val="003641CF"/>
    <w:rsid w:val="00364229"/>
    <w:rsid w:val="0036467E"/>
    <w:rsid w:val="003649EE"/>
    <w:rsid w:val="00364EE6"/>
    <w:rsid w:val="003650B8"/>
    <w:rsid w:val="00365176"/>
    <w:rsid w:val="003651CC"/>
    <w:rsid w:val="003652E4"/>
    <w:rsid w:val="0036546F"/>
    <w:rsid w:val="003654FE"/>
    <w:rsid w:val="003655E1"/>
    <w:rsid w:val="003656D1"/>
    <w:rsid w:val="00365767"/>
    <w:rsid w:val="00365B7F"/>
    <w:rsid w:val="00365F83"/>
    <w:rsid w:val="0036605D"/>
    <w:rsid w:val="00366492"/>
    <w:rsid w:val="003669C1"/>
    <w:rsid w:val="00366DE9"/>
    <w:rsid w:val="00366FDA"/>
    <w:rsid w:val="00367AC7"/>
    <w:rsid w:val="00367B4A"/>
    <w:rsid w:val="00367C93"/>
    <w:rsid w:val="00367F33"/>
    <w:rsid w:val="00370170"/>
    <w:rsid w:val="003703E1"/>
    <w:rsid w:val="003707C1"/>
    <w:rsid w:val="003709E5"/>
    <w:rsid w:val="00370E95"/>
    <w:rsid w:val="003710A0"/>
    <w:rsid w:val="00371205"/>
    <w:rsid w:val="0037168C"/>
    <w:rsid w:val="003716C1"/>
    <w:rsid w:val="003718CD"/>
    <w:rsid w:val="00371A8E"/>
    <w:rsid w:val="00371C00"/>
    <w:rsid w:val="0037213B"/>
    <w:rsid w:val="00372231"/>
    <w:rsid w:val="003722BD"/>
    <w:rsid w:val="003723E4"/>
    <w:rsid w:val="0037252E"/>
    <w:rsid w:val="00372B0D"/>
    <w:rsid w:val="00372C4A"/>
    <w:rsid w:val="00372CD0"/>
    <w:rsid w:val="00372EDA"/>
    <w:rsid w:val="003733F0"/>
    <w:rsid w:val="003738D9"/>
    <w:rsid w:val="00373FBF"/>
    <w:rsid w:val="00374148"/>
    <w:rsid w:val="0037420B"/>
    <w:rsid w:val="003743D0"/>
    <w:rsid w:val="0037449E"/>
    <w:rsid w:val="00374B29"/>
    <w:rsid w:val="00375087"/>
    <w:rsid w:val="00375100"/>
    <w:rsid w:val="003757B7"/>
    <w:rsid w:val="00375C95"/>
    <w:rsid w:val="00375CB3"/>
    <w:rsid w:val="003761EA"/>
    <w:rsid w:val="00376264"/>
    <w:rsid w:val="00376452"/>
    <w:rsid w:val="00376481"/>
    <w:rsid w:val="00376702"/>
    <w:rsid w:val="00376828"/>
    <w:rsid w:val="00376A9D"/>
    <w:rsid w:val="00376E3E"/>
    <w:rsid w:val="00376FBC"/>
    <w:rsid w:val="00377084"/>
    <w:rsid w:val="00377576"/>
    <w:rsid w:val="003775CF"/>
    <w:rsid w:val="00377869"/>
    <w:rsid w:val="0038005E"/>
    <w:rsid w:val="00380224"/>
    <w:rsid w:val="003802AE"/>
    <w:rsid w:val="003802C6"/>
    <w:rsid w:val="00380391"/>
    <w:rsid w:val="00380772"/>
    <w:rsid w:val="00380DEA"/>
    <w:rsid w:val="003810A8"/>
    <w:rsid w:val="003810BF"/>
    <w:rsid w:val="0038116B"/>
    <w:rsid w:val="00381360"/>
    <w:rsid w:val="00381385"/>
    <w:rsid w:val="003822AD"/>
    <w:rsid w:val="00382464"/>
    <w:rsid w:val="00382793"/>
    <w:rsid w:val="00382E62"/>
    <w:rsid w:val="003830AE"/>
    <w:rsid w:val="00383684"/>
    <w:rsid w:val="00383A12"/>
    <w:rsid w:val="00383DBB"/>
    <w:rsid w:val="00383E4A"/>
    <w:rsid w:val="0038400F"/>
    <w:rsid w:val="00384BF3"/>
    <w:rsid w:val="00384C8F"/>
    <w:rsid w:val="00384CFE"/>
    <w:rsid w:val="00384D87"/>
    <w:rsid w:val="00384D8D"/>
    <w:rsid w:val="003851BD"/>
    <w:rsid w:val="00385383"/>
    <w:rsid w:val="00385432"/>
    <w:rsid w:val="00385594"/>
    <w:rsid w:val="00385781"/>
    <w:rsid w:val="0038590E"/>
    <w:rsid w:val="00385DD5"/>
    <w:rsid w:val="00385E14"/>
    <w:rsid w:val="00386094"/>
    <w:rsid w:val="003860F2"/>
    <w:rsid w:val="00386180"/>
    <w:rsid w:val="003861A3"/>
    <w:rsid w:val="003861C9"/>
    <w:rsid w:val="0038656D"/>
    <w:rsid w:val="003866C9"/>
    <w:rsid w:val="003868C1"/>
    <w:rsid w:val="00386EDF"/>
    <w:rsid w:val="0038715A"/>
    <w:rsid w:val="0038727D"/>
    <w:rsid w:val="003873A9"/>
    <w:rsid w:val="00387590"/>
    <w:rsid w:val="00387A04"/>
    <w:rsid w:val="00387BC1"/>
    <w:rsid w:val="00390033"/>
    <w:rsid w:val="00390197"/>
    <w:rsid w:val="00390770"/>
    <w:rsid w:val="003907A0"/>
    <w:rsid w:val="00390923"/>
    <w:rsid w:val="00390BD7"/>
    <w:rsid w:val="0039100C"/>
    <w:rsid w:val="0039120B"/>
    <w:rsid w:val="00391282"/>
    <w:rsid w:val="0039128D"/>
    <w:rsid w:val="003912B2"/>
    <w:rsid w:val="003912C6"/>
    <w:rsid w:val="0039175B"/>
    <w:rsid w:val="003918AC"/>
    <w:rsid w:val="003919BF"/>
    <w:rsid w:val="00391C00"/>
    <w:rsid w:val="00391D29"/>
    <w:rsid w:val="00391E42"/>
    <w:rsid w:val="003922A3"/>
    <w:rsid w:val="003923E7"/>
    <w:rsid w:val="003927E1"/>
    <w:rsid w:val="00392D17"/>
    <w:rsid w:val="00392F78"/>
    <w:rsid w:val="00393113"/>
    <w:rsid w:val="00393655"/>
    <w:rsid w:val="003936B1"/>
    <w:rsid w:val="00393AD4"/>
    <w:rsid w:val="003941E5"/>
    <w:rsid w:val="0039420D"/>
    <w:rsid w:val="003945E4"/>
    <w:rsid w:val="00394DA2"/>
    <w:rsid w:val="00394ED7"/>
    <w:rsid w:val="00394F7E"/>
    <w:rsid w:val="0039503B"/>
    <w:rsid w:val="003950D5"/>
    <w:rsid w:val="0039516A"/>
    <w:rsid w:val="003951E7"/>
    <w:rsid w:val="00395448"/>
    <w:rsid w:val="00395648"/>
    <w:rsid w:val="00395754"/>
    <w:rsid w:val="00395839"/>
    <w:rsid w:val="00395B96"/>
    <w:rsid w:val="003963D9"/>
    <w:rsid w:val="003969A9"/>
    <w:rsid w:val="00396E0A"/>
    <w:rsid w:val="00397193"/>
    <w:rsid w:val="003975EC"/>
    <w:rsid w:val="0039763D"/>
    <w:rsid w:val="00397A0B"/>
    <w:rsid w:val="00397A11"/>
    <w:rsid w:val="00397C9A"/>
    <w:rsid w:val="00397EC1"/>
    <w:rsid w:val="003A00B0"/>
    <w:rsid w:val="003A030E"/>
    <w:rsid w:val="003A08CD"/>
    <w:rsid w:val="003A0F2F"/>
    <w:rsid w:val="003A1166"/>
    <w:rsid w:val="003A1381"/>
    <w:rsid w:val="003A14F8"/>
    <w:rsid w:val="003A155A"/>
    <w:rsid w:val="003A16DF"/>
    <w:rsid w:val="003A1937"/>
    <w:rsid w:val="003A1A52"/>
    <w:rsid w:val="003A1B8F"/>
    <w:rsid w:val="003A1CFA"/>
    <w:rsid w:val="003A1EB5"/>
    <w:rsid w:val="003A211A"/>
    <w:rsid w:val="003A227C"/>
    <w:rsid w:val="003A23D5"/>
    <w:rsid w:val="003A24B7"/>
    <w:rsid w:val="003A24FB"/>
    <w:rsid w:val="003A25D1"/>
    <w:rsid w:val="003A2D28"/>
    <w:rsid w:val="003A2D87"/>
    <w:rsid w:val="003A2F09"/>
    <w:rsid w:val="003A34D1"/>
    <w:rsid w:val="003A38AD"/>
    <w:rsid w:val="003A3C37"/>
    <w:rsid w:val="003A4057"/>
    <w:rsid w:val="003A40D9"/>
    <w:rsid w:val="003A46F6"/>
    <w:rsid w:val="003A4766"/>
    <w:rsid w:val="003A47AD"/>
    <w:rsid w:val="003A4998"/>
    <w:rsid w:val="003A4B92"/>
    <w:rsid w:val="003A4EE8"/>
    <w:rsid w:val="003A51D3"/>
    <w:rsid w:val="003A5371"/>
    <w:rsid w:val="003A5496"/>
    <w:rsid w:val="003A5578"/>
    <w:rsid w:val="003A5656"/>
    <w:rsid w:val="003A58CE"/>
    <w:rsid w:val="003A5A96"/>
    <w:rsid w:val="003A63FE"/>
    <w:rsid w:val="003A6495"/>
    <w:rsid w:val="003A64AB"/>
    <w:rsid w:val="003A64E6"/>
    <w:rsid w:val="003A66C1"/>
    <w:rsid w:val="003A684B"/>
    <w:rsid w:val="003A68A0"/>
    <w:rsid w:val="003A6A71"/>
    <w:rsid w:val="003A6C8D"/>
    <w:rsid w:val="003A6DC3"/>
    <w:rsid w:val="003A74F4"/>
    <w:rsid w:val="003A7524"/>
    <w:rsid w:val="003A79CF"/>
    <w:rsid w:val="003A7F0E"/>
    <w:rsid w:val="003B022C"/>
    <w:rsid w:val="003B04CF"/>
    <w:rsid w:val="003B0791"/>
    <w:rsid w:val="003B0967"/>
    <w:rsid w:val="003B0BC7"/>
    <w:rsid w:val="003B0C8E"/>
    <w:rsid w:val="003B0F3D"/>
    <w:rsid w:val="003B10A2"/>
    <w:rsid w:val="003B169B"/>
    <w:rsid w:val="003B17FD"/>
    <w:rsid w:val="003B1894"/>
    <w:rsid w:val="003B195C"/>
    <w:rsid w:val="003B1EDC"/>
    <w:rsid w:val="003B20E7"/>
    <w:rsid w:val="003B293E"/>
    <w:rsid w:val="003B2CBF"/>
    <w:rsid w:val="003B321B"/>
    <w:rsid w:val="003B34B4"/>
    <w:rsid w:val="003B37B2"/>
    <w:rsid w:val="003B38BD"/>
    <w:rsid w:val="003B3D7B"/>
    <w:rsid w:val="003B3E96"/>
    <w:rsid w:val="003B3EA7"/>
    <w:rsid w:val="003B42D2"/>
    <w:rsid w:val="003B457B"/>
    <w:rsid w:val="003B4753"/>
    <w:rsid w:val="003B49B1"/>
    <w:rsid w:val="003B56A7"/>
    <w:rsid w:val="003B5B5D"/>
    <w:rsid w:val="003B5E4D"/>
    <w:rsid w:val="003B5FCE"/>
    <w:rsid w:val="003B6064"/>
    <w:rsid w:val="003B61CC"/>
    <w:rsid w:val="003B63C0"/>
    <w:rsid w:val="003B654A"/>
    <w:rsid w:val="003B67EC"/>
    <w:rsid w:val="003B68E6"/>
    <w:rsid w:val="003B6A07"/>
    <w:rsid w:val="003B6BAB"/>
    <w:rsid w:val="003B6C4F"/>
    <w:rsid w:val="003B6DE4"/>
    <w:rsid w:val="003B6E42"/>
    <w:rsid w:val="003B6FAA"/>
    <w:rsid w:val="003B709C"/>
    <w:rsid w:val="003B70A2"/>
    <w:rsid w:val="003B7178"/>
    <w:rsid w:val="003B7199"/>
    <w:rsid w:val="003B7537"/>
    <w:rsid w:val="003B7610"/>
    <w:rsid w:val="003B79FA"/>
    <w:rsid w:val="003B7A5E"/>
    <w:rsid w:val="003B7D2A"/>
    <w:rsid w:val="003B7D90"/>
    <w:rsid w:val="003C01D2"/>
    <w:rsid w:val="003C052B"/>
    <w:rsid w:val="003C05B6"/>
    <w:rsid w:val="003C0833"/>
    <w:rsid w:val="003C0871"/>
    <w:rsid w:val="003C09B9"/>
    <w:rsid w:val="003C09E0"/>
    <w:rsid w:val="003C0BCA"/>
    <w:rsid w:val="003C0CC4"/>
    <w:rsid w:val="003C0E2D"/>
    <w:rsid w:val="003C0EE4"/>
    <w:rsid w:val="003C13EE"/>
    <w:rsid w:val="003C1619"/>
    <w:rsid w:val="003C1810"/>
    <w:rsid w:val="003C1AD1"/>
    <w:rsid w:val="003C1AE1"/>
    <w:rsid w:val="003C1B6D"/>
    <w:rsid w:val="003C2331"/>
    <w:rsid w:val="003C2693"/>
    <w:rsid w:val="003C2CE4"/>
    <w:rsid w:val="003C2CED"/>
    <w:rsid w:val="003C2D20"/>
    <w:rsid w:val="003C2E1C"/>
    <w:rsid w:val="003C31EB"/>
    <w:rsid w:val="003C3861"/>
    <w:rsid w:val="003C39D0"/>
    <w:rsid w:val="003C3C2A"/>
    <w:rsid w:val="003C3DDB"/>
    <w:rsid w:val="003C3E9C"/>
    <w:rsid w:val="003C4321"/>
    <w:rsid w:val="003C4427"/>
    <w:rsid w:val="003C4512"/>
    <w:rsid w:val="003C472A"/>
    <w:rsid w:val="003C47E3"/>
    <w:rsid w:val="003C4F89"/>
    <w:rsid w:val="003C54D1"/>
    <w:rsid w:val="003C58A9"/>
    <w:rsid w:val="003C58D4"/>
    <w:rsid w:val="003C59BB"/>
    <w:rsid w:val="003C59FD"/>
    <w:rsid w:val="003C5B18"/>
    <w:rsid w:val="003C5BF1"/>
    <w:rsid w:val="003C5CBF"/>
    <w:rsid w:val="003C5ECA"/>
    <w:rsid w:val="003C5F86"/>
    <w:rsid w:val="003C5FA2"/>
    <w:rsid w:val="003C600E"/>
    <w:rsid w:val="003C6267"/>
    <w:rsid w:val="003C63DC"/>
    <w:rsid w:val="003C64BC"/>
    <w:rsid w:val="003C66EB"/>
    <w:rsid w:val="003C66F6"/>
    <w:rsid w:val="003C6CB4"/>
    <w:rsid w:val="003C6FE2"/>
    <w:rsid w:val="003C72BF"/>
    <w:rsid w:val="003C765F"/>
    <w:rsid w:val="003C7810"/>
    <w:rsid w:val="003C7DDC"/>
    <w:rsid w:val="003D02CC"/>
    <w:rsid w:val="003D07E5"/>
    <w:rsid w:val="003D0BCB"/>
    <w:rsid w:val="003D0C5C"/>
    <w:rsid w:val="003D0E99"/>
    <w:rsid w:val="003D0FE4"/>
    <w:rsid w:val="003D1344"/>
    <w:rsid w:val="003D1699"/>
    <w:rsid w:val="003D18C0"/>
    <w:rsid w:val="003D1A3D"/>
    <w:rsid w:val="003D1C5D"/>
    <w:rsid w:val="003D1CE8"/>
    <w:rsid w:val="003D1FB8"/>
    <w:rsid w:val="003D2343"/>
    <w:rsid w:val="003D24AC"/>
    <w:rsid w:val="003D2717"/>
    <w:rsid w:val="003D2CF7"/>
    <w:rsid w:val="003D2E2D"/>
    <w:rsid w:val="003D2FFA"/>
    <w:rsid w:val="003D3123"/>
    <w:rsid w:val="003D3459"/>
    <w:rsid w:val="003D3B13"/>
    <w:rsid w:val="003D3BF4"/>
    <w:rsid w:val="003D3F29"/>
    <w:rsid w:val="003D4583"/>
    <w:rsid w:val="003D470E"/>
    <w:rsid w:val="003D472F"/>
    <w:rsid w:val="003D49CF"/>
    <w:rsid w:val="003D4C80"/>
    <w:rsid w:val="003D4F33"/>
    <w:rsid w:val="003D4FF1"/>
    <w:rsid w:val="003D5134"/>
    <w:rsid w:val="003D56EA"/>
    <w:rsid w:val="003D5730"/>
    <w:rsid w:val="003D5843"/>
    <w:rsid w:val="003D5899"/>
    <w:rsid w:val="003D5983"/>
    <w:rsid w:val="003D5BC5"/>
    <w:rsid w:val="003D5BCA"/>
    <w:rsid w:val="003D5CAB"/>
    <w:rsid w:val="003D5DEC"/>
    <w:rsid w:val="003D5E56"/>
    <w:rsid w:val="003D60ED"/>
    <w:rsid w:val="003D6636"/>
    <w:rsid w:val="003D66C0"/>
    <w:rsid w:val="003D687E"/>
    <w:rsid w:val="003D6EC8"/>
    <w:rsid w:val="003D6EDF"/>
    <w:rsid w:val="003D7208"/>
    <w:rsid w:val="003D7399"/>
    <w:rsid w:val="003D7DDD"/>
    <w:rsid w:val="003D7FA7"/>
    <w:rsid w:val="003E037E"/>
    <w:rsid w:val="003E04D9"/>
    <w:rsid w:val="003E057C"/>
    <w:rsid w:val="003E060D"/>
    <w:rsid w:val="003E088C"/>
    <w:rsid w:val="003E09E4"/>
    <w:rsid w:val="003E0B08"/>
    <w:rsid w:val="003E0F05"/>
    <w:rsid w:val="003E1248"/>
    <w:rsid w:val="003E17C7"/>
    <w:rsid w:val="003E1BA0"/>
    <w:rsid w:val="003E1D58"/>
    <w:rsid w:val="003E1FB4"/>
    <w:rsid w:val="003E22A9"/>
    <w:rsid w:val="003E236C"/>
    <w:rsid w:val="003E2517"/>
    <w:rsid w:val="003E25F1"/>
    <w:rsid w:val="003E26B1"/>
    <w:rsid w:val="003E2894"/>
    <w:rsid w:val="003E2CF1"/>
    <w:rsid w:val="003E3606"/>
    <w:rsid w:val="003E3790"/>
    <w:rsid w:val="003E37CA"/>
    <w:rsid w:val="003E39C8"/>
    <w:rsid w:val="003E39FF"/>
    <w:rsid w:val="003E3AF0"/>
    <w:rsid w:val="003E3EDE"/>
    <w:rsid w:val="003E3F79"/>
    <w:rsid w:val="003E4258"/>
    <w:rsid w:val="003E42CB"/>
    <w:rsid w:val="003E438A"/>
    <w:rsid w:val="003E43A4"/>
    <w:rsid w:val="003E46A1"/>
    <w:rsid w:val="003E48AE"/>
    <w:rsid w:val="003E493C"/>
    <w:rsid w:val="003E4EFE"/>
    <w:rsid w:val="003E4F15"/>
    <w:rsid w:val="003E55DB"/>
    <w:rsid w:val="003E55F5"/>
    <w:rsid w:val="003E572F"/>
    <w:rsid w:val="003E58F5"/>
    <w:rsid w:val="003E5937"/>
    <w:rsid w:val="003E5CAC"/>
    <w:rsid w:val="003E5DE1"/>
    <w:rsid w:val="003E5F92"/>
    <w:rsid w:val="003E5FA3"/>
    <w:rsid w:val="003E60DE"/>
    <w:rsid w:val="003E6ACD"/>
    <w:rsid w:val="003E6E28"/>
    <w:rsid w:val="003E6E8C"/>
    <w:rsid w:val="003E6F94"/>
    <w:rsid w:val="003E77B7"/>
    <w:rsid w:val="003E77EC"/>
    <w:rsid w:val="003E78AB"/>
    <w:rsid w:val="003E7B7E"/>
    <w:rsid w:val="003F02D4"/>
    <w:rsid w:val="003F0DD0"/>
    <w:rsid w:val="003F14BB"/>
    <w:rsid w:val="003F1553"/>
    <w:rsid w:val="003F1625"/>
    <w:rsid w:val="003F1701"/>
    <w:rsid w:val="003F1B25"/>
    <w:rsid w:val="003F1F98"/>
    <w:rsid w:val="003F2136"/>
    <w:rsid w:val="003F23B2"/>
    <w:rsid w:val="003F24DD"/>
    <w:rsid w:val="003F27F3"/>
    <w:rsid w:val="003F2982"/>
    <w:rsid w:val="003F2A49"/>
    <w:rsid w:val="003F2B9E"/>
    <w:rsid w:val="003F2CA5"/>
    <w:rsid w:val="003F32C9"/>
    <w:rsid w:val="003F3351"/>
    <w:rsid w:val="003F33F5"/>
    <w:rsid w:val="003F34A9"/>
    <w:rsid w:val="003F3522"/>
    <w:rsid w:val="003F36CB"/>
    <w:rsid w:val="003F3878"/>
    <w:rsid w:val="003F3F79"/>
    <w:rsid w:val="003F43BD"/>
    <w:rsid w:val="003F44CA"/>
    <w:rsid w:val="003F4B5D"/>
    <w:rsid w:val="003F4C4C"/>
    <w:rsid w:val="003F4D94"/>
    <w:rsid w:val="003F4F8E"/>
    <w:rsid w:val="003F4FA2"/>
    <w:rsid w:val="003F5A6E"/>
    <w:rsid w:val="003F5A90"/>
    <w:rsid w:val="003F5BB6"/>
    <w:rsid w:val="003F5EC0"/>
    <w:rsid w:val="003F6245"/>
    <w:rsid w:val="003F62C9"/>
    <w:rsid w:val="003F66E3"/>
    <w:rsid w:val="003F6824"/>
    <w:rsid w:val="003F6943"/>
    <w:rsid w:val="003F7196"/>
    <w:rsid w:val="003F71DB"/>
    <w:rsid w:val="003F735A"/>
    <w:rsid w:val="003F73FA"/>
    <w:rsid w:val="003F7619"/>
    <w:rsid w:val="003F77F0"/>
    <w:rsid w:val="003F78C1"/>
    <w:rsid w:val="003F792B"/>
    <w:rsid w:val="003F7E69"/>
    <w:rsid w:val="00400092"/>
    <w:rsid w:val="00400339"/>
    <w:rsid w:val="0040048E"/>
    <w:rsid w:val="004004C9"/>
    <w:rsid w:val="004005B6"/>
    <w:rsid w:val="00400992"/>
    <w:rsid w:val="00400C4D"/>
    <w:rsid w:val="00400CB2"/>
    <w:rsid w:val="00401081"/>
    <w:rsid w:val="004012B7"/>
    <w:rsid w:val="004012D5"/>
    <w:rsid w:val="004013D0"/>
    <w:rsid w:val="0040156A"/>
    <w:rsid w:val="00401E76"/>
    <w:rsid w:val="00401EF9"/>
    <w:rsid w:val="004023D5"/>
    <w:rsid w:val="004025EE"/>
    <w:rsid w:val="00402628"/>
    <w:rsid w:val="004026FE"/>
    <w:rsid w:val="00402706"/>
    <w:rsid w:val="004027BC"/>
    <w:rsid w:val="00402905"/>
    <w:rsid w:val="00402DB1"/>
    <w:rsid w:val="00402F25"/>
    <w:rsid w:val="00402F41"/>
    <w:rsid w:val="0040320F"/>
    <w:rsid w:val="00403661"/>
    <w:rsid w:val="00403B1A"/>
    <w:rsid w:val="00403D13"/>
    <w:rsid w:val="00404087"/>
    <w:rsid w:val="0040430B"/>
    <w:rsid w:val="00404573"/>
    <w:rsid w:val="0040478C"/>
    <w:rsid w:val="00404C1B"/>
    <w:rsid w:val="00405011"/>
    <w:rsid w:val="00405319"/>
    <w:rsid w:val="00405360"/>
    <w:rsid w:val="00405465"/>
    <w:rsid w:val="00405679"/>
    <w:rsid w:val="00405C25"/>
    <w:rsid w:val="00405CAC"/>
    <w:rsid w:val="00405DCA"/>
    <w:rsid w:val="00405F14"/>
    <w:rsid w:val="00405F5A"/>
    <w:rsid w:val="0040652E"/>
    <w:rsid w:val="00406B08"/>
    <w:rsid w:val="00406B4E"/>
    <w:rsid w:val="00406CAC"/>
    <w:rsid w:val="00406E66"/>
    <w:rsid w:val="00406F98"/>
    <w:rsid w:val="0040724B"/>
    <w:rsid w:val="004074A9"/>
    <w:rsid w:val="0040777E"/>
    <w:rsid w:val="0040790B"/>
    <w:rsid w:val="00407E4A"/>
    <w:rsid w:val="00407F1A"/>
    <w:rsid w:val="004104EA"/>
    <w:rsid w:val="00410898"/>
    <w:rsid w:val="00410B9C"/>
    <w:rsid w:val="00411286"/>
    <w:rsid w:val="00411476"/>
    <w:rsid w:val="0041158F"/>
    <w:rsid w:val="0041175E"/>
    <w:rsid w:val="004117F7"/>
    <w:rsid w:val="00411879"/>
    <w:rsid w:val="00411A37"/>
    <w:rsid w:val="00411AA1"/>
    <w:rsid w:val="00411BBC"/>
    <w:rsid w:val="00412083"/>
    <w:rsid w:val="00412145"/>
    <w:rsid w:val="00412344"/>
    <w:rsid w:val="004123D7"/>
    <w:rsid w:val="00412438"/>
    <w:rsid w:val="00412513"/>
    <w:rsid w:val="00412AF1"/>
    <w:rsid w:val="0041307A"/>
    <w:rsid w:val="004132C3"/>
    <w:rsid w:val="00413349"/>
    <w:rsid w:val="0041344C"/>
    <w:rsid w:val="0041346A"/>
    <w:rsid w:val="0041365C"/>
    <w:rsid w:val="00414376"/>
    <w:rsid w:val="00414397"/>
    <w:rsid w:val="00414649"/>
    <w:rsid w:val="00415031"/>
    <w:rsid w:val="00415142"/>
    <w:rsid w:val="004151CE"/>
    <w:rsid w:val="00415207"/>
    <w:rsid w:val="00415257"/>
    <w:rsid w:val="0041539F"/>
    <w:rsid w:val="004155D0"/>
    <w:rsid w:val="00415794"/>
    <w:rsid w:val="004158A6"/>
    <w:rsid w:val="004158C2"/>
    <w:rsid w:val="004158C4"/>
    <w:rsid w:val="00415929"/>
    <w:rsid w:val="00415EAE"/>
    <w:rsid w:val="00415EB2"/>
    <w:rsid w:val="00416186"/>
    <w:rsid w:val="00416456"/>
    <w:rsid w:val="004169E7"/>
    <w:rsid w:val="00416A5B"/>
    <w:rsid w:val="00416AA7"/>
    <w:rsid w:val="00416ABB"/>
    <w:rsid w:val="00416C5B"/>
    <w:rsid w:val="00416EA5"/>
    <w:rsid w:val="00417283"/>
    <w:rsid w:val="00417452"/>
    <w:rsid w:val="0041747C"/>
    <w:rsid w:val="00417718"/>
    <w:rsid w:val="00417A5F"/>
    <w:rsid w:val="00417AF8"/>
    <w:rsid w:val="00417C4A"/>
    <w:rsid w:val="0042067C"/>
    <w:rsid w:val="00420C68"/>
    <w:rsid w:val="00420CAF"/>
    <w:rsid w:val="00420F43"/>
    <w:rsid w:val="0042106C"/>
    <w:rsid w:val="004210C4"/>
    <w:rsid w:val="004211EF"/>
    <w:rsid w:val="00421346"/>
    <w:rsid w:val="00421372"/>
    <w:rsid w:val="00421481"/>
    <w:rsid w:val="00421587"/>
    <w:rsid w:val="0042158A"/>
    <w:rsid w:val="00421788"/>
    <w:rsid w:val="00421C5D"/>
    <w:rsid w:val="00422354"/>
    <w:rsid w:val="00422B1B"/>
    <w:rsid w:val="00422B61"/>
    <w:rsid w:val="0042341F"/>
    <w:rsid w:val="0042346A"/>
    <w:rsid w:val="004234DD"/>
    <w:rsid w:val="004234E7"/>
    <w:rsid w:val="0042351E"/>
    <w:rsid w:val="00423537"/>
    <w:rsid w:val="00423689"/>
    <w:rsid w:val="00423839"/>
    <w:rsid w:val="004239FB"/>
    <w:rsid w:val="00423B2F"/>
    <w:rsid w:val="00423D9E"/>
    <w:rsid w:val="00423F65"/>
    <w:rsid w:val="0042449E"/>
    <w:rsid w:val="0042476F"/>
    <w:rsid w:val="004247CD"/>
    <w:rsid w:val="004249CA"/>
    <w:rsid w:val="004249E0"/>
    <w:rsid w:val="00424A2A"/>
    <w:rsid w:val="00424D54"/>
    <w:rsid w:val="0042505B"/>
    <w:rsid w:val="00425173"/>
    <w:rsid w:val="00425226"/>
    <w:rsid w:val="00425533"/>
    <w:rsid w:val="00425AF9"/>
    <w:rsid w:val="00425EC6"/>
    <w:rsid w:val="00425F2A"/>
    <w:rsid w:val="00425F5D"/>
    <w:rsid w:val="00426027"/>
    <w:rsid w:val="00426267"/>
    <w:rsid w:val="004262E5"/>
    <w:rsid w:val="00426865"/>
    <w:rsid w:val="004268A5"/>
    <w:rsid w:val="00426B33"/>
    <w:rsid w:val="00426B4F"/>
    <w:rsid w:val="00426C50"/>
    <w:rsid w:val="00426CC9"/>
    <w:rsid w:val="00426E0F"/>
    <w:rsid w:val="00426EC1"/>
    <w:rsid w:val="00427463"/>
    <w:rsid w:val="0042748C"/>
    <w:rsid w:val="00427525"/>
    <w:rsid w:val="00427552"/>
    <w:rsid w:val="004278A0"/>
    <w:rsid w:val="00427990"/>
    <w:rsid w:val="004279A4"/>
    <w:rsid w:val="00427CFB"/>
    <w:rsid w:val="0043006F"/>
    <w:rsid w:val="0043010B"/>
    <w:rsid w:val="004302DA"/>
    <w:rsid w:val="004303F2"/>
    <w:rsid w:val="0043041C"/>
    <w:rsid w:val="004307EB"/>
    <w:rsid w:val="004308B0"/>
    <w:rsid w:val="00430943"/>
    <w:rsid w:val="00430A89"/>
    <w:rsid w:val="00431134"/>
    <w:rsid w:val="00431155"/>
    <w:rsid w:val="00431213"/>
    <w:rsid w:val="00431601"/>
    <w:rsid w:val="004318E9"/>
    <w:rsid w:val="004319EF"/>
    <w:rsid w:val="00432159"/>
    <w:rsid w:val="004327D0"/>
    <w:rsid w:val="00432A77"/>
    <w:rsid w:val="00432D77"/>
    <w:rsid w:val="00432ED4"/>
    <w:rsid w:val="00433024"/>
    <w:rsid w:val="00433181"/>
    <w:rsid w:val="004336C3"/>
    <w:rsid w:val="00433FBB"/>
    <w:rsid w:val="00434391"/>
    <w:rsid w:val="00434D0B"/>
    <w:rsid w:val="00434DA2"/>
    <w:rsid w:val="00434E6C"/>
    <w:rsid w:val="00434FDA"/>
    <w:rsid w:val="0043516F"/>
    <w:rsid w:val="00435D4E"/>
    <w:rsid w:val="00435E38"/>
    <w:rsid w:val="00435FB3"/>
    <w:rsid w:val="00436054"/>
    <w:rsid w:val="00436407"/>
    <w:rsid w:val="004369EA"/>
    <w:rsid w:val="00436B0E"/>
    <w:rsid w:val="00436F01"/>
    <w:rsid w:val="00437B1D"/>
    <w:rsid w:val="00437E4A"/>
    <w:rsid w:val="00437F42"/>
    <w:rsid w:val="00437F80"/>
    <w:rsid w:val="00437FF3"/>
    <w:rsid w:val="00440019"/>
    <w:rsid w:val="0044016F"/>
    <w:rsid w:val="00440417"/>
    <w:rsid w:val="004405A4"/>
    <w:rsid w:val="00440608"/>
    <w:rsid w:val="00440AB8"/>
    <w:rsid w:val="00440B48"/>
    <w:rsid w:val="00440C9B"/>
    <w:rsid w:val="00440F6B"/>
    <w:rsid w:val="00441170"/>
    <w:rsid w:val="004415D4"/>
    <w:rsid w:val="004415FB"/>
    <w:rsid w:val="004416E0"/>
    <w:rsid w:val="00441D10"/>
    <w:rsid w:val="00442378"/>
    <w:rsid w:val="004426CE"/>
    <w:rsid w:val="004429E3"/>
    <w:rsid w:val="00442C84"/>
    <w:rsid w:val="00442CC2"/>
    <w:rsid w:val="00442F64"/>
    <w:rsid w:val="00442FBC"/>
    <w:rsid w:val="00443717"/>
    <w:rsid w:val="00443821"/>
    <w:rsid w:val="0044388F"/>
    <w:rsid w:val="00443C51"/>
    <w:rsid w:val="00443FEA"/>
    <w:rsid w:val="004445B1"/>
    <w:rsid w:val="00444719"/>
    <w:rsid w:val="00444E90"/>
    <w:rsid w:val="00444F08"/>
    <w:rsid w:val="00444F23"/>
    <w:rsid w:val="00445010"/>
    <w:rsid w:val="00445169"/>
    <w:rsid w:val="00445508"/>
    <w:rsid w:val="004455AA"/>
    <w:rsid w:val="004457F9"/>
    <w:rsid w:val="00445816"/>
    <w:rsid w:val="00445853"/>
    <w:rsid w:val="004459FF"/>
    <w:rsid w:val="00445BC3"/>
    <w:rsid w:val="00445CA5"/>
    <w:rsid w:val="00445CAC"/>
    <w:rsid w:val="00445E9C"/>
    <w:rsid w:val="004460BD"/>
    <w:rsid w:val="00446363"/>
    <w:rsid w:val="00446380"/>
    <w:rsid w:val="004468DC"/>
    <w:rsid w:val="00446C20"/>
    <w:rsid w:val="00446E21"/>
    <w:rsid w:val="004471FE"/>
    <w:rsid w:val="004472A1"/>
    <w:rsid w:val="004479A9"/>
    <w:rsid w:val="00447DD4"/>
    <w:rsid w:val="00447EF3"/>
    <w:rsid w:val="00450483"/>
    <w:rsid w:val="0045098F"/>
    <w:rsid w:val="00450A00"/>
    <w:rsid w:val="00450AFC"/>
    <w:rsid w:val="00450C7C"/>
    <w:rsid w:val="00450C91"/>
    <w:rsid w:val="0045114B"/>
    <w:rsid w:val="00451778"/>
    <w:rsid w:val="00451A9D"/>
    <w:rsid w:val="00451BEB"/>
    <w:rsid w:val="00451FDD"/>
    <w:rsid w:val="0045204C"/>
    <w:rsid w:val="0045215C"/>
    <w:rsid w:val="00452408"/>
    <w:rsid w:val="00452AC2"/>
    <w:rsid w:val="00452AFF"/>
    <w:rsid w:val="00452C71"/>
    <w:rsid w:val="00452CE0"/>
    <w:rsid w:val="00453040"/>
    <w:rsid w:val="004531DE"/>
    <w:rsid w:val="00453337"/>
    <w:rsid w:val="00453808"/>
    <w:rsid w:val="00453A3B"/>
    <w:rsid w:val="00453A7A"/>
    <w:rsid w:val="00453A7E"/>
    <w:rsid w:val="00453AB9"/>
    <w:rsid w:val="00453BD3"/>
    <w:rsid w:val="00453C5A"/>
    <w:rsid w:val="00453F7F"/>
    <w:rsid w:val="00454241"/>
    <w:rsid w:val="004546CA"/>
    <w:rsid w:val="00454AA4"/>
    <w:rsid w:val="00454EDC"/>
    <w:rsid w:val="0045514A"/>
    <w:rsid w:val="0045544D"/>
    <w:rsid w:val="00455615"/>
    <w:rsid w:val="00455790"/>
    <w:rsid w:val="004558A8"/>
    <w:rsid w:val="00455A95"/>
    <w:rsid w:val="00455D3F"/>
    <w:rsid w:val="00455D89"/>
    <w:rsid w:val="00455DAD"/>
    <w:rsid w:val="00455DF8"/>
    <w:rsid w:val="00455DFB"/>
    <w:rsid w:val="00456328"/>
    <w:rsid w:val="004567C4"/>
    <w:rsid w:val="00456843"/>
    <w:rsid w:val="00456CEE"/>
    <w:rsid w:val="00456FE2"/>
    <w:rsid w:val="00457082"/>
    <w:rsid w:val="004571D3"/>
    <w:rsid w:val="004571FA"/>
    <w:rsid w:val="004576D0"/>
    <w:rsid w:val="004576F2"/>
    <w:rsid w:val="00457A43"/>
    <w:rsid w:val="00457BDD"/>
    <w:rsid w:val="00457F38"/>
    <w:rsid w:val="004600BA"/>
    <w:rsid w:val="00460554"/>
    <w:rsid w:val="004606EA"/>
    <w:rsid w:val="00460901"/>
    <w:rsid w:val="00460C31"/>
    <w:rsid w:val="00460E64"/>
    <w:rsid w:val="00460ED2"/>
    <w:rsid w:val="004610DE"/>
    <w:rsid w:val="00461107"/>
    <w:rsid w:val="004611C1"/>
    <w:rsid w:val="0046135A"/>
    <w:rsid w:val="004618B4"/>
    <w:rsid w:val="00461AF9"/>
    <w:rsid w:val="00461B85"/>
    <w:rsid w:val="00461D90"/>
    <w:rsid w:val="00461F39"/>
    <w:rsid w:val="0046200C"/>
    <w:rsid w:val="0046254F"/>
    <w:rsid w:val="004626DE"/>
    <w:rsid w:val="00462933"/>
    <w:rsid w:val="00462B1D"/>
    <w:rsid w:val="00462BFC"/>
    <w:rsid w:val="00462C1E"/>
    <w:rsid w:val="00462FC1"/>
    <w:rsid w:val="00462FE2"/>
    <w:rsid w:val="004631A5"/>
    <w:rsid w:val="004631C0"/>
    <w:rsid w:val="00463489"/>
    <w:rsid w:val="0046355D"/>
    <w:rsid w:val="0046379A"/>
    <w:rsid w:val="004637A8"/>
    <w:rsid w:val="00463A55"/>
    <w:rsid w:val="00463F48"/>
    <w:rsid w:val="00464143"/>
    <w:rsid w:val="00464366"/>
    <w:rsid w:val="00464512"/>
    <w:rsid w:val="004645B8"/>
    <w:rsid w:val="00464669"/>
    <w:rsid w:val="00464BE8"/>
    <w:rsid w:val="00464DD3"/>
    <w:rsid w:val="00464DE7"/>
    <w:rsid w:val="0046503D"/>
    <w:rsid w:val="00465079"/>
    <w:rsid w:val="00465401"/>
    <w:rsid w:val="004656E8"/>
    <w:rsid w:val="00465BE9"/>
    <w:rsid w:val="00465C89"/>
    <w:rsid w:val="00466469"/>
    <w:rsid w:val="0046693E"/>
    <w:rsid w:val="00466A69"/>
    <w:rsid w:val="00466AE2"/>
    <w:rsid w:val="00466EAC"/>
    <w:rsid w:val="00466F24"/>
    <w:rsid w:val="0046790C"/>
    <w:rsid w:val="00467B0E"/>
    <w:rsid w:val="00467F4D"/>
    <w:rsid w:val="00467FF9"/>
    <w:rsid w:val="004706F6"/>
    <w:rsid w:val="004708C7"/>
    <w:rsid w:val="00470AA6"/>
    <w:rsid w:val="00470C71"/>
    <w:rsid w:val="00470EC1"/>
    <w:rsid w:val="00471057"/>
    <w:rsid w:val="0047142A"/>
    <w:rsid w:val="00471ACB"/>
    <w:rsid w:val="00471D49"/>
    <w:rsid w:val="00471DCF"/>
    <w:rsid w:val="004720B8"/>
    <w:rsid w:val="004723A7"/>
    <w:rsid w:val="004724D0"/>
    <w:rsid w:val="004729A8"/>
    <w:rsid w:val="004729C1"/>
    <w:rsid w:val="00472DAF"/>
    <w:rsid w:val="00472E72"/>
    <w:rsid w:val="004731BC"/>
    <w:rsid w:val="004731F1"/>
    <w:rsid w:val="004735DA"/>
    <w:rsid w:val="0047378C"/>
    <w:rsid w:val="00473863"/>
    <w:rsid w:val="00473D0E"/>
    <w:rsid w:val="0047463C"/>
    <w:rsid w:val="00474765"/>
    <w:rsid w:val="004747D8"/>
    <w:rsid w:val="00474CD4"/>
    <w:rsid w:val="00475300"/>
    <w:rsid w:val="00475506"/>
    <w:rsid w:val="00475602"/>
    <w:rsid w:val="00475A54"/>
    <w:rsid w:val="00475EAE"/>
    <w:rsid w:val="00476224"/>
    <w:rsid w:val="00476237"/>
    <w:rsid w:val="004764F1"/>
    <w:rsid w:val="004765F7"/>
    <w:rsid w:val="004769C9"/>
    <w:rsid w:val="00476A2E"/>
    <w:rsid w:val="00476CF7"/>
    <w:rsid w:val="00476F51"/>
    <w:rsid w:val="00476FCF"/>
    <w:rsid w:val="00477135"/>
    <w:rsid w:val="0047716D"/>
    <w:rsid w:val="00477300"/>
    <w:rsid w:val="00477323"/>
    <w:rsid w:val="00477631"/>
    <w:rsid w:val="00477643"/>
    <w:rsid w:val="004777B8"/>
    <w:rsid w:val="004778B1"/>
    <w:rsid w:val="00477C9B"/>
    <w:rsid w:val="004800DF"/>
    <w:rsid w:val="00480274"/>
    <w:rsid w:val="004803B9"/>
    <w:rsid w:val="004804D4"/>
    <w:rsid w:val="0048070E"/>
    <w:rsid w:val="00480738"/>
    <w:rsid w:val="00480806"/>
    <w:rsid w:val="00480B54"/>
    <w:rsid w:val="00480CDB"/>
    <w:rsid w:val="00480D02"/>
    <w:rsid w:val="004813D2"/>
    <w:rsid w:val="00481533"/>
    <w:rsid w:val="004816E6"/>
    <w:rsid w:val="00481A05"/>
    <w:rsid w:val="00482002"/>
    <w:rsid w:val="0048256C"/>
    <w:rsid w:val="00482698"/>
    <w:rsid w:val="004826CD"/>
    <w:rsid w:val="004828D2"/>
    <w:rsid w:val="00482D09"/>
    <w:rsid w:val="00482E7B"/>
    <w:rsid w:val="00482F8B"/>
    <w:rsid w:val="004831BB"/>
    <w:rsid w:val="0048321D"/>
    <w:rsid w:val="0048323B"/>
    <w:rsid w:val="004834C1"/>
    <w:rsid w:val="00483A00"/>
    <w:rsid w:val="00483ACD"/>
    <w:rsid w:val="00484157"/>
    <w:rsid w:val="004841F8"/>
    <w:rsid w:val="004844C2"/>
    <w:rsid w:val="00484BC0"/>
    <w:rsid w:val="00484BDA"/>
    <w:rsid w:val="00484E46"/>
    <w:rsid w:val="00484F99"/>
    <w:rsid w:val="0048504A"/>
    <w:rsid w:val="0048579D"/>
    <w:rsid w:val="004858C1"/>
    <w:rsid w:val="00485D4E"/>
    <w:rsid w:val="00485EE7"/>
    <w:rsid w:val="0048607D"/>
    <w:rsid w:val="00486347"/>
    <w:rsid w:val="0048652D"/>
    <w:rsid w:val="0048674D"/>
    <w:rsid w:val="0048693C"/>
    <w:rsid w:val="0048698F"/>
    <w:rsid w:val="00486BD4"/>
    <w:rsid w:val="00487088"/>
    <w:rsid w:val="0048733D"/>
    <w:rsid w:val="004875E9"/>
    <w:rsid w:val="004877B2"/>
    <w:rsid w:val="00487A4D"/>
    <w:rsid w:val="00487A68"/>
    <w:rsid w:val="00487AAA"/>
    <w:rsid w:val="00487B73"/>
    <w:rsid w:val="00487B80"/>
    <w:rsid w:val="00487BDC"/>
    <w:rsid w:val="00487BFD"/>
    <w:rsid w:val="00487C6C"/>
    <w:rsid w:val="00487D7E"/>
    <w:rsid w:val="00487E49"/>
    <w:rsid w:val="00490156"/>
    <w:rsid w:val="00490169"/>
    <w:rsid w:val="0049052B"/>
    <w:rsid w:val="004908BE"/>
    <w:rsid w:val="00490A19"/>
    <w:rsid w:val="00490BC6"/>
    <w:rsid w:val="00490CBF"/>
    <w:rsid w:val="00490DCF"/>
    <w:rsid w:val="00491037"/>
    <w:rsid w:val="00491080"/>
    <w:rsid w:val="00491152"/>
    <w:rsid w:val="0049123A"/>
    <w:rsid w:val="004916A8"/>
    <w:rsid w:val="004919E9"/>
    <w:rsid w:val="00491D77"/>
    <w:rsid w:val="00491E3C"/>
    <w:rsid w:val="00491F0D"/>
    <w:rsid w:val="004921AF"/>
    <w:rsid w:val="0049229B"/>
    <w:rsid w:val="0049242D"/>
    <w:rsid w:val="00492479"/>
    <w:rsid w:val="00492489"/>
    <w:rsid w:val="00492501"/>
    <w:rsid w:val="004929C1"/>
    <w:rsid w:val="00492C92"/>
    <w:rsid w:val="00492CBC"/>
    <w:rsid w:val="00492D80"/>
    <w:rsid w:val="0049305A"/>
    <w:rsid w:val="00493095"/>
    <w:rsid w:val="0049330A"/>
    <w:rsid w:val="0049332A"/>
    <w:rsid w:val="004937F3"/>
    <w:rsid w:val="00493B03"/>
    <w:rsid w:val="00493B76"/>
    <w:rsid w:val="00493C08"/>
    <w:rsid w:val="00493D72"/>
    <w:rsid w:val="00493E5F"/>
    <w:rsid w:val="00493EF1"/>
    <w:rsid w:val="0049400A"/>
    <w:rsid w:val="00494031"/>
    <w:rsid w:val="00494529"/>
    <w:rsid w:val="0049454B"/>
    <w:rsid w:val="00494829"/>
    <w:rsid w:val="00494965"/>
    <w:rsid w:val="00494B02"/>
    <w:rsid w:val="00494B46"/>
    <w:rsid w:val="00494BE2"/>
    <w:rsid w:val="00494C96"/>
    <w:rsid w:val="00494DBD"/>
    <w:rsid w:val="00494F84"/>
    <w:rsid w:val="00495059"/>
    <w:rsid w:val="004950FF"/>
    <w:rsid w:val="0049516F"/>
    <w:rsid w:val="0049541B"/>
    <w:rsid w:val="00495466"/>
    <w:rsid w:val="0049575B"/>
    <w:rsid w:val="0049584D"/>
    <w:rsid w:val="00495894"/>
    <w:rsid w:val="00495915"/>
    <w:rsid w:val="00495B45"/>
    <w:rsid w:val="00495D56"/>
    <w:rsid w:val="00495F57"/>
    <w:rsid w:val="00496259"/>
    <w:rsid w:val="00496628"/>
    <w:rsid w:val="00496898"/>
    <w:rsid w:val="00496A48"/>
    <w:rsid w:val="00496D8C"/>
    <w:rsid w:val="00497687"/>
    <w:rsid w:val="00497AC3"/>
    <w:rsid w:val="00497AF0"/>
    <w:rsid w:val="00497B25"/>
    <w:rsid w:val="00497C69"/>
    <w:rsid w:val="004A03B5"/>
    <w:rsid w:val="004A08FE"/>
    <w:rsid w:val="004A0B33"/>
    <w:rsid w:val="004A0ECA"/>
    <w:rsid w:val="004A0F99"/>
    <w:rsid w:val="004A10BB"/>
    <w:rsid w:val="004A131A"/>
    <w:rsid w:val="004A149F"/>
    <w:rsid w:val="004A163B"/>
    <w:rsid w:val="004A1656"/>
    <w:rsid w:val="004A1B4D"/>
    <w:rsid w:val="004A1BE9"/>
    <w:rsid w:val="004A1CCA"/>
    <w:rsid w:val="004A1ECD"/>
    <w:rsid w:val="004A25AE"/>
    <w:rsid w:val="004A26CF"/>
    <w:rsid w:val="004A2B89"/>
    <w:rsid w:val="004A2C85"/>
    <w:rsid w:val="004A36A3"/>
    <w:rsid w:val="004A36D6"/>
    <w:rsid w:val="004A3941"/>
    <w:rsid w:val="004A398D"/>
    <w:rsid w:val="004A39AD"/>
    <w:rsid w:val="004A3EAA"/>
    <w:rsid w:val="004A417A"/>
    <w:rsid w:val="004A428B"/>
    <w:rsid w:val="004A47C6"/>
    <w:rsid w:val="004A4A24"/>
    <w:rsid w:val="004A4E1C"/>
    <w:rsid w:val="004A4F33"/>
    <w:rsid w:val="004A52A0"/>
    <w:rsid w:val="004A5489"/>
    <w:rsid w:val="004A5C87"/>
    <w:rsid w:val="004A5C93"/>
    <w:rsid w:val="004A6024"/>
    <w:rsid w:val="004A6261"/>
    <w:rsid w:val="004A68AF"/>
    <w:rsid w:val="004A6978"/>
    <w:rsid w:val="004A69DA"/>
    <w:rsid w:val="004A6C3B"/>
    <w:rsid w:val="004A71AE"/>
    <w:rsid w:val="004A720F"/>
    <w:rsid w:val="004A733F"/>
    <w:rsid w:val="004A788F"/>
    <w:rsid w:val="004A78C2"/>
    <w:rsid w:val="004A78ED"/>
    <w:rsid w:val="004A7967"/>
    <w:rsid w:val="004A7E5B"/>
    <w:rsid w:val="004B04E5"/>
    <w:rsid w:val="004B0577"/>
    <w:rsid w:val="004B0624"/>
    <w:rsid w:val="004B0CBD"/>
    <w:rsid w:val="004B1142"/>
    <w:rsid w:val="004B11A7"/>
    <w:rsid w:val="004B1424"/>
    <w:rsid w:val="004B1510"/>
    <w:rsid w:val="004B16C6"/>
    <w:rsid w:val="004B1749"/>
    <w:rsid w:val="004B1764"/>
    <w:rsid w:val="004B1912"/>
    <w:rsid w:val="004B1C71"/>
    <w:rsid w:val="004B1D32"/>
    <w:rsid w:val="004B1EB4"/>
    <w:rsid w:val="004B1ED3"/>
    <w:rsid w:val="004B23D7"/>
    <w:rsid w:val="004B26F6"/>
    <w:rsid w:val="004B2AC9"/>
    <w:rsid w:val="004B2DE9"/>
    <w:rsid w:val="004B3164"/>
    <w:rsid w:val="004B3E4A"/>
    <w:rsid w:val="004B40FD"/>
    <w:rsid w:val="004B43D2"/>
    <w:rsid w:val="004B44B7"/>
    <w:rsid w:val="004B45CA"/>
    <w:rsid w:val="004B46A0"/>
    <w:rsid w:val="004B499D"/>
    <w:rsid w:val="004B4BA5"/>
    <w:rsid w:val="004B4F12"/>
    <w:rsid w:val="004B5253"/>
    <w:rsid w:val="004B53C9"/>
    <w:rsid w:val="004B555A"/>
    <w:rsid w:val="004B58E0"/>
    <w:rsid w:val="004B59EB"/>
    <w:rsid w:val="004B5B6B"/>
    <w:rsid w:val="004B5BD0"/>
    <w:rsid w:val="004B5C1F"/>
    <w:rsid w:val="004B6007"/>
    <w:rsid w:val="004B63F3"/>
    <w:rsid w:val="004B6982"/>
    <w:rsid w:val="004B6A63"/>
    <w:rsid w:val="004B719C"/>
    <w:rsid w:val="004B71A6"/>
    <w:rsid w:val="004B7282"/>
    <w:rsid w:val="004B72B4"/>
    <w:rsid w:val="004B7449"/>
    <w:rsid w:val="004B78BB"/>
    <w:rsid w:val="004B7981"/>
    <w:rsid w:val="004B7AF2"/>
    <w:rsid w:val="004B7BDE"/>
    <w:rsid w:val="004B7CB8"/>
    <w:rsid w:val="004C0306"/>
    <w:rsid w:val="004C0376"/>
    <w:rsid w:val="004C097A"/>
    <w:rsid w:val="004C0982"/>
    <w:rsid w:val="004C0B5E"/>
    <w:rsid w:val="004C0C62"/>
    <w:rsid w:val="004C0FA6"/>
    <w:rsid w:val="004C1004"/>
    <w:rsid w:val="004C1240"/>
    <w:rsid w:val="004C1471"/>
    <w:rsid w:val="004C1E17"/>
    <w:rsid w:val="004C1E26"/>
    <w:rsid w:val="004C1ECC"/>
    <w:rsid w:val="004C2003"/>
    <w:rsid w:val="004C20FE"/>
    <w:rsid w:val="004C2599"/>
    <w:rsid w:val="004C25B9"/>
    <w:rsid w:val="004C25DB"/>
    <w:rsid w:val="004C276F"/>
    <w:rsid w:val="004C28AE"/>
    <w:rsid w:val="004C28C4"/>
    <w:rsid w:val="004C2D34"/>
    <w:rsid w:val="004C2D75"/>
    <w:rsid w:val="004C2FDE"/>
    <w:rsid w:val="004C3062"/>
    <w:rsid w:val="004C3089"/>
    <w:rsid w:val="004C3117"/>
    <w:rsid w:val="004C3281"/>
    <w:rsid w:val="004C349C"/>
    <w:rsid w:val="004C35A2"/>
    <w:rsid w:val="004C35D7"/>
    <w:rsid w:val="004C3871"/>
    <w:rsid w:val="004C4208"/>
    <w:rsid w:val="004C434D"/>
    <w:rsid w:val="004C43FD"/>
    <w:rsid w:val="004C445D"/>
    <w:rsid w:val="004C463E"/>
    <w:rsid w:val="004C4B23"/>
    <w:rsid w:val="004C4EEF"/>
    <w:rsid w:val="004C52A7"/>
    <w:rsid w:val="004C5409"/>
    <w:rsid w:val="004C54C3"/>
    <w:rsid w:val="004C54DF"/>
    <w:rsid w:val="004C5589"/>
    <w:rsid w:val="004C5A49"/>
    <w:rsid w:val="004C5C2A"/>
    <w:rsid w:val="004C5DCE"/>
    <w:rsid w:val="004C5E6C"/>
    <w:rsid w:val="004C5F68"/>
    <w:rsid w:val="004C5FD0"/>
    <w:rsid w:val="004C64C8"/>
    <w:rsid w:val="004C6521"/>
    <w:rsid w:val="004C660C"/>
    <w:rsid w:val="004C691A"/>
    <w:rsid w:val="004C6A55"/>
    <w:rsid w:val="004C6DAB"/>
    <w:rsid w:val="004C702F"/>
    <w:rsid w:val="004C70D4"/>
    <w:rsid w:val="004C7319"/>
    <w:rsid w:val="004C73D3"/>
    <w:rsid w:val="004C73DA"/>
    <w:rsid w:val="004C744E"/>
    <w:rsid w:val="004C7B01"/>
    <w:rsid w:val="004C7B47"/>
    <w:rsid w:val="004C7C23"/>
    <w:rsid w:val="004C7D5C"/>
    <w:rsid w:val="004C7DC2"/>
    <w:rsid w:val="004C7F6B"/>
    <w:rsid w:val="004C7FA7"/>
    <w:rsid w:val="004D0033"/>
    <w:rsid w:val="004D00B1"/>
    <w:rsid w:val="004D01BD"/>
    <w:rsid w:val="004D0325"/>
    <w:rsid w:val="004D0922"/>
    <w:rsid w:val="004D0D46"/>
    <w:rsid w:val="004D0E6C"/>
    <w:rsid w:val="004D0F49"/>
    <w:rsid w:val="004D0FF0"/>
    <w:rsid w:val="004D12E3"/>
    <w:rsid w:val="004D14E9"/>
    <w:rsid w:val="004D16B6"/>
    <w:rsid w:val="004D1753"/>
    <w:rsid w:val="004D17F6"/>
    <w:rsid w:val="004D19B1"/>
    <w:rsid w:val="004D1BBA"/>
    <w:rsid w:val="004D200B"/>
    <w:rsid w:val="004D24A9"/>
    <w:rsid w:val="004D27F7"/>
    <w:rsid w:val="004D2BCC"/>
    <w:rsid w:val="004D2DC4"/>
    <w:rsid w:val="004D2E06"/>
    <w:rsid w:val="004D2FD9"/>
    <w:rsid w:val="004D304B"/>
    <w:rsid w:val="004D32FF"/>
    <w:rsid w:val="004D3730"/>
    <w:rsid w:val="004D37D3"/>
    <w:rsid w:val="004D47C7"/>
    <w:rsid w:val="004D495A"/>
    <w:rsid w:val="004D4A76"/>
    <w:rsid w:val="004D5138"/>
    <w:rsid w:val="004D56C6"/>
    <w:rsid w:val="004D570E"/>
    <w:rsid w:val="004D5AF3"/>
    <w:rsid w:val="004D5B00"/>
    <w:rsid w:val="004D5F20"/>
    <w:rsid w:val="004D5FFB"/>
    <w:rsid w:val="004D604E"/>
    <w:rsid w:val="004D6138"/>
    <w:rsid w:val="004D63AE"/>
    <w:rsid w:val="004D64CB"/>
    <w:rsid w:val="004D663D"/>
    <w:rsid w:val="004D6B1A"/>
    <w:rsid w:val="004D6B9E"/>
    <w:rsid w:val="004D6E69"/>
    <w:rsid w:val="004D7134"/>
    <w:rsid w:val="004D72B3"/>
    <w:rsid w:val="004D7463"/>
    <w:rsid w:val="004D7507"/>
    <w:rsid w:val="004D7683"/>
    <w:rsid w:val="004D76E2"/>
    <w:rsid w:val="004D7E3A"/>
    <w:rsid w:val="004D7F61"/>
    <w:rsid w:val="004D7F9E"/>
    <w:rsid w:val="004E01FE"/>
    <w:rsid w:val="004E0280"/>
    <w:rsid w:val="004E0313"/>
    <w:rsid w:val="004E0437"/>
    <w:rsid w:val="004E0578"/>
    <w:rsid w:val="004E060E"/>
    <w:rsid w:val="004E089C"/>
    <w:rsid w:val="004E0A92"/>
    <w:rsid w:val="004E0BF0"/>
    <w:rsid w:val="004E0CF4"/>
    <w:rsid w:val="004E0EAA"/>
    <w:rsid w:val="004E0EAD"/>
    <w:rsid w:val="004E0FF1"/>
    <w:rsid w:val="004E1287"/>
    <w:rsid w:val="004E219F"/>
    <w:rsid w:val="004E26E4"/>
    <w:rsid w:val="004E276E"/>
    <w:rsid w:val="004E292F"/>
    <w:rsid w:val="004E2B05"/>
    <w:rsid w:val="004E2C36"/>
    <w:rsid w:val="004E2C3F"/>
    <w:rsid w:val="004E2EAE"/>
    <w:rsid w:val="004E3110"/>
    <w:rsid w:val="004E3325"/>
    <w:rsid w:val="004E3496"/>
    <w:rsid w:val="004E34B0"/>
    <w:rsid w:val="004E3538"/>
    <w:rsid w:val="004E3939"/>
    <w:rsid w:val="004E3982"/>
    <w:rsid w:val="004E3B99"/>
    <w:rsid w:val="004E3CEE"/>
    <w:rsid w:val="004E4519"/>
    <w:rsid w:val="004E4900"/>
    <w:rsid w:val="004E4A88"/>
    <w:rsid w:val="004E4AC2"/>
    <w:rsid w:val="004E4F2F"/>
    <w:rsid w:val="004E5405"/>
    <w:rsid w:val="004E5948"/>
    <w:rsid w:val="004E5DBD"/>
    <w:rsid w:val="004E5EB7"/>
    <w:rsid w:val="004E5FA7"/>
    <w:rsid w:val="004E61BA"/>
    <w:rsid w:val="004E622C"/>
    <w:rsid w:val="004E63A3"/>
    <w:rsid w:val="004E6537"/>
    <w:rsid w:val="004E695A"/>
    <w:rsid w:val="004E6BB2"/>
    <w:rsid w:val="004E6C25"/>
    <w:rsid w:val="004E6DF9"/>
    <w:rsid w:val="004E70A8"/>
    <w:rsid w:val="004E74B8"/>
    <w:rsid w:val="004E7687"/>
    <w:rsid w:val="004E78D8"/>
    <w:rsid w:val="004E7A8E"/>
    <w:rsid w:val="004F063F"/>
    <w:rsid w:val="004F08F3"/>
    <w:rsid w:val="004F0C49"/>
    <w:rsid w:val="004F0CA9"/>
    <w:rsid w:val="004F0F8A"/>
    <w:rsid w:val="004F103F"/>
    <w:rsid w:val="004F1675"/>
    <w:rsid w:val="004F190F"/>
    <w:rsid w:val="004F1C1E"/>
    <w:rsid w:val="004F1C36"/>
    <w:rsid w:val="004F255F"/>
    <w:rsid w:val="004F29C0"/>
    <w:rsid w:val="004F2B81"/>
    <w:rsid w:val="004F2C98"/>
    <w:rsid w:val="004F2CC0"/>
    <w:rsid w:val="004F2D85"/>
    <w:rsid w:val="004F300E"/>
    <w:rsid w:val="004F33D2"/>
    <w:rsid w:val="004F345F"/>
    <w:rsid w:val="004F368F"/>
    <w:rsid w:val="004F3AEE"/>
    <w:rsid w:val="004F3F19"/>
    <w:rsid w:val="004F3F81"/>
    <w:rsid w:val="004F42EE"/>
    <w:rsid w:val="004F45CE"/>
    <w:rsid w:val="004F45E9"/>
    <w:rsid w:val="004F45F5"/>
    <w:rsid w:val="004F4F36"/>
    <w:rsid w:val="004F519F"/>
    <w:rsid w:val="004F56C6"/>
    <w:rsid w:val="004F5795"/>
    <w:rsid w:val="004F59AE"/>
    <w:rsid w:val="004F5CE3"/>
    <w:rsid w:val="004F5EB0"/>
    <w:rsid w:val="004F6197"/>
    <w:rsid w:val="004F6430"/>
    <w:rsid w:val="004F6463"/>
    <w:rsid w:val="004F68EC"/>
    <w:rsid w:val="004F6CCE"/>
    <w:rsid w:val="004F6DA3"/>
    <w:rsid w:val="004F6E89"/>
    <w:rsid w:val="004F7232"/>
    <w:rsid w:val="004F7293"/>
    <w:rsid w:val="004F7300"/>
    <w:rsid w:val="004F74DC"/>
    <w:rsid w:val="004F7640"/>
    <w:rsid w:val="004F76CA"/>
    <w:rsid w:val="004F777A"/>
    <w:rsid w:val="004F77D4"/>
    <w:rsid w:val="004F7BCA"/>
    <w:rsid w:val="004F7F85"/>
    <w:rsid w:val="00500244"/>
    <w:rsid w:val="005003F6"/>
    <w:rsid w:val="0050082D"/>
    <w:rsid w:val="00500B28"/>
    <w:rsid w:val="00500E68"/>
    <w:rsid w:val="00500F61"/>
    <w:rsid w:val="0050133C"/>
    <w:rsid w:val="0050137C"/>
    <w:rsid w:val="005018D3"/>
    <w:rsid w:val="00501959"/>
    <w:rsid w:val="00501F4B"/>
    <w:rsid w:val="00501F4D"/>
    <w:rsid w:val="005021B3"/>
    <w:rsid w:val="005022F6"/>
    <w:rsid w:val="00502510"/>
    <w:rsid w:val="005025ED"/>
    <w:rsid w:val="00502908"/>
    <w:rsid w:val="005029A8"/>
    <w:rsid w:val="005029A9"/>
    <w:rsid w:val="00502A7E"/>
    <w:rsid w:val="00502CB8"/>
    <w:rsid w:val="0050307F"/>
    <w:rsid w:val="00503225"/>
    <w:rsid w:val="0050333F"/>
    <w:rsid w:val="00503371"/>
    <w:rsid w:val="00503383"/>
    <w:rsid w:val="005033B6"/>
    <w:rsid w:val="00503929"/>
    <w:rsid w:val="005039E2"/>
    <w:rsid w:val="00503BB7"/>
    <w:rsid w:val="00503E34"/>
    <w:rsid w:val="00503F92"/>
    <w:rsid w:val="005040CA"/>
    <w:rsid w:val="005040EE"/>
    <w:rsid w:val="005041BA"/>
    <w:rsid w:val="005047CF"/>
    <w:rsid w:val="00504C08"/>
    <w:rsid w:val="00504D69"/>
    <w:rsid w:val="00504DC6"/>
    <w:rsid w:val="005050C6"/>
    <w:rsid w:val="00505211"/>
    <w:rsid w:val="005054E4"/>
    <w:rsid w:val="00505700"/>
    <w:rsid w:val="00505760"/>
    <w:rsid w:val="00505F83"/>
    <w:rsid w:val="005060BC"/>
    <w:rsid w:val="00506393"/>
    <w:rsid w:val="005063BD"/>
    <w:rsid w:val="00506A4C"/>
    <w:rsid w:val="00506C62"/>
    <w:rsid w:val="00506DA3"/>
    <w:rsid w:val="00506F34"/>
    <w:rsid w:val="005073FC"/>
    <w:rsid w:val="00507469"/>
    <w:rsid w:val="005075BE"/>
    <w:rsid w:val="0050761E"/>
    <w:rsid w:val="00507761"/>
    <w:rsid w:val="00507AAE"/>
    <w:rsid w:val="00507BF8"/>
    <w:rsid w:val="0051013E"/>
    <w:rsid w:val="0051029C"/>
    <w:rsid w:val="005102AE"/>
    <w:rsid w:val="005105F7"/>
    <w:rsid w:val="00510C58"/>
    <w:rsid w:val="00510E08"/>
    <w:rsid w:val="00510F26"/>
    <w:rsid w:val="00511350"/>
    <w:rsid w:val="005114E2"/>
    <w:rsid w:val="005115B1"/>
    <w:rsid w:val="00511890"/>
    <w:rsid w:val="005119E8"/>
    <w:rsid w:val="00511A63"/>
    <w:rsid w:val="00511A6C"/>
    <w:rsid w:val="00511B19"/>
    <w:rsid w:val="00511D85"/>
    <w:rsid w:val="00511ED8"/>
    <w:rsid w:val="00512FEB"/>
    <w:rsid w:val="00513037"/>
    <w:rsid w:val="00513138"/>
    <w:rsid w:val="005135FA"/>
    <w:rsid w:val="005139A5"/>
    <w:rsid w:val="00513C68"/>
    <w:rsid w:val="00513D84"/>
    <w:rsid w:val="00513FBE"/>
    <w:rsid w:val="00514453"/>
    <w:rsid w:val="005145C8"/>
    <w:rsid w:val="00514768"/>
    <w:rsid w:val="00514927"/>
    <w:rsid w:val="00514D73"/>
    <w:rsid w:val="00514E64"/>
    <w:rsid w:val="00514FEB"/>
    <w:rsid w:val="00515010"/>
    <w:rsid w:val="005151DA"/>
    <w:rsid w:val="00515483"/>
    <w:rsid w:val="005154A9"/>
    <w:rsid w:val="005154FD"/>
    <w:rsid w:val="0051580F"/>
    <w:rsid w:val="005158B5"/>
    <w:rsid w:val="00515D76"/>
    <w:rsid w:val="005162C3"/>
    <w:rsid w:val="00516499"/>
    <w:rsid w:val="005164EB"/>
    <w:rsid w:val="00516DF1"/>
    <w:rsid w:val="00516EDF"/>
    <w:rsid w:val="00516FEB"/>
    <w:rsid w:val="00517043"/>
    <w:rsid w:val="00517370"/>
    <w:rsid w:val="00517433"/>
    <w:rsid w:val="005175BC"/>
    <w:rsid w:val="0051763B"/>
    <w:rsid w:val="00517670"/>
    <w:rsid w:val="00517702"/>
    <w:rsid w:val="00517855"/>
    <w:rsid w:val="00517B33"/>
    <w:rsid w:val="00517EEB"/>
    <w:rsid w:val="00520240"/>
    <w:rsid w:val="0052040D"/>
    <w:rsid w:val="00520629"/>
    <w:rsid w:val="00520643"/>
    <w:rsid w:val="00520696"/>
    <w:rsid w:val="005206E5"/>
    <w:rsid w:val="00520AFE"/>
    <w:rsid w:val="00520B11"/>
    <w:rsid w:val="00520BF5"/>
    <w:rsid w:val="00520C9A"/>
    <w:rsid w:val="00520EA7"/>
    <w:rsid w:val="00521053"/>
    <w:rsid w:val="005213FB"/>
    <w:rsid w:val="005220F1"/>
    <w:rsid w:val="005222F2"/>
    <w:rsid w:val="0052254D"/>
    <w:rsid w:val="00522714"/>
    <w:rsid w:val="00522978"/>
    <w:rsid w:val="00522AFF"/>
    <w:rsid w:val="005230A4"/>
    <w:rsid w:val="0052315A"/>
    <w:rsid w:val="005232FF"/>
    <w:rsid w:val="00523317"/>
    <w:rsid w:val="00523788"/>
    <w:rsid w:val="00523A28"/>
    <w:rsid w:val="00523B3B"/>
    <w:rsid w:val="00523D79"/>
    <w:rsid w:val="00523EE8"/>
    <w:rsid w:val="005242D9"/>
    <w:rsid w:val="005243E4"/>
    <w:rsid w:val="005245CF"/>
    <w:rsid w:val="005247C2"/>
    <w:rsid w:val="00524A39"/>
    <w:rsid w:val="00524BA0"/>
    <w:rsid w:val="00524C20"/>
    <w:rsid w:val="00524D62"/>
    <w:rsid w:val="005251AD"/>
    <w:rsid w:val="00525A02"/>
    <w:rsid w:val="00525B21"/>
    <w:rsid w:val="00525C81"/>
    <w:rsid w:val="00525EFB"/>
    <w:rsid w:val="00525F21"/>
    <w:rsid w:val="00526020"/>
    <w:rsid w:val="00526084"/>
    <w:rsid w:val="00526288"/>
    <w:rsid w:val="005263B0"/>
    <w:rsid w:val="005263B4"/>
    <w:rsid w:val="005264B5"/>
    <w:rsid w:val="00526A01"/>
    <w:rsid w:val="00527074"/>
    <w:rsid w:val="005270AD"/>
    <w:rsid w:val="005274CD"/>
    <w:rsid w:val="005274F9"/>
    <w:rsid w:val="005275CE"/>
    <w:rsid w:val="005275F7"/>
    <w:rsid w:val="005276F7"/>
    <w:rsid w:val="0052781F"/>
    <w:rsid w:val="00527C45"/>
    <w:rsid w:val="00527F39"/>
    <w:rsid w:val="00527F4F"/>
    <w:rsid w:val="005300B8"/>
    <w:rsid w:val="0053039C"/>
    <w:rsid w:val="00530404"/>
    <w:rsid w:val="005307CD"/>
    <w:rsid w:val="00530BF8"/>
    <w:rsid w:val="00530E23"/>
    <w:rsid w:val="00530F03"/>
    <w:rsid w:val="00531211"/>
    <w:rsid w:val="00531281"/>
    <w:rsid w:val="005316A2"/>
    <w:rsid w:val="0053178F"/>
    <w:rsid w:val="005319D1"/>
    <w:rsid w:val="00531C9F"/>
    <w:rsid w:val="00531CC8"/>
    <w:rsid w:val="00532029"/>
    <w:rsid w:val="0053223B"/>
    <w:rsid w:val="0053229D"/>
    <w:rsid w:val="0053230B"/>
    <w:rsid w:val="0053236A"/>
    <w:rsid w:val="0053260F"/>
    <w:rsid w:val="0053267E"/>
    <w:rsid w:val="00532788"/>
    <w:rsid w:val="00532795"/>
    <w:rsid w:val="00532A04"/>
    <w:rsid w:val="00532BBD"/>
    <w:rsid w:val="00532DA1"/>
    <w:rsid w:val="00532FB6"/>
    <w:rsid w:val="005330E8"/>
    <w:rsid w:val="00533139"/>
    <w:rsid w:val="005331CC"/>
    <w:rsid w:val="005332AD"/>
    <w:rsid w:val="00533A3D"/>
    <w:rsid w:val="00533AAF"/>
    <w:rsid w:val="00533C40"/>
    <w:rsid w:val="00533F11"/>
    <w:rsid w:val="00533F1C"/>
    <w:rsid w:val="005341C8"/>
    <w:rsid w:val="00534F12"/>
    <w:rsid w:val="005351DF"/>
    <w:rsid w:val="00535337"/>
    <w:rsid w:val="005353E6"/>
    <w:rsid w:val="005354B6"/>
    <w:rsid w:val="0053588E"/>
    <w:rsid w:val="0053597D"/>
    <w:rsid w:val="00535B26"/>
    <w:rsid w:val="00535C7A"/>
    <w:rsid w:val="00535D17"/>
    <w:rsid w:val="0053601B"/>
    <w:rsid w:val="00536A5F"/>
    <w:rsid w:val="00536AEF"/>
    <w:rsid w:val="00536C0A"/>
    <w:rsid w:val="00536D33"/>
    <w:rsid w:val="00536EAC"/>
    <w:rsid w:val="00536ED5"/>
    <w:rsid w:val="00537004"/>
    <w:rsid w:val="005372EC"/>
    <w:rsid w:val="0053748C"/>
    <w:rsid w:val="005374E6"/>
    <w:rsid w:val="0053757D"/>
    <w:rsid w:val="005376C7"/>
    <w:rsid w:val="00537E0A"/>
    <w:rsid w:val="00537E3B"/>
    <w:rsid w:val="00537EB9"/>
    <w:rsid w:val="005403E4"/>
    <w:rsid w:val="0054079D"/>
    <w:rsid w:val="0054082F"/>
    <w:rsid w:val="0054084C"/>
    <w:rsid w:val="0054085F"/>
    <w:rsid w:val="00540A16"/>
    <w:rsid w:val="00540ACA"/>
    <w:rsid w:val="00540D7A"/>
    <w:rsid w:val="00540F05"/>
    <w:rsid w:val="005411F3"/>
    <w:rsid w:val="00541388"/>
    <w:rsid w:val="00541819"/>
    <w:rsid w:val="00541D5A"/>
    <w:rsid w:val="00541E51"/>
    <w:rsid w:val="00541F2F"/>
    <w:rsid w:val="005422C2"/>
    <w:rsid w:val="0054239D"/>
    <w:rsid w:val="0054241F"/>
    <w:rsid w:val="005426F0"/>
    <w:rsid w:val="005427E5"/>
    <w:rsid w:val="00542945"/>
    <w:rsid w:val="005429D3"/>
    <w:rsid w:val="005429E6"/>
    <w:rsid w:val="00542C80"/>
    <w:rsid w:val="00542DAF"/>
    <w:rsid w:val="00542DB8"/>
    <w:rsid w:val="005431D6"/>
    <w:rsid w:val="00543406"/>
    <w:rsid w:val="005435DC"/>
    <w:rsid w:val="0054364D"/>
    <w:rsid w:val="005438F2"/>
    <w:rsid w:val="00543AB8"/>
    <w:rsid w:val="00543DD2"/>
    <w:rsid w:val="00544262"/>
    <w:rsid w:val="005442FB"/>
    <w:rsid w:val="00544971"/>
    <w:rsid w:val="00544E12"/>
    <w:rsid w:val="00544F4F"/>
    <w:rsid w:val="00545082"/>
    <w:rsid w:val="005451DC"/>
    <w:rsid w:val="00545259"/>
    <w:rsid w:val="00545435"/>
    <w:rsid w:val="00545796"/>
    <w:rsid w:val="005458A7"/>
    <w:rsid w:val="00545A30"/>
    <w:rsid w:val="00545BBC"/>
    <w:rsid w:val="00545E8E"/>
    <w:rsid w:val="00546050"/>
    <w:rsid w:val="005460F3"/>
    <w:rsid w:val="0054658B"/>
    <w:rsid w:val="00546841"/>
    <w:rsid w:val="0054685E"/>
    <w:rsid w:val="00546B21"/>
    <w:rsid w:val="0054724E"/>
    <w:rsid w:val="00547458"/>
    <w:rsid w:val="0054758A"/>
    <w:rsid w:val="00547942"/>
    <w:rsid w:val="00547D34"/>
    <w:rsid w:val="00550034"/>
    <w:rsid w:val="00550055"/>
    <w:rsid w:val="0055005F"/>
    <w:rsid w:val="0055026A"/>
    <w:rsid w:val="00550571"/>
    <w:rsid w:val="005506F9"/>
    <w:rsid w:val="00550A8D"/>
    <w:rsid w:val="00550D7C"/>
    <w:rsid w:val="0055105A"/>
    <w:rsid w:val="00551214"/>
    <w:rsid w:val="00551247"/>
    <w:rsid w:val="005512B2"/>
    <w:rsid w:val="005515CE"/>
    <w:rsid w:val="005515F6"/>
    <w:rsid w:val="00551736"/>
    <w:rsid w:val="00551871"/>
    <w:rsid w:val="00551ADF"/>
    <w:rsid w:val="00551CCB"/>
    <w:rsid w:val="00551CE2"/>
    <w:rsid w:val="00552124"/>
    <w:rsid w:val="005522CD"/>
    <w:rsid w:val="00552425"/>
    <w:rsid w:val="0055248F"/>
    <w:rsid w:val="0055280A"/>
    <w:rsid w:val="00552A0C"/>
    <w:rsid w:val="00552B53"/>
    <w:rsid w:val="00552DD9"/>
    <w:rsid w:val="00553489"/>
    <w:rsid w:val="0055362B"/>
    <w:rsid w:val="0055376B"/>
    <w:rsid w:val="00553C74"/>
    <w:rsid w:val="00553F16"/>
    <w:rsid w:val="00554013"/>
    <w:rsid w:val="00554866"/>
    <w:rsid w:val="00554903"/>
    <w:rsid w:val="00554B05"/>
    <w:rsid w:val="00554C5A"/>
    <w:rsid w:val="00554C9C"/>
    <w:rsid w:val="00554E6F"/>
    <w:rsid w:val="00554EB2"/>
    <w:rsid w:val="005550E4"/>
    <w:rsid w:val="005554E3"/>
    <w:rsid w:val="0055562B"/>
    <w:rsid w:val="00555665"/>
    <w:rsid w:val="005559AC"/>
    <w:rsid w:val="00555E5A"/>
    <w:rsid w:val="00555EF6"/>
    <w:rsid w:val="00555F0B"/>
    <w:rsid w:val="00555F58"/>
    <w:rsid w:val="005561AF"/>
    <w:rsid w:val="005563A0"/>
    <w:rsid w:val="005563BB"/>
    <w:rsid w:val="00556655"/>
    <w:rsid w:val="005568AA"/>
    <w:rsid w:val="005568AD"/>
    <w:rsid w:val="00556EF7"/>
    <w:rsid w:val="00556F59"/>
    <w:rsid w:val="0055713D"/>
    <w:rsid w:val="005572C0"/>
    <w:rsid w:val="005573C5"/>
    <w:rsid w:val="0055746F"/>
    <w:rsid w:val="005577A2"/>
    <w:rsid w:val="00557A4E"/>
    <w:rsid w:val="00557B94"/>
    <w:rsid w:val="00557D7B"/>
    <w:rsid w:val="00557F3E"/>
    <w:rsid w:val="0056087F"/>
    <w:rsid w:val="00560DC7"/>
    <w:rsid w:val="00560EE1"/>
    <w:rsid w:val="005611C9"/>
    <w:rsid w:val="005612B1"/>
    <w:rsid w:val="00561766"/>
    <w:rsid w:val="005618F5"/>
    <w:rsid w:val="005619CB"/>
    <w:rsid w:val="00561B11"/>
    <w:rsid w:val="00561BD5"/>
    <w:rsid w:val="00562232"/>
    <w:rsid w:val="0056235E"/>
    <w:rsid w:val="005625CA"/>
    <w:rsid w:val="005625DB"/>
    <w:rsid w:val="00562697"/>
    <w:rsid w:val="00562712"/>
    <w:rsid w:val="005627BC"/>
    <w:rsid w:val="00562893"/>
    <w:rsid w:val="00562D9E"/>
    <w:rsid w:val="00562FE4"/>
    <w:rsid w:val="00563022"/>
    <w:rsid w:val="005630A5"/>
    <w:rsid w:val="0056311E"/>
    <w:rsid w:val="005632CB"/>
    <w:rsid w:val="005632D7"/>
    <w:rsid w:val="00563AEE"/>
    <w:rsid w:val="00563F1B"/>
    <w:rsid w:val="00564383"/>
    <w:rsid w:val="0056469E"/>
    <w:rsid w:val="00564821"/>
    <w:rsid w:val="00564993"/>
    <w:rsid w:val="00564A54"/>
    <w:rsid w:val="00564A71"/>
    <w:rsid w:val="00564B98"/>
    <w:rsid w:val="00564ED0"/>
    <w:rsid w:val="00565083"/>
    <w:rsid w:val="005650EF"/>
    <w:rsid w:val="0056550A"/>
    <w:rsid w:val="005655DA"/>
    <w:rsid w:val="0056581A"/>
    <w:rsid w:val="005658E7"/>
    <w:rsid w:val="00565A2A"/>
    <w:rsid w:val="00565D8F"/>
    <w:rsid w:val="00565D97"/>
    <w:rsid w:val="00565F5B"/>
    <w:rsid w:val="0056614B"/>
    <w:rsid w:val="005661DB"/>
    <w:rsid w:val="005664FA"/>
    <w:rsid w:val="005669C7"/>
    <w:rsid w:val="005669E3"/>
    <w:rsid w:val="00566AE4"/>
    <w:rsid w:val="00566F48"/>
    <w:rsid w:val="00567555"/>
    <w:rsid w:val="005676B2"/>
    <w:rsid w:val="005676E6"/>
    <w:rsid w:val="005676EE"/>
    <w:rsid w:val="00567755"/>
    <w:rsid w:val="005678F6"/>
    <w:rsid w:val="0056793E"/>
    <w:rsid w:val="00567CFF"/>
    <w:rsid w:val="00567EDA"/>
    <w:rsid w:val="00570591"/>
    <w:rsid w:val="005705A5"/>
    <w:rsid w:val="00570704"/>
    <w:rsid w:val="0057074C"/>
    <w:rsid w:val="0057091C"/>
    <w:rsid w:val="00570A73"/>
    <w:rsid w:val="00570B45"/>
    <w:rsid w:val="00570D9C"/>
    <w:rsid w:val="00570EA2"/>
    <w:rsid w:val="00570F9C"/>
    <w:rsid w:val="0057135B"/>
    <w:rsid w:val="005716F7"/>
    <w:rsid w:val="00571818"/>
    <w:rsid w:val="00571881"/>
    <w:rsid w:val="00571B3C"/>
    <w:rsid w:val="00571B98"/>
    <w:rsid w:val="00571CC3"/>
    <w:rsid w:val="00571DF4"/>
    <w:rsid w:val="00572064"/>
    <w:rsid w:val="0057207B"/>
    <w:rsid w:val="005720E2"/>
    <w:rsid w:val="00572579"/>
    <w:rsid w:val="0057261D"/>
    <w:rsid w:val="00572758"/>
    <w:rsid w:val="0057296F"/>
    <w:rsid w:val="005729DC"/>
    <w:rsid w:val="00572AED"/>
    <w:rsid w:val="005734B9"/>
    <w:rsid w:val="00573651"/>
    <w:rsid w:val="005738E0"/>
    <w:rsid w:val="00573AD3"/>
    <w:rsid w:val="00573D37"/>
    <w:rsid w:val="00573DC1"/>
    <w:rsid w:val="00573EDE"/>
    <w:rsid w:val="0057403B"/>
    <w:rsid w:val="005742D0"/>
    <w:rsid w:val="00574482"/>
    <w:rsid w:val="00574595"/>
    <w:rsid w:val="005749A6"/>
    <w:rsid w:val="00574A20"/>
    <w:rsid w:val="00574A96"/>
    <w:rsid w:val="00574B15"/>
    <w:rsid w:val="00574BFC"/>
    <w:rsid w:val="00574FCA"/>
    <w:rsid w:val="00574FCC"/>
    <w:rsid w:val="005750AF"/>
    <w:rsid w:val="00575127"/>
    <w:rsid w:val="005751EB"/>
    <w:rsid w:val="005755DD"/>
    <w:rsid w:val="005755ED"/>
    <w:rsid w:val="005758C2"/>
    <w:rsid w:val="00575A65"/>
    <w:rsid w:val="00576A00"/>
    <w:rsid w:val="00576B49"/>
    <w:rsid w:val="00576C2C"/>
    <w:rsid w:val="00576D5A"/>
    <w:rsid w:val="00577100"/>
    <w:rsid w:val="00577163"/>
    <w:rsid w:val="00577354"/>
    <w:rsid w:val="005774AA"/>
    <w:rsid w:val="00577505"/>
    <w:rsid w:val="0057778F"/>
    <w:rsid w:val="00577B8B"/>
    <w:rsid w:val="00577EBA"/>
    <w:rsid w:val="00580915"/>
    <w:rsid w:val="00580A0C"/>
    <w:rsid w:val="00580D22"/>
    <w:rsid w:val="005814F3"/>
    <w:rsid w:val="00581540"/>
    <w:rsid w:val="00581AE4"/>
    <w:rsid w:val="00581AFC"/>
    <w:rsid w:val="00581DC2"/>
    <w:rsid w:val="00581E28"/>
    <w:rsid w:val="00582312"/>
    <w:rsid w:val="00582504"/>
    <w:rsid w:val="00582669"/>
    <w:rsid w:val="005828F5"/>
    <w:rsid w:val="00582982"/>
    <w:rsid w:val="00582A27"/>
    <w:rsid w:val="00582F61"/>
    <w:rsid w:val="005831A1"/>
    <w:rsid w:val="005835BF"/>
    <w:rsid w:val="00583771"/>
    <w:rsid w:val="00583954"/>
    <w:rsid w:val="00583EBC"/>
    <w:rsid w:val="00584140"/>
    <w:rsid w:val="0058431C"/>
    <w:rsid w:val="00584546"/>
    <w:rsid w:val="0058454F"/>
    <w:rsid w:val="005845BC"/>
    <w:rsid w:val="0058464E"/>
    <w:rsid w:val="00584D5A"/>
    <w:rsid w:val="00584DF9"/>
    <w:rsid w:val="00585099"/>
    <w:rsid w:val="0058531A"/>
    <w:rsid w:val="005854F1"/>
    <w:rsid w:val="00585734"/>
    <w:rsid w:val="00585896"/>
    <w:rsid w:val="00585A6B"/>
    <w:rsid w:val="00585A97"/>
    <w:rsid w:val="00585D4F"/>
    <w:rsid w:val="00585DC0"/>
    <w:rsid w:val="00585E9F"/>
    <w:rsid w:val="00585F31"/>
    <w:rsid w:val="005862A7"/>
    <w:rsid w:val="005862EE"/>
    <w:rsid w:val="0058647A"/>
    <w:rsid w:val="005864A0"/>
    <w:rsid w:val="0058650D"/>
    <w:rsid w:val="0058661E"/>
    <w:rsid w:val="005868B2"/>
    <w:rsid w:val="0058690D"/>
    <w:rsid w:val="00586AD1"/>
    <w:rsid w:val="00586DB8"/>
    <w:rsid w:val="00586DDF"/>
    <w:rsid w:val="0058710C"/>
    <w:rsid w:val="005871F9"/>
    <w:rsid w:val="00587419"/>
    <w:rsid w:val="0058748C"/>
    <w:rsid w:val="005874DC"/>
    <w:rsid w:val="00587856"/>
    <w:rsid w:val="00587A91"/>
    <w:rsid w:val="00587C48"/>
    <w:rsid w:val="0059007F"/>
    <w:rsid w:val="00590296"/>
    <w:rsid w:val="0059034E"/>
    <w:rsid w:val="0059039B"/>
    <w:rsid w:val="0059046D"/>
    <w:rsid w:val="00590683"/>
    <w:rsid w:val="00590955"/>
    <w:rsid w:val="00590B91"/>
    <w:rsid w:val="00590CB6"/>
    <w:rsid w:val="005910DD"/>
    <w:rsid w:val="005913E8"/>
    <w:rsid w:val="00591D81"/>
    <w:rsid w:val="00591E65"/>
    <w:rsid w:val="00591FF5"/>
    <w:rsid w:val="005921F3"/>
    <w:rsid w:val="00592340"/>
    <w:rsid w:val="00592AB4"/>
    <w:rsid w:val="00592B8C"/>
    <w:rsid w:val="00593281"/>
    <w:rsid w:val="00593B78"/>
    <w:rsid w:val="005944BB"/>
    <w:rsid w:val="00594D79"/>
    <w:rsid w:val="005950B3"/>
    <w:rsid w:val="0059544D"/>
    <w:rsid w:val="0059554E"/>
    <w:rsid w:val="00595CFE"/>
    <w:rsid w:val="00595FC0"/>
    <w:rsid w:val="00595FE3"/>
    <w:rsid w:val="00596290"/>
    <w:rsid w:val="005964B2"/>
    <w:rsid w:val="00596695"/>
    <w:rsid w:val="005969C9"/>
    <w:rsid w:val="0059747F"/>
    <w:rsid w:val="005975D2"/>
    <w:rsid w:val="005975F9"/>
    <w:rsid w:val="005977B7"/>
    <w:rsid w:val="00597813"/>
    <w:rsid w:val="00597995"/>
    <w:rsid w:val="00597AA5"/>
    <w:rsid w:val="00597E5A"/>
    <w:rsid w:val="00597E79"/>
    <w:rsid w:val="00597F4D"/>
    <w:rsid w:val="00597FC5"/>
    <w:rsid w:val="005A0085"/>
    <w:rsid w:val="005A031F"/>
    <w:rsid w:val="005A04D7"/>
    <w:rsid w:val="005A07D2"/>
    <w:rsid w:val="005A0857"/>
    <w:rsid w:val="005A08A4"/>
    <w:rsid w:val="005A0B77"/>
    <w:rsid w:val="005A0BCC"/>
    <w:rsid w:val="005A0D49"/>
    <w:rsid w:val="005A0E79"/>
    <w:rsid w:val="005A1082"/>
    <w:rsid w:val="005A1599"/>
    <w:rsid w:val="005A15B1"/>
    <w:rsid w:val="005A17E5"/>
    <w:rsid w:val="005A1C77"/>
    <w:rsid w:val="005A1D17"/>
    <w:rsid w:val="005A1E8F"/>
    <w:rsid w:val="005A1EA0"/>
    <w:rsid w:val="005A1F90"/>
    <w:rsid w:val="005A205F"/>
    <w:rsid w:val="005A2151"/>
    <w:rsid w:val="005A2289"/>
    <w:rsid w:val="005A22AB"/>
    <w:rsid w:val="005A2520"/>
    <w:rsid w:val="005A25CB"/>
    <w:rsid w:val="005A2700"/>
    <w:rsid w:val="005A2CD4"/>
    <w:rsid w:val="005A3320"/>
    <w:rsid w:val="005A3537"/>
    <w:rsid w:val="005A35E7"/>
    <w:rsid w:val="005A36AA"/>
    <w:rsid w:val="005A36AD"/>
    <w:rsid w:val="005A3B33"/>
    <w:rsid w:val="005A3C90"/>
    <w:rsid w:val="005A3E5F"/>
    <w:rsid w:val="005A3FC9"/>
    <w:rsid w:val="005A4148"/>
    <w:rsid w:val="005A4725"/>
    <w:rsid w:val="005A4801"/>
    <w:rsid w:val="005A4D19"/>
    <w:rsid w:val="005A53AD"/>
    <w:rsid w:val="005A5675"/>
    <w:rsid w:val="005A5A7F"/>
    <w:rsid w:val="005A5E70"/>
    <w:rsid w:val="005A5F7C"/>
    <w:rsid w:val="005A5F88"/>
    <w:rsid w:val="005A6024"/>
    <w:rsid w:val="005A6095"/>
    <w:rsid w:val="005A62A9"/>
    <w:rsid w:val="005A65CB"/>
    <w:rsid w:val="005A6799"/>
    <w:rsid w:val="005A6AA0"/>
    <w:rsid w:val="005A6B13"/>
    <w:rsid w:val="005A6B4C"/>
    <w:rsid w:val="005A6D04"/>
    <w:rsid w:val="005A6D46"/>
    <w:rsid w:val="005A6DDB"/>
    <w:rsid w:val="005A6FA4"/>
    <w:rsid w:val="005A7405"/>
    <w:rsid w:val="005A77A9"/>
    <w:rsid w:val="005A7AE6"/>
    <w:rsid w:val="005A7B93"/>
    <w:rsid w:val="005B009C"/>
    <w:rsid w:val="005B0280"/>
    <w:rsid w:val="005B0332"/>
    <w:rsid w:val="005B0392"/>
    <w:rsid w:val="005B0474"/>
    <w:rsid w:val="005B0491"/>
    <w:rsid w:val="005B04F9"/>
    <w:rsid w:val="005B09E7"/>
    <w:rsid w:val="005B0FCA"/>
    <w:rsid w:val="005B1061"/>
    <w:rsid w:val="005B1303"/>
    <w:rsid w:val="005B1382"/>
    <w:rsid w:val="005B1442"/>
    <w:rsid w:val="005B1509"/>
    <w:rsid w:val="005B1720"/>
    <w:rsid w:val="005B1762"/>
    <w:rsid w:val="005B1C79"/>
    <w:rsid w:val="005B218C"/>
    <w:rsid w:val="005B235C"/>
    <w:rsid w:val="005B2574"/>
    <w:rsid w:val="005B2726"/>
    <w:rsid w:val="005B2A82"/>
    <w:rsid w:val="005B2D0C"/>
    <w:rsid w:val="005B2D6F"/>
    <w:rsid w:val="005B2D9B"/>
    <w:rsid w:val="005B2F01"/>
    <w:rsid w:val="005B3188"/>
    <w:rsid w:val="005B357B"/>
    <w:rsid w:val="005B37D7"/>
    <w:rsid w:val="005B39ED"/>
    <w:rsid w:val="005B3A64"/>
    <w:rsid w:val="005B3B49"/>
    <w:rsid w:val="005B4266"/>
    <w:rsid w:val="005B4394"/>
    <w:rsid w:val="005B4434"/>
    <w:rsid w:val="005B488D"/>
    <w:rsid w:val="005B4A49"/>
    <w:rsid w:val="005B4A6D"/>
    <w:rsid w:val="005B4A6F"/>
    <w:rsid w:val="005B513B"/>
    <w:rsid w:val="005B54DF"/>
    <w:rsid w:val="005B5555"/>
    <w:rsid w:val="005B5750"/>
    <w:rsid w:val="005B5833"/>
    <w:rsid w:val="005B5869"/>
    <w:rsid w:val="005B5B28"/>
    <w:rsid w:val="005B613B"/>
    <w:rsid w:val="005B61BE"/>
    <w:rsid w:val="005B639B"/>
    <w:rsid w:val="005B641B"/>
    <w:rsid w:val="005B656C"/>
    <w:rsid w:val="005B66C6"/>
    <w:rsid w:val="005B67DB"/>
    <w:rsid w:val="005B6A33"/>
    <w:rsid w:val="005B6C4F"/>
    <w:rsid w:val="005B7249"/>
    <w:rsid w:val="005B731C"/>
    <w:rsid w:val="005B749B"/>
    <w:rsid w:val="005B75B8"/>
    <w:rsid w:val="005B7994"/>
    <w:rsid w:val="005B7A49"/>
    <w:rsid w:val="005B7CEE"/>
    <w:rsid w:val="005C0096"/>
    <w:rsid w:val="005C0153"/>
    <w:rsid w:val="005C01C9"/>
    <w:rsid w:val="005C020F"/>
    <w:rsid w:val="005C05B0"/>
    <w:rsid w:val="005C05B8"/>
    <w:rsid w:val="005C0893"/>
    <w:rsid w:val="005C123B"/>
    <w:rsid w:val="005C147E"/>
    <w:rsid w:val="005C1711"/>
    <w:rsid w:val="005C1D76"/>
    <w:rsid w:val="005C21FD"/>
    <w:rsid w:val="005C241C"/>
    <w:rsid w:val="005C28A4"/>
    <w:rsid w:val="005C2985"/>
    <w:rsid w:val="005C3113"/>
    <w:rsid w:val="005C336C"/>
    <w:rsid w:val="005C3533"/>
    <w:rsid w:val="005C358F"/>
    <w:rsid w:val="005C3826"/>
    <w:rsid w:val="005C39B7"/>
    <w:rsid w:val="005C3BDE"/>
    <w:rsid w:val="005C3EC8"/>
    <w:rsid w:val="005C4199"/>
    <w:rsid w:val="005C46DF"/>
    <w:rsid w:val="005C4C93"/>
    <w:rsid w:val="005C5198"/>
    <w:rsid w:val="005C5582"/>
    <w:rsid w:val="005C5599"/>
    <w:rsid w:val="005C58A0"/>
    <w:rsid w:val="005C59C6"/>
    <w:rsid w:val="005C6E9C"/>
    <w:rsid w:val="005C6F92"/>
    <w:rsid w:val="005C6FF0"/>
    <w:rsid w:val="005C7005"/>
    <w:rsid w:val="005C7238"/>
    <w:rsid w:val="005C7400"/>
    <w:rsid w:val="005C7803"/>
    <w:rsid w:val="005C7A66"/>
    <w:rsid w:val="005C7CBF"/>
    <w:rsid w:val="005D000A"/>
    <w:rsid w:val="005D0055"/>
    <w:rsid w:val="005D0141"/>
    <w:rsid w:val="005D0285"/>
    <w:rsid w:val="005D0491"/>
    <w:rsid w:val="005D0535"/>
    <w:rsid w:val="005D05B6"/>
    <w:rsid w:val="005D06B1"/>
    <w:rsid w:val="005D07FF"/>
    <w:rsid w:val="005D0937"/>
    <w:rsid w:val="005D0B85"/>
    <w:rsid w:val="005D114B"/>
    <w:rsid w:val="005D13A9"/>
    <w:rsid w:val="005D1761"/>
    <w:rsid w:val="005D1935"/>
    <w:rsid w:val="005D257B"/>
    <w:rsid w:val="005D2592"/>
    <w:rsid w:val="005D277C"/>
    <w:rsid w:val="005D27DC"/>
    <w:rsid w:val="005D2B51"/>
    <w:rsid w:val="005D36D5"/>
    <w:rsid w:val="005D3A35"/>
    <w:rsid w:val="005D3B88"/>
    <w:rsid w:val="005D3BB5"/>
    <w:rsid w:val="005D3EE5"/>
    <w:rsid w:val="005D3F92"/>
    <w:rsid w:val="005D42A1"/>
    <w:rsid w:val="005D4517"/>
    <w:rsid w:val="005D46BD"/>
    <w:rsid w:val="005D47A8"/>
    <w:rsid w:val="005D495E"/>
    <w:rsid w:val="005D50F7"/>
    <w:rsid w:val="005D512B"/>
    <w:rsid w:val="005D523A"/>
    <w:rsid w:val="005D5896"/>
    <w:rsid w:val="005D5B74"/>
    <w:rsid w:val="005D5BAE"/>
    <w:rsid w:val="005D6229"/>
    <w:rsid w:val="005D63BE"/>
    <w:rsid w:val="005D66A3"/>
    <w:rsid w:val="005D69FF"/>
    <w:rsid w:val="005D6B8A"/>
    <w:rsid w:val="005D70E3"/>
    <w:rsid w:val="005D7BB8"/>
    <w:rsid w:val="005D7C37"/>
    <w:rsid w:val="005D7CDF"/>
    <w:rsid w:val="005D7DA2"/>
    <w:rsid w:val="005E036B"/>
    <w:rsid w:val="005E0454"/>
    <w:rsid w:val="005E081F"/>
    <w:rsid w:val="005E107D"/>
    <w:rsid w:val="005E1329"/>
    <w:rsid w:val="005E16A1"/>
    <w:rsid w:val="005E18A5"/>
    <w:rsid w:val="005E1D1D"/>
    <w:rsid w:val="005E2175"/>
    <w:rsid w:val="005E21E5"/>
    <w:rsid w:val="005E2568"/>
    <w:rsid w:val="005E2597"/>
    <w:rsid w:val="005E26D6"/>
    <w:rsid w:val="005E2A17"/>
    <w:rsid w:val="005E2A76"/>
    <w:rsid w:val="005E2ACC"/>
    <w:rsid w:val="005E2F3E"/>
    <w:rsid w:val="005E2FF8"/>
    <w:rsid w:val="005E3122"/>
    <w:rsid w:val="005E3ADA"/>
    <w:rsid w:val="005E3C3C"/>
    <w:rsid w:val="005E3CB5"/>
    <w:rsid w:val="005E405E"/>
    <w:rsid w:val="005E40CC"/>
    <w:rsid w:val="005E45A9"/>
    <w:rsid w:val="005E4B99"/>
    <w:rsid w:val="005E4C85"/>
    <w:rsid w:val="005E4C8A"/>
    <w:rsid w:val="005E4E5C"/>
    <w:rsid w:val="005E5216"/>
    <w:rsid w:val="005E53D5"/>
    <w:rsid w:val="005E5485"/>
    <w:rsid w:val="005E57DC"/>
    <w:rsid w:val="005E6044"/>
    <w:rsid w:val="005E62DD"/>
    <w:rsid w:val="005E65D0"/>
    <w:rsid w:val="005E673A"/>
    <w:rsid w:val="005E6904"/>
    <w:rsid w:val="005E69A2"/>
    <w:rsid w:val="005E6D9B"/>
    <w:rsid w:val="005E73C1"/>
    <w:rsid w:val="005E74B8"/>
    <w:rsid w:val="005E7682"/>
    <w:rsid w:val="005E7FA5"/>
    <w:rsid w:val="005F0000"/>
    <w:rsid w:val="005F0336"/>
    <w:rsid w:val="005F0661"/>
    <w:rsid w:val="005F0771"/>
    <w:rsid w:val="005F08DA"/>
    <w:rsid w:val="005F09D4"/>
    <w:rsid w:val="005F0BC5"/>
    <w:rsid w:val="005F0C14"/>
    <w:rsid w:val="005F0EC9"/>
    <w:rsid w:val="005F17C2"/>
    <w:rsid w:val="005F1C27"/>
    <w:rsid w:val="005F2038"/>
    <w:rsid w:val="005F2170"/>
    <w:rsid w:val="005F282C"/>
    <w:rsid w:val="005F2A8F"/>
    <w:rsid w:val="005F2C47"/>
    <w:rsid w:val="005F2CE4"/>
    <w:rsid w:val="005F321C"/>
    <w:rsid w:val="005F3259"/>
    <w:rsid w:val="005F32D7"/>
    <w:rsid w:val="005F3623"/>
    <w:rsid w:val="005F383B"/>
    <w:rsid w:val="005F38F0"/>
    <w:rsid w:val="005F3A5C"/>
    <w:rsid w:val="005F3DC8"/>
    <w:rsid w:val="005F3E46"/>
    <w:rsid w:val="005F4141"/>
    <w:rsid w:val="005F4273"/>
    <w:rsid w:val="005F4284"/>
    <w:rsid w:val="005F440B"/>
    <w:rsid w:val="005F4727"/>
    <w:rsid w:val="005F4872"/>
    <w:rsid w:val="005F4CAD"/>
    <w:rsid w:val="005F4FE3"/>
    <w:rsid w:val="005F5230"/>
    <w:rsid w:val="005F5AD1"/>
    <w:rsid w:val="005F5E1F"/>
    <w:rsid w:val="005F5F0C"/>
    <w:rsid w:val="005F6244"/>
    <w:rsid w:val="005F6669"/>
    <w:rsid w:val="005F66DA"/>
    <w:rsid w:val="005F6742"/>
    <w:rsid w:val="005F6C5D"/>
    <w:rsid w:val="005F6ED5"/>
    <w:rsid w:val="005F740B"/>
    <w:rsid w:val="005F7445"/>
    <w:rsid w:val="005F7815"/>
    <w:rsid w:val="005F7AD9"/>
    <w:rsid w:val="005F7F22"/>
    <w:rsid w:val="00600182"/>
    <w:rsid w:val="00600204"/>
    <w:rsid w:val="006003BA"/>
    <w:rsid w:val="0060052D"/>
    <w:rsid w:val="0060068A"/>
    <w:rsid w:val="00600859"/>
    <w:rsid w:val="00600AC7"/>
    <w:rsid w:val="00600C06"/>
    <w:rsid w:val="00600E21"/>
    <w:rsid w:val="00600E2D"/>
    <w:rsid w:val="00601017"/>
    <w:rsid w:val="0060110A"/>
    <w:rsid w:val="006011D4"/>
    <w:rsid w:val="00601654"/>
    <w:rsid w:val="0060181F"/>
    <w:rsid w:val="006019B9"/>
    <w:rsid w:val="00601B3F"/>
    <w:rsid w:val="00601E26"/>
    <w:rsid w:val="00601F83"/>
    <w:rsid w:val="00602624"/>
    <w:rsid w:val="00602751"/>
    <w:rsid w:val="00602A03"/>
    <w:rsid w:val="00603022"/>
    <w:rsid w:val="006031EC"/>
    <w:rsid w:val="006033A6"/>
    <w:rsid w:val="006033D4"/>
    <w:rsid w:val="00603616"/>
    <w:rsid w:val="00603B45"/>
    <w:rsid w:val="00603C74"/>
    <w:rsid w:val="00603FF9"/>
    <w:rsid w:val="00604130"/>
    <w:rsid w:val="0060465D"/>
    <w:rsid w:val="0060469D"/>
    <w:rsid w:val="00604A6F"/>
    <w:rsid w:val="00604CE8"/>
    <w:rsid w:val="00604E71"/>
    <w:rsid w:val="006052A8"/>
    <w:rsid w:val="006052DF"/>
    <w:rsid w:val="006056F7"/>
    <w:rsid w:val="006058CD"/>
    <w:rsid w:val="0060599D"/>
    <w:rsid w:val="00605C80"/>
    <w:rsid w:val="006062EA"/>
    <w:rsid w:val="00606338"/>
    <w:rsid w:val="006065DB"/>
    <w:rsid w:val="0060697D"/>
    <w:rsid w:val="00606B0C"/>
    <w:rsid w:val="00606E62"/>
    <w:rsid w:val="0060718C"/>
    <w:rsid w:val="006072C8"/>
    <w:rsid w:val="00607741"/>
    <w:rsid w:val="00607A27"/>
    <w:rsid w:val="00607CED"/>
    <w:rsid w:val="00607DCD"/>
    <w:rsid w:val="00607FA3"/>
    <w:rsid w:val="00610004"/>
    <w:rsid w:val="006102D1"/>
    <w:rsid w:val="006102D2"/>
    <w:rsid w:val="00610726"/>
    <w:rsid w:val="00610CE3"/>
    <w:rsid w:val="00610DB7"/>
    <w:rsid w:val="00610F1C"/>
    <w:rsid w:val="00610FE3"/>
    <w:rsid w:val="006112C8"/>
    <w:rsid w:val="006115EC"/>
    <w:rsid w:val="0061183A"/>
    <w:rsid w:val="00611BA8"/>
    <w:rsid w:val="00612106"/>
    <w:rsid w:val="006123D8"/>
    <w:rsid w:val="006125C5"/>
    <w:rsid w:val="006125DB"/>
    <w:rsid w:val="00612625"/>
    <w:rsid w:val="0061267B"/>
    <w:rsid w:val="00612845"/>
    <w:rsid w:val="00612846"/>
    <w:rsid w:val="00612A72"/>
    <w:rsid w:val="00612A79"/>
    <w:rsid w:val="00612D10"/>
    <w:rsid w:val="00612FB1"/>
    <w:rsid w:val="00613363"/>
    <w:rsid w:val="006133F8"/>
    <w:rsid w:val="00613511"/>
    <w:rsid w:val="00613605"/>
    <w:rsid w:val="006136FD"/>
    <w:rsid w:val="006138D8"/>
    <w:rsid w:val="006139CB"/>
    <w:rsid w:val="00613A34"/>
    <w:rsid w:val="00613A74"/>
    <w:rsid w:val="00613EBA"/>
    <w:rsid w:val="00613EC2"/>
    <w:rsid w:val="00613EDE"/>
    <w:rsid w:val="0061409D"/>
    <w:rsid w:val="0061446D"/>
    <w:rsid w:val="0061451E"/>
    <w:rsid w:val="006146E4"/>
    <w:rsid w:val="00614A75"/>
    <w:rsid w:val="00614B7D"/>
    <w:rsid w:val="00614D0B"/>
    <w:rsid w:val="00614DAF"/>
    <w:rsid w:val="00614F36"/>
    <w:rsid w:val="00614FE1"/>
    <w:rsid w:val="0061539C"/>
    <w:rsid w:val="00615424"/>
    <w:rsid w:val="0061547F"/>
    <w:rsid w:val="00615617"/>
    <w:rsid w:val="0061588C"/>
    <w:rsid w:val="00615C10"/>
    <w:rsid w:val="00615C74"/>
    <w:rsid w:val="00615F48"/>
    <w:rsid w:val="00616038"/>
    <w:rsid w:val="0061641B"/>
    <w:rsid w:val="006164CE"/>
    <w:rsid w:val="00616732"/>
    <w:rsid w:val="006169BB"/>
    <w:rsid w:val="00616BE1"/>
    <w:rsid w:val="00617197"/>
    <w:rsid w:val="0061750E"/>
    <w:rsid w:val="00617550"/>
    <w:rsid w:val="006176E8"/>
    <w:rsid w:val="00617B81"/>
    <w:rsid w:val="00617C2D"/>
    <w:rsid w:val="00617C63"/>
    <w:rsid w:val="00617D5C"/>
    <w:rsid w:val="00617E24"/>
    <w:rsid w:val="00617E6F"/>
    <w:rsid w:val="00617EC4"/>
    <w:rsid w:val="0062011F"/>
    <w:rsid w:val="0062045E"/>
    <w:rsid w:val="006205A9"/>
    <w:rsid w:val="006207E2"/>
    <w:rsid w:val="00620CFE"/>
    <w:rsid w:val="00620F55"/>
    <w:rsid w:val="00620FD1"/>
    <w:rsid w:val="00621549"/>
    <w:rsid w:val="006216E0"/>
    <w:rsid w:val="006218B7"/>
    <w:rsid w:val="00621A74"/>
    <w:rsid w:val="00621D04"/>
    <w:rsid w:val="00622013"/>
    <w:rsid w:val="006220DB"/>
    <w:rsid w:val="00622543"/>
    <w:rsid w:val="006227D6"/>
    <w:rsid w:val="0062281C"/>
    <w:rsid w:val="00622901"/>
    <w:rsid w:val="00622985"/>
    <w:rsid w:val="00622D03"/>
    <w:rsid w:val="00622DC5"/>
    <w:rsid w:val="00622FEC"/>
    <w:rsid w:val="0062328B"/>
    <w:rsid w:val="006233AB"/>
    <w:rsid w:val="0062349F"/>
    <w:rsid w:val="00623503"/>
    <w:rsid w:val="006235D2"/>
    <w:rsid w:val="00623B40"/>
    <w:rsid w:val="00623BAB"/>
    <w:rsid w:val="00623D5C"/>
    <w:rsid w:val="00623E54"/>
    <w:rsid w:val="00624084"/>
    <w:rsid w:val="006251AB"/>
    <w:rsid w:val="006251FB"/>
    <w:rsid w:val="006252A5"/>
    <w:rsid w:val="0062548D"/>
    <w:rsid w:val="00625684"/>
    <w:rsid w:val="006259D6"/>
    <w:rsid w:val="00625DEB"/>
    <w:rsid w:val="00625E69"/>
    <w:rsid w:val="00626025"/>
    <w:rsid w:val="00626943"/>
    <w:rsid w:val="00626A62"/>
    <w:rsid w:val="00626CA9"/>
    <w:rsid w:val="00626D7C"/>
    <w:rsid w:val="00626DF6"/>
    <w:rsid w:val="006273B7"/>
    <w:rsid w:val="006274D8"/>
    <w:rsid w:val="00627803"/>
    <w:rsid w:val="00627853"/>
    <w:rsid w:val="006278AC"/>
    <w:rsid w:val="006279B3"/>
    <w:rsid w:val="00627C62"/>
    <w:rsid w:val="00627C6B"/>
    <w:rsid w:val="006303CD"/>
    <w:rsid w:val="0063088C"/>
    <w:rsid w:val="00630DE6"/>
    <w:rsid w:val="00630E28"/>
    <w:rsid w:val="00631258"/>
    <w:rsid w:val="0063161E"/>
    <w:rsid w:val="0063170A"/>
    <w:rsid w:val="0063173B"/>
    <w:rsid w:val="00631766"/>
    <w:rsid w:val="006318CB"/>
    <w:rsid w:val="00631A5F"/>
    <w:rsid w:val="00631E8B"/>
    <w:rsid w:val="00631F14"/>
    <w:rsid w:val="00632087"/>
    <w:rsid w:val="00632509"/>
    <w:rsid w:val="00632904"/>
    <w:rsid w:val="00632CCB"/>
    <w:rsid w:val="00633076"/>
    <w:rsid w:val="0063309F"/>
    <w:rsid w:val="00633388"/>
    <w:rsid w:val="006337DA"/>
    <w:rsid w:val="00633A82"/>
    <w:rsid w:val="00633B74"/>
    <w:rsid w:val="00633BB2"/>
    <w:rsid w:val="00633CC6"/>
    <w:rsid w:val="00634053"/>
    <w:rsid w:val="006342B4"/>
    <w:rsid w:val="00634672"/>
    <w:rsid w:val="006347D0"/>
    <w:rsid w:val="00634EE7"/>
    <w:rsid w:val="00634FF0"/>
    <w:rsid w:val="00635136"/>
    <w:rsid w:val="00635A32"/>
    <w:rsid w:val="00635B49"/>
    <w:rsid w:val="00635C04"/>
    <w:rsid w:val="00635D8E"/>
    <w:rsid w:val="00635FB0"/>
    <w:rsid w:val="00636144"/>
    <w:rsid w:val="0063641D"/>
    <w:rsid w:val="006365CE"/>
    <w:rsid w:val="006367FF"/>
    <w:rsid w:val="00636857"/>
    <w:rsid w:val="006368B6"/>
    <w:rsid w:val="00636A9C"/>
    <w:rsid w:val="00636C88"/>
    <w:rsid w:val="006371F6"/>
    <w:rsid w:val="006376FE"/>
    <w:rsid w:val="006378E8"/>
    <w:rsid w:val="00637F39"/>
    <w:rsid w:val="00637F5A"/>
    <w:rsid w:val="00640186"/>
    <w:rsid w:val="006402F4"/>
    <w:rsid w:val="006404CA"/>
    <w:rsid w:val="00640BAC"/>
    <w:rsid w:val="00640FA1"/>
    <w:rsid w:val="006411E4"/>
    <w:rsid w:val="00641527"/>
    <w:rsid w:val="00641714"/>
    <w:rsid w:val="006418D4"/>
    <w:rsid w:val="00641A77"/>
    <w:rsid w:val="0064204D"/>
    <w:rsid w:val="0064219A"/>
    <w:rsid w:val="006421B7"/>
    <w:rsid w:val="006421CA"/>
    <w:rsid w:val="00642381"/>
    <w:rsid w:val="00642475"/>
    <w:rsid w:val="006428C0"/>
    <w:rsid w:val="006429E1"/>
    <w:rsid w:val="00642EDF"/>
    <w:rsid w:val="00643244"/>
    <w:rsid w:val="006432D1"/>
    <w:rsid w:val="006434BB"/>
    <w:rsid w:val="006435BF"/>
    <w:rsid w:val="006436BD"/>
    <w:rsid w:val="00643AC9"/>
    <w:rsid w:val="00643F26"/>
    <w:rsid w:val="00643FFD"/>
    <w:rsid w:val="00644251"/>
    <w:rsid w:val="00644519"/>
    <w:rsid w:val="00644A60"/>
    <w:rsid w:val="00644D01"/>
    <w:rsid w:val="00644E14"/>
    <w:rsid w:val="00644EA2"/>
    <w:rsid w:val="00645452"/>
    <w:rsid w:val="006455E9"/>
    <w:rsid w:val="00645682"/>
    <w:rsid w:val="006456E7"/>
    <w:rsid w:val="00645C7B"/>
    <w:rsid w:val="00645C91"/>
    <w:rsid w:val="00645CCB"/>
    <w:rsid w:val="00645E98"/>
    <w:rsid w:val="00646109"/>
    <w:rsid w:val="0064612B"/>
    <w:rsid w:val="0064687F"/>
    <w:rsid w:val="00646AE1"/>
    <w:rsid w:val="00646D98"/>
    <w:rsid w:val="00646F0E"/>
    <w:rsid w:val="006472FE"/>
    <w:rsid w:val="006473B6"/>
    <w:rsid w:val="006478CD"/>
    <w:rsid w:val="00647A31"/>
    <w:rsid w:val="00647E1D"/>
    <w:rsid w:val="00650011"/>
    <w:rsid w:val="00650324"/>
    <w:rsid w:val="00650362"/>
    <w:rsid w:val="00650464"/>
    <w:rsid w:val="006504D5"/>
    <w:rsid w:val="0065056E"/>
    <w:rsid w:val="00650D40"/>
    <w:rsid w:val="0065125B"/>
    <w:rsid w:val="0065171F"/>
    <w:rsid w:val="00651A60"/>
    <w:rsid w:val="00651BAB"/>
    <w:rsid w:val="00651DF1"/>
    <w:rsid w:val="00651EE0"/>
    <w:rsid w:val="00652281"/>
    <w:rsid w:val="006523B4"/>
    <w:rsid w:val="00652495"/>
    <w:rsid w:val="006524A3"/>
    <w:rsid w:val="006525B5"/>
    <w:rsid w:val="0065265C"/>
    <w:rsid w:val="006528CF"/>
    <w:rsid w:val="00652A5B"/>
    <w:rsid w:val="00652B94"/>
    <w:rsid w:val="00652DB6"/>
    <w:rsid w:val="0065319D"/>
    <w:rsid w:val="0065331C"/>
    <w:rsid w:val="00653368"/>
    <w:rsid w:val="0065362E"/>
    <w:rsid w:val="00653864"/>
    <w:rsid w:val="00653A06"/>
    <w:rsid w:val="00653CDE"/>
    <w:rsid w:val="00653EFF"/>
    <w:rsid w:val="006541E7"/>
    <w:rsid w:val="00654203"/>
    <w:rsid w:val="00654424"/>
    <w:rsid w:val="006544A3"/>
    <w:rsid w:val="0065456A"/>
    <w:rsid w:val="006545B3"/>
    <w:rsid w:val="006545BF"/>
    <w:rsid w:val="0065476F"/>
    <w:rsid w:val="00654894"/>
    <w:rsid w:val="00654B19"/>
    <w:rsid w:val="00654EB5"/>
    <w:rsid w:val="00655179"/>
    <w:rsid w:val="00655641"/>
    <w:rsid w:val="00655714"/>
    <w:rsid w:val="00655E5C"/>
    <w:rsid w:val="00655EA6"/>
    <w:rsid w:val="006561D6"/>
    <w:rsid w:val="006564F1"/>
    <w:rsid w:val="0065687A"/>
    <w:rsid w:val="00656AB1"/>
    <w:rsid w:val="00656B3A"/>
    <w:rsid w:val="00656CB5"/>
    <w:rsid w:val="00656F5D"/>
    <w:rsid w:val="006572A5"/>
    <w:rsid w:val="0065770A"/>
    <w:rsid w:val="00657770"/>
    <w:rsid w:val="00657804"/>
    <w:rsid w:val="00657838"/>
    <w:rsid w:val="00657969"/>
    <w:rsid w:val="00657A75"/>
    <w:rsid w:val="00657B44"/>
    <w:rsid w:val="00657BBA"/>
    <w:rsid w:val="00657E30"/>
    <w:rsid w:val="0066018F"/>
    <w:rsid w:val="006602AB"/>
    <w:rsid w:val="006605CB"/>
    <w:rsid w:val="00660866"/>
    <w:rsid w:val="00660995"/>
    <w:rsid w:val="00660A80"/>
    <w:rsid w:val="00660F94"/>
    <w:rsid w:val="00660FF4"/>
    <w:rsid w:val="006615A3"/>
    <w:rsid w:val="006616B7"/>
    <w:rsid w:val="00661747"/>
    <w:rsid w:val="006617A0"/>
    <w:rsid w:val="00661893"/>
    <w:rsid w:val="00661D27"/>
    <w:rsid w:val="00661D36"/>
    <w:rsid w:val="00661E8A"/>
    <w:rsid w:val="00662FD8"/>
    <w:rsid w:val="00663702"/>
    <w:rsid w:val="00663D26"/>
    <w:rsid w:val="00664095"/>
    <w:rsid w:val="006640BD"/>
    <w:rsid w:val="006643FA"/>
    <w:rsid w:val="006644CB"/>
    <w:rsid w:val="0066460C"/>
    <w:rsid w:val="006646BE"/>
    <w:rsid w:val="0066498D"/>
    <w:rsid w:val="00664EE4"/>
    <w:rsid w:val="0066502B"/>
    <w:rsid w:val="00665356"/>
    <w:rsid w:val="0066567B"/>
    <w:rsid w:val="00665772"/>
    <w:rsid w:val="00665D57"/>
    <w:rsid w:val="00665F7D"/>
    <w:rsid w:val="00666069"/>
    <w:rsid w:val="00666187"/>
    <w:rsid w:val="006663FF"/>
    <w:rsid w:val="00666735"/>
    <w:rsid w:val="00666919"/>
    <w:rsid w:val="00666CC6"/>
    <w:rsid w:val="00666F67"/>
    <w:rsid w:val="00667070"/>
    <w:rsid w:val="006670EE"/>
    <w:rsid w:val="0066717D"/>
    <w:rsid w:val="006673F8"/>
    <w:rsid w:val="00667746"/>
    <w:rsid w:val="0066774D"/>
    <w:rsid w:val="00667856"/>
    <w:rsid w:val="006678C1"/>
    <w:rsid w:val="0066798C"/>
    <w:rsid w:val="00667A43"/>
    <w:rsid w:val="00667B24"/>
    <w:rsid w:val="00667B97"/>
    <w:rsid w:val="00667B9D"/>
    <w:rsid w:val="0067007F"/>
    <w:rsid w:val="00670146"/>
    <w:rsid w:val="00670272"/>
    <w:rsid w:val="00670280"/>
    <w:rsid w:val="006709DD"/>
    <w:rsid w:val="00670C6A"/>
    <w:rsid w:val="006713D3"/>
    <w:rsid w:val="00671684"/>
    <w:rsid w:val="0067193D"/>
    <w:rsid w:val="006719BE"/>
    <w:rsid w:val="00671A85"/>
    <w:rsid w:val="00671AF7"/>
    <w:rsid w:val="00671C8B"/>
    <w:rsid w:val="00672241"/>
    <w:rsid w:val="006723BF"/>
    <w:rsid w:val="00672415"/>
    <w:rsid w:val="0067245D"/>
    <w:rsid w:val="0067257E"/>
    <w:rsid w:val="00672A24"/>
    <w:rsid w:val="00672A32"/>
    <w:rsid w:val="00672CA5"/>
    <w:rsid w:val="006730EC"/>
    <w:rsid w:val="00673AC7"/>
    <w:rsid w:val="00673C66"/>
    <w:rsid w:val="00673EF2"/>
    <w:rsid w:val="00674185"/>
    <w:rsid w:val="006741CE"/>
    <w:rsid w:val="0067420D"/>
    <w:rsid w:val="006743ED"/>
    <w:rsid w:val="00674448"/>
    <w:rsid w:val="006747C1"/>
    <w:rsid w:val="00674F8B"/>
    <w:rsid w:val="00675030"/>
    <w:rsid w:val="00675138"/>
    <w:rsid w:val="006752C9"/>
    <w:rsid w:val="006752E4"/>
    <w:rsid w:val="006757DF"/>
    <w:rsid w:val="00675B70"/>
    <w:rsid w:val="00675EF9"/>
    <w:rsid w:val="00675FAC"/>
    <w:rsid w:val="00675FAF"/>
    <w:rsid w:val="006760EE"/>
    <w:rsid w:val="006762DC"/>
    <w:rsid w:val="006763D4"/>
    <w:rsid w:val="006764DD"/>
    <w:rsid w:val="0067695F"/>
    <w:rsid w:val="006769C0"/>
    <w:rsid w:val="006769D2"/>
    <w:rsid w:val="00676AA3"/>
    <w:rsid w:val="00676E69"/>
    <w:rsid w:val="006771B7"/>
    <w:rsid w:val="00677436"/>
    <w:rsid w:val="00677469"/>
    <w:rsid w:val="00677580"/>
    <w:rsid w:val="0067771B"/>
    <w:rsid w:val="00677791"/>
    <w:rsid w:val="006777A9"/>
    <w:rsid w:val="006779F5"/>
    <w:rsid w:val="006779F7"/>
    <w:rsid w:val="00677DAE"/>
    <w:rsid w:val="00680262"/>
    <w:rsid w:val="00680404"/>
    <w:rsid w:val="006804C3"/>
    <w:rsid w:val="006810FA"/>
    <w:rsid w:val="00681BCE"/>
    <w:rsid w:val="006821DB"/>
    <w:rsid w:val="00682430"/>
    <w:rsid w:val="00682715"/>
    <w:rsid w:val="00682895"/>
    <w:rsid w:val="00682960"/>
    <w:rsid w:val="0068298F"/>
    <w:rsid w:val="00682CAD"/>
    <w:rsid w:val="00682DCD"/>
    <w:rsid w:val="00682FCF"/>
    <w:rsid w:val="006832AC"/>
    <w:rsid w:val="0068339D"/>
    <w:rsid w:val="0068348C"/>
    <w:rsid w:val="0068361F"/>
    <w:rsid w:val="006836CD"/>
    <w:rsid w:val="00683C2F"/>
    <w:rsid w:val="00683C90"/>
    <w:rsid w:val="00683D18"/>
    <w:rsid w:val="00683E11"/>
    <w:rsid w:val="00684238"/>
    <w:rsid w:val="0068429B"/>
    <w:rsid w:val="006842CB"/>
    <w:rsid w:val="006844A0"/>
    <w:rsid w:val="006845AF"/>
    <w:rsid w:val="0068477C"/>
    <w:rsid w:val="00684B25"/>
    <w:rsid w:val="00684F19"/>
    <w:rsid w:val="00684FCC"/>
    <w:rsid w:val="00685092"/>
    <w:rsid w:val="00685241"/>
    <w:rsid w:val="0068541F"/>
    <w:rsid w:val="006855E3"/>
    <w:rsid w:val="00685669"/>
    <w:rsid w:val="006856B1"/>
    <w:rsid w:val="00685A13"/>
    <w:rsid w:val="00685B49"/>
    <w:rsid w:val="00685C0D"/>
    <w:rsid w:val="00685DB2"/>
    <w:rsid w:val="006861C4"/>
    <w:rsid w:val="0068687B"/>
    <w:rsid w:val="006868A8"/>
    <w:rsid w:val="006869B2"/>
    <w:rsid w:val="006869F6"/>
    <w:rsid w:val="00686B06"/>
    <w:rsid w:val="00686D20"/>
    <w:rsid w:val="00686D30"/>
    <w:rsid w:val="00686FE2"/>
    <w:rsid w:val="0068716A"/>
    <w:rsid w:val="006874CD"/>
    <w:rsid w:val="006876F6"/>
    <w:rsid w:val="006878EE"/>
    <w:rsid w:val="00687A0D"/>
    <w:rsid w:val="00687A73"/>
    <w:rsid w:val="00687CC2"/>
    <w:rsid w:val="00690173"/>
    <w:rsid w:val="0069030B"/>
    <w:rsid w:val="0069068A"/>
    <w:rsid w:val="006909EA"/>
    <w:rsid w:val="00690CE6"/>
    <w:rsid w:val="00690D24"/>
    <w:rsid w:val="00690DAF"/>
    <w:rsid w:val="00690E03"/>
    <w:rsid w:val="00691059"/>
    <w:rsid w:val="006911D6"/>
    <w:rsid w:val="006911EC"/>
    <w:rsid w:val="006913A0"/>
    <w:rsid w:val="006915CF"/>
    <w:rsid w:val="0069188B"/>
    <w:rsid w:val="006919A8"/>
    <w:rsid w:val="00691AB4"/>
    <w:rsid w:val="00691B6B"/>
    <w:rsid w:val="00692214"/>
    <w:rsid w:val="006922E9"/>
    <w:rsid w:val="00692407"/>
    <w:rsid w:val="00692457"/>
    <w:rsid w:val="00692867"/>
    <w:rsid w:val="0069286C"/>
    <w:rsid w:val="00692937"/>
    <w:rsid w:val="00692AB6"/>
    <w:rsid w:val="00692C75"/>
    <w:rsid w:val="00692ECC"/>
    <w:rsid w:val="00692FB9"/>
    <w:rsid w:val="00693047"/>
    <w:rsid w:val="006931A6"/>
    <w:rsid w:val="006931EE"/>
    <w:rsid w:val="006933FA"/>
    <w:rsid w:val="006934C7"/>
    <w:rsid w:val="00693508"/>
    <w:rsid w:val="0069358E"/>
    <w:rsid w:val="00693752"/>
    <w:rsid w:val="006937BF"/>
    <w:rsid w:val="00694370"/>
    <w:rsid w:val="00694510"/>
    <w:rsid w:val="006946FF"/>
    <w:rsid w:val="00694C10"/>
    <w:rsid w:val="006952FC"/>
    <w:rsid w:val="00695481"/>
    <w:rsid w:val="006957A6"/>
    <w:rsid w:val="0069600C"/>
    <w:rsid w:val="0069637C"/>
    <w:rsid w:val="0069664B"/>
    <w:rsid w:val="00696784"/>
    <w:rsid w:val="00696913"/>
    <w:rsid w:val="00696A9B"/>
    <w:rsid w:val="00696DB9"/>
    <w:rsid w:val="00696DEE"/>
    <w:rsid w:val="00696E53"/>
    <w:rsid w:val="00696EE2"/>
    <w:rsid w:val="006970F1"/>
    <w:rsid w:val="006973C4"/>
    <w:rsid w:val="0069776F"/>
    <w:rsid w:val="006A0119"/>
    <w:rsid w:val="006A022F"/>
    <w:rsid w:val="006A058E"/>
    <w:rsid w:val="006A0C40"/>
    <w:rsid w:val="006A1111"/>
    <w:rsid w:val="006A17E4"/>
    <w:rsid w:val="006A17F2"/>
    <w:rsid w:val="006A17FD"/>
    <w:rsid w:val="006A196B"/>
    <w:rsid w:val="006A19CC"/>
    <w:rsid w:val="006A1B47"/>
    <w:rsid w:val="006A1B91"/>
    <w:rsid w:val="006A1C1C"/>
    <w:rsid w:val="006A1DD0"/>
    <w:rsid w:val="006A1E33"/>
    <w:rsid w:val="006A1EA1"/>
    <w:rsid w:val="006A1FD2"/>
    <w:rsid w:val="006A20AB"/>
    <w:rsid w:val="006A20DA"/>
    <w:rsid w:val="006A2A21"/>
    <w:rsid w:val="006A2C90"/>
    <w:rsid w:val="006A2CF1"/>
    <w:rsid w:val="006A3043"/>
    <w:rsid w:val="006A3242"/>
    <w:rsid w:val="006A342A"/>
    <w:rsid w:val="006A391E"/>
    <w:rsid w:val="006A3933"/>
    <w:rsid w:val="006A3AFB"/>
    <w:rsid w:val="006A3DB6"/>
    <w:rsid w:val="006A3E3D"/>
    <w:rsid w:val="006A3F80"/>
    <w:rsid w:val="006A4037"/>
    <w:rsid w:val="006A40D5"/>
    <w:rsid w:val="006A4356"/>
    <w:rsid w:val="006A45FF"/>
    <w:rsid w:val="006A4A63"/>
    <w:rsid w:val="006A4BD1"/>
    <w:rsid w:val="006A4D5E"/>
    <w:rsid w:val="006A51C3"/>
    <w:rsid w:val="006A52F5"/>
    <w:rsid w:val="006A5341"/>
    <w:rsid w:val="006A55FE"/>
    <w:rsid w:val="006A570B"/>
    <w:rsid w:val="006A57DE"/>
    <w:rsid w:val="006A5CD4"/>
    <w:rsid w:val="006A5EC2"/>
    <w:rsid w:val="006A5FE2"/>
    <w:rsid w:val="006A613B"/>
    <w:rsid w:val="006A63DD"/>
    <w:rsid w:val="006A6461"/>
    <w:rsid w:val="006A647E"/>
    <w:rsid w:val="006A689C"/>
    <w:rsid w:val="006A698F"/>
    <w:rsid w:val="006A69F3"/>
    <w:rsid w:val="006A6BCF"/>
    <w:rsid w:val="006A6C42"/>
    <w:rsid w:val="006A7056"/>
    <w:rsid w:val="006A759A"/>
    <w:rsid w:val="006A76E4"/>
    <w:rsid w:val="006A78AF"/>
    <w:rsid w:val="006A79BE"/>
    <w:rsid w:val="006A7B8A"/>
    <w:rsid w:val="006A7C39"/>
    <w:rsid w:val="006A7DAE"/>
    <w:rsid w:val="006A7EA5"/>
    <w:rsid w:val="006A7F5F"/>
    <w:rsid w:val="006B00FE"/>
    <w:rsid w:val="006B03C0"/>
    <w:rsid w:val="006B04D0"/>
    <w:rsid w:val="006B06D9"/>
    <w:rsid w:val="006B0B00"/>
    <w:rsid w:val="006B0B21"/>
    <w:rsid w:val="006B0C0D"/>
    <w:rsid w:val="006B0C82"/>
    <w:rsid w:val="006B0C8B"/>
    <w:rsid w:val="006B0DC9"/>
    <w:rsid w:val="006B0DCC"/>
    <w:rsid w:val="006B0EE0"/>
    <w:rsid w:val="006B139B"/>
    <w:rsid w:val="006B15A9"/>
    <w:rsid w:val="006B163E"/>
    <w:rsid w:val="006B1A4A"/>
    <w:rsid w:val="006B1D56"/>
    <w:rsid w:val="006B26B5"/>
    <w:rsid w:val="006B2A3A"/>
    <w:rsid w:val="006B2B9A"/>
    <w:rsid w:val="006B36DD"/>
    <w:rsid w:val="006B3CA8"/>
    <w:rsid w:val="006B4310"/>
    <w:rsid w:val="006B43EF"/>
    <w:rsid w:val="006B4409"/>
    <w:rsid w:val="006B47BA"/>
    <w:rsid w:val="006B4980"/>
    <w:rsid w:val="006B4F12"/>
    <w:rsid w:val="006B4FAF"/>
    <w:rsid w:val="006B4FB1"/>
    <w:rsid w:val="006B52D1"/>
    <w:rsid w:val="006B55EE"/>
    <w:rsid w:val="006B55FB"/>
    <w:rsid w:val="006B5BF4"/>
    <w:rsid w:val="006B61C0"/>
    <w:rsid w:val="006B6205"/>
    <w:rsid w:val="006B6527"/>
    <w:rsid w:val="006B67ED"/>
    <w:rsid w:val="006B6B6E"/>
    <w:rsid w:val="006B7579"/>
    <w:rsid w:val="006B7773"/>
    <w:rsid w:val="006B77CD"/>
    <w:rsid w:val="006B78EF"/>
    <w:rsid w:val="006B7A7A"/>
    <w:rsid w:val="006B7D3B"/>
    <w:rsid w:val="006C02B1"/>
    <w:rsid w:val="006C02EA"/>
    <w:rsid w:val="006C058F"/>
    <w:rsid w:val="006C0859"/>
    <w:rsid w:val="006C0922"/>
    <w:rsid w:val="006C0D9C"/>
    <w:rsid w:val="006C0FC5"/>
    <w:rsid w:val="006C1281"/>
    <w:rsid w:val="006C13AB"/>
    <w:rsid w:val="006C13CD"/>
    <w:rsid w:val="006C18B3"/>
    <w:rsid w:val="006C195A"/>
    <w:rsid w:val="006C1AB4"/>
    <w:rsid w:val="006C1FBF"/>
    <w:rsid w:val="006C2645"/>
    <w:rsid w:val="006C28B8"/>
    <w:rsid w:val="006C2F56"/>
    <w:rsid w:val="006C3351"/>
    <w:rsid w:val="006C3357"/>
    <w:rsid w:val="006C3566"/>
    <w:rsid w:val="006C388B"/>
    <w:rsid w:val="006C3BD3"/>
    <w:rsid w:val="006C3CCE"/>
    <w:rsid w:val="006C3CE3"/>
    <w:rsid w:val="006C3F03"/>
    <w:rsid w:val="006C3F21"/>
    <w:rsid w:val="006C430A"/>
    <w:rsid w:val="006C4CA8"/>
    <w:rsid w:val="006C4F73"/>
    <w:rsid w:val="006C52EC"/>
    <w:rsid w:val="006C5308"/>
    <w:rsid w:val="006C55CE"/>
    <w:rsid w:val="006C5DE6"/>
    <w:rsid w:val="006C60B9"/>
    <w:rsid w:val="006C627A"/>
    <w:rsid w:val="006C64E7"/>
    <w:rsid w:val="006C662A"/>
    <w:rsid w:val="006C6B8D"/>
    <w:rsid w:val="006C6C32"/>
    <w:rsid w:val="006C6DA1"/>
    <w:rsid w:val="006C6EE4"/>
    <w:rsid w:val="006C70B3"/>
    <w:rsid w:val="006C7287"/>
    <w:rsid w:val="006C73C1"/>
    <w:rsid w:val="006C73E6"/>
    <w:rsid w:val="006C754B"/>
    <w:rsid w:val="006C768D"/>
    <w:rsid w:val="006C7708"/>
    <w:rsid w:val="006C786F"/>
    <w:rsid w:val="006C79DB"/>
    <w:rsid w:val="006C7DAC"/>
    <w:rsid w:val="006D016A"/>
    <w:rsid w:val="006D02FA"/>
    <w:rsid w:val="006D07C0"/>
    <w:rsid w:val="006D09D9"/>
    <w:rsid w:val="006D0B6B"/>
    <w:rsid w:val="006D0B8E"/>
    <w:rsid w:val="006D0CC6"/>
    <w:rsid w:val="006D0F81"/>
    <w:rsid w:val="006D1006"/>
    <w:rsid w:val="006D115B"/>
    <w:rsid w:val="006D16D5"/>
    <w:rsid w:val="006D1A0D"/>
    <w:rsid w:val="006D1D7C"/>
    <w:rsid w:val="006D1DD9"/>
    <w:rsid w:val="006D1E5F"/>
    <w:rsid w:val="006D21E1"/>
    <w:rsid w:val="006D22BC"/>
    <w:rsid w:val="006D22DB"/>
    <w:rsid w:val="006D25B3"/>
    <w:rsid w:val="006D289C"/>
    <w:rsid w:val="006D28F8"/>
    <w:rsid w:val="006D293F"/>
    <w:rsid w:val="006D2AEA"/>
    <w:rsid w:val="006D2C51"/>
    <w:rsid w:val="006D2CAE"/>
    <w:rsid w:val="006D2DF5"/>
    <w:rsid w:val="006D2E34"/>
    <w:rsid w:val="006D3153"/>
    <w:rsid w:val="006D317E"/>
    <w:rsid w:val="006D33EE"/>
    <w:rsid w:val="006D34E8"/>
    <w:rsid w:val="006D36DF"/>
    <w:rsid w:val="006D381B"/>
    <w:rsid w:val="006D384B"/>
    <w:rsid w:val="006D3D7E"/>
    <w:rsid w:val="006D442A"/>
    <w:rsid w:val="006D491E"/>
    <w:rsid w:val="006D4E4A"/>
    <w:rsid w:val="006D5A28"/>
    <w:rsid w:val="006D5ABE"/>
    <w:rsid w:val="006D5ECF"/>
    <w:rsid w:val="006D609F"/>
    <w:rsid w:val="006D62ED"/>
    <w:rsid w:val="006D648F"/>
    <w:rsid w:val="006D663C"/>
    <w:rsid w:val="006D6F48"/>
    <w:rsid w:val="006D7190"/>
    <w:rsid w:val="006D73B3"/>
    <w:rsid w:val="006D76AD"/>
    <w:rsid w:val="006D7878"/>
    <w:rsid w:val="006D7B09"/>
    <w:rsid w:val="006E0276"/>
    <w:rsid w:val="006E09F2"/>
    <w:rsid w:val="006E0B7A"/>
    <w:rsid w:val="006E0D8F"/>
    <w:rsid w:val="006E0EB8"/>
    <w:rsid w:val="006E0F55"/>
    <w:rsid w:val="006E122F"/>
    <w:rsid w:val="006E139D"/>
    <w:rsid w:val="006E13F5"/>
    <w:rsid w:val="006E1670"/>
    <w:rsid w:val="006E19C2"/>
    <w:rsid w:val="006E1D4F"/>
    <w:rsid w:val="006E21C8"/>
    <w:rsid w:val="006E227B"/>
    <w:rsid w:val="006E25A5"/>
    <w:rsid w:val="006E2636"/>
    <w:rsid w:val="006E279B"/>
    <w:rsid w:val="006E2825"/>
    <w:rsid w:val="006E2833"/>
    <w:rsid w:val="006E290B"/>
    <w:rsid w:val="006E2E3B"/>
    <w:rsid w:val="006E3102"/>
    <w:rsid w:val="006E33B6"/>
    <w:rsid w:val="006E3459"/>
    <w:rsid w:val="006E3771"/>
    <w:rsid w:val="006E3813"/>
    <w:rsid w:val="006E3A32"/>
    <w:rsid w:val="006E3AD1"/>
    <w:rsid w:val="006E3DDA"/>
    <w:rsid w:val="006E3ED2"/>
    <w:rsid w:val="006E438B"/>
    <w:rsid w:val="006E47EE"/>
    <w:rsid w:val="006E4855"/>
    <w:rsid w:val="006E48DE"/>
    <w:rsid w:val="006E4A67"/>
    <w:rsid w:val="006E5260"/>
    <w:rsid w:val="006E5645"/>
    <w:rsid w:val="006E574E"/>
    <w:rsid w:val="006E5A70"/>
    <w:rsid w:val="006E5F9D"/>
    <w:rsid w:val="006E61A6"/>
    <w:rsid w:val="006E6352"/>
    <w:rsid w:val="006E63AD"/>
    <w:rsid w:val="006E6833"/>
    <w:rsid w:val="006E688F"/>
    <w:rsid w:val="006E6A2E"/>
    <w:rsid w:val="006E6AAE"/>
    <w:rsid w:val="006E6C25"/>
    <w:rsid w:val="006E6C3C"/>
    <w:rsid w:val="006E7045"/>
    <w:rsid w:val="006E740A"/>
    <w:rsid w:val="006E7529"/>
    <w:rsid w:val="006E755C"/>
    <w:rsid w:val="006E75FD"/>
    <w:rsid w:val="006E76C7"/>
    <w:rsid w:val="006E7957"/>
    <w:rsid w:val="006E797C"/>
    <w:rsid w:val="006E7BFA"/>
    <w:rsid w:val="006E7C7E"/>
    <w:rsid w:val="006F02CC"/>
    <w:rsid w:val="006F02E2"/>
    <w:rsid w:val="006F031B"/>
    <w:rsid w:val="006F0363"/>
    <w:rsid w:val="006F0C27"/>
    <w:rsid w:val="006F0F08"/>
    <w:rsid w:val="006F0F9B"/>
    <w:rsid w:val="006F1265"/>
    <w:rsid w:val="006F12AB"/>
    <w:rsid w:val="006F1554"/>
    <w:rsid w:val="006F1854"/>
    <w:rsid w:val="006F186B"/>
    <w:rsid w:val="006F2874"/>
    <w:rsid w:val="006F28A6"/>
    <w:rsid w:val="006F29A8"/>
    <w:rsid w:val="006F2A44"/>
    <w:rsid w:val="006F2DB1"/>
    <w:rsid w:val="006F2E21"/>
    <w:rsid w:val="006F2E7E"/>
    <w:rsid w:val="006F3324"/>
    <w:rsid w:val="006F3360"/>
    <w:rsid w:val="006F348B"/>
    <w:rsid w:val="006F34B2"/>
    <w:rsid w:val="006F350F"/>
    <w:rsid w:val="006F36A1"/>
    <w:rsid w:val="006F37D2"/>
    <w:rsid w:val="006F3809"/>
    <w:rsid w:val="006F385A"/>
    <w:rsid w:val="006F3B82"/>
    <w:rsid w:val="006F3E56"/>
    <w:rsid w:val="006F3F2D"/>
    <w:rsid w:val="006F4533"/>
    <w:rsid w:val="006F5524"/>
    <w:rsid w:val="006F5752"/>
    <w:rsid w:val="006F5832"/>
    <w:rsid w:val="006F5890"/>
    <w:rsid w:val="006F59FC"/>
    <w:rsid w:val="006F5B35"/>
    <w:rsid w:val="006F5F0C"/>
    <w:rsid w:val="006F5F77"/>
    <w:rsid w:val="006F6550"/>
    <w:rsid w:val="006F65F6"/>
    <w:rsid w:val="006F6A17"/>
    <w:rsid w:val="006F6BCD"/>
    <w:rsid w:val="006F6FD1"/>
    <w:rsid w:val="006F703C"/>
    <w:rsid w:val="006F73AC"/>
    <w:rsid w:val="006F73EE"/>
    <w:rsid w:val="006F74CF"/>
    <w:rsid w:val="006F761D"/>
    <w:rsid w:val="006F7658"/>
    <w:rsid w:val="006F77B9"/>
    <w:rsid w:val="006F7ED5"/>
    <w:rsid w:val="007004E5"/>
    <w:rsid w:val="00700582"/>
    <w:rsid w:val="007006CC"/>
    <w:rsid w:val="007006E6"/>
    <w:rsid w:val="00700DE6"/>
    <w:rsid w:val="00701284"/>
    <w:rsid w:val="007012BA"/>
    <w:rsid w:val="00701789"/>
    <w:rsid w:val="00701856"/>
    <w:rsid w:val="00701BC6"/>
    <w:rsid w:val="00701C61"/>
    <w:rsid w:val="00701C80"/>
    <w:rsid w:val="00701DAE"/>
    <w:rsid w:val="00701DC4"/>
    <w:rsid w:val="0070201F"/>
    <w:rsid w:val="0070231F"/>
    <w:rsid w:val="00702501"/>
    <w:rsid w:val="00702587"/>
    <w:rsid w:val="007027A6"/>
    <w:rsid w:val="00702E3D"/>
    <w:rsid w:val="00702EA6"/>
    <w:rsid w:val="007031DD"/>
    <w:rsid w:val="0070336D"/>
    <w:rsid w:val="007036E1"/>
    <w:rsid w:val="007037A9"/>
    <w:rsid w:val="00703DCA"/>
    <w:rsid w:val="00704271"/>
    <w:rsid w:val="0070436F"/>
    <w:rsid w:val="0070468C"/>
    <w:rsid w:val="00704AF0"/>
    <w:rsid w:val="00704B77"/>
    <w:rsid w:val="00704C57"/>
    <w:rsid w:val="00704C67"/>
    <w:rsid w:val="00704D5C"/>
    <w:rsid w:val="00704D63"/>
    <w:rsid w:val="007051DB"/>
    <w:rsid w:val="007055E9"/>
    <w:rsid w:val="00705888"/>
    <w:rsid w:val="00705A60"/>
    <w:rsid w:val="00705D2A"/>
    <w:rsid w:val="00705ECB"/>
    <w:rsid w:val="00706217"/>
    <w:rsid w:val="007066CC"/>
    <w:rsid w:val="0070699D"/>
    <w:rsid w:val="00706A1D"/>
    <w:rsid w:val="00706B29"/>
    <w:rsid w:val="0070700F"/>
    <w:rsid w:val="007074D5"/>
    <w:rsid w:val="00710071"/>
    <w:rsid w:val="007101B7"/>
    <w:rsid w:val="007101D3"/>
    <w:rsid w:val="00710408"/>
    <w:rsid w:val="007107E4"/>
    <w:rsid w:val="0071081B"/>
    <w:rsid w:val="0071087C"/>
    <w:rsid w:val="00710900"/>
    <w:rsid w:val="00710BFC"/>
    <w:rsid w:val="00710D67"/>
    <w:rsid w:val="00710FED"/>
    <w:rsid w:val="00711145"/>
    <w:rsid w:val="0071134F"/>
    <w:rsid w:val="00711A10"/>
    <w:rsid w:val="00711B8A"/>
    <w:rsid w:val="00711CCC"/>
    <w:rsid w:val="00711D1A"/>
    <w:rsid w:val="00711EBC"/>
    <w:rsid w:val="00712500"/>
    <w:rsid w:val="0071286E"/>
    <w:rsid w:val="00712D5E"/>
    <w:rsid w:val="00712F8F"/>
    <w:rsid w:val="00713065"/>
    <w:rsid w:val="00713132"/>
    <w:rsid w:val="0071329F"/>
    <w:rsid w:val="007136A1"/>
    <w:rsid w:val="007138D3"/>
    <w:rsid w:val="0071409D"/>
    <w:rsid w:val="007140BD"/>
    <w:rsid w:val="0071446E"/>
    <w:rsid w:val="0071451D"/>
    <w:rsid w:val="0071487C"/>
    <w:rsid w:val="00714B3A"/>
    <w:rsid w:val="00714E62"/>
    <w:rsid w:val="007150F1"/>
    <w:rsid w:val="0071528D"/>
    <w:rsid w:val="007152D0"/>
    <w:rsid w:val="0071531A"/>
    <w:rsid w:val="00715468"/>
    <w:rsid w:val="007157D6"/>
    <w:rsid w:val="007158C9"/>
    <w:rsid w:val="00715E3F"/>
    <w:rsid w:val="00716209"/>
    <w:rsid w:val="00716442"/>
    <w:rsid w:val="007166FA"/>
    <w:rsid w:val="00716E59"/>
    <w:rsid w:val="00716E8D"/>
    <w:rsid w:val="00716EDD"/>
    <w:rsid w:val="00716F14"/>
    <w:rsid w:val="00716F6B"/>
    <w:rsid w:val="00717579"/>
    <w:rsid w:val="00717636"/>
    <w:rsid w:val="00717805"/>
    <w:rsid w:val="00717C33"/>
    <w:rsid w:val="00717CF7"/>
    <w:rsid w:val="00717F20"/>
    <w:rsid w:val="00720024"/>
    <w:rsid w:val="007202AF"/>
    <w:rsid w:val="00720396"/>
    <w:rsid w:val="0072042E"/>
    <w:rsid w:val="00720B6F"/>
    <w:rsid w:val="0072102F"/>
    <w:rsid w:val="0072103D"/>
    <w:rsid w:val="007210C8"/>
    <w:rsid w:val="007211B7"/>
    <w:rsid w:val="00721527"/>
    <w:rsid w:val="00721675"/>
    <w:rsid w:val="00721AC7"/>
    <w:rsid w:val="00721E9F"/>
    <w:rsid w:val="0072248F"/>
    <w:rsid w:val="00722D8F"/>
    <w:rsid w:val="0072355E"/>
    <w:rsid w:val="007236DF"/>
    <w:rsid w:val="007236E1"/>
    <w:rsid w:val="00723C4C"/>
    <w:rsid w:val="00723DC9"/>
    <w:rsid w:val="00723DD9"/>
    <w:rsid w:val="0072402E"/>
    <w:rsid w:val="00724154"/>
    <w:rsid w:val="007241DC"/>
    <w:rsid w:val="00724459"/>
    <w:rsid w:val="007245E2"/>
    <w:rsid w:val="0072469C"/>
    <w:rsid w:val="00724728"/>
    <w:rsid w:val="00724B0C"/>
    <w:rsid w:val="00724B8D"/>
    <w:rsid w:val="00724E76"/>
    <w:rsid w:val="00724FD3"/>
    <w:rsid w:val="0072512E"/>
    <w:rsid w:val="0072527C"/>
    <w:rsid w:val="00725379"/>
    <w:rsid w:val="007254ED"/>
    <w:rsid w:val="0072578B"/>
    <w:rsid w:val="00725936"/>
    <w:rsid w:val="00725A83"/>
    <w:rsid w:val="00725D12"/>
    <w:rsid w:val="00725EF4"/>
    <w:rsid w:val="00725F48"/>
    <w:rsid w:val="007264E6"/>
    <w:rsid w:val="0072661B"/>
    <w:rsid w:val="0072675D"/>
    <w:rsid w:val="0072677F"/>
    <w:rsid w:val="007268E5"/>
    <w:rsid w:val="00726AD5"/>
    <w:rsid w:val="00726C91"/>
    <w:rsid w:val="00726DFD"/>
    <w:rsid w:val="00726E25"/>
    <w:rsid w:val="007271A5"/>
    <w:rsid w:val="007274B8"/>
    <w:rsid w:val="00727A05"/>
    <w:rsid w:val="00730194"/>
    <w:rsid w:val="00730476"/>
    <w:rsid w:val="00730653"/>
    <w:rsid w:val="0073084E"/>
    <w:rsid w:val="007308F4"/>
    <w:rsid w:val="00730C78"/>
    <w:rsid w:val="00730DCD"/>
    <w:rsid w:val="00730F49"/>
    <w:rsid w:val="007310A8"/>
    <w:rsid w:val="007311BE"/>
    <w:rsid w:val="0073174B"/>
    <w:rsid w:val="007317A0"/>
    <w:rsid w:val="007317AC"/>
    <w:rsid w:val="007318C5"/>
    <w:rsid w:val="00731A39"/>
    <w:rsid w:val="00731C82"/>
    <w:rsid w:val="00731D13"/>
    <w:rsid w:val="00732227"/>
    <w:rsid w:val="007325D6"/>
    <w:rsid w:val="0073286A"/>
    <w:rsid w:val="007328A9"/>
    <w:rsid w:val="007329AF"/>
    <w:rsid w:val="00732E8B"/>
    <w:rsid w:val="007330F8"/>
    <w:rsid w:val="00733352"/>
    <w:rsid w:val="007333D7"/>
    <w:rsid w:val="007333DA"/>
    <w:rsid w:val="00733849"/>
    <w:rsid w:val="00733BD4"/>
    <w:rsid w:val="00733CBA"/>
    <w:rsid w:val="00733E67"/>
    <w:rsid w:val="00733F21"/>
    <w:rsid w:val="00733FD3"/>
    <w:rsid w:val="00734416"/>
    <w:rsid w:val="007346B7"/>
    <w:rsid w:val="00734B92"/>
    <w:rsid w:val="00734C25"/>
    <w:rsid w:val="00735274"/>
    <w:rsid w:val="00735455"/>
    <w:rsid w:val="007355E2"/>
    <w:rsid w:val="00735A75"/>
    <w:rsid w:val="00735B8A"/>
    <w:rsid w:val="00735F1E"/>
    <w:rsid w:val="0073607A"/>
    <w:rsid w:val="00736096"/>
    <w:rsid w:val="007364B0"/>
    <w:rsid w:val="00736630"/>
    <w:rsid w:val="007366C1"/>
    <w:rsid w:val="007369FC"/>
    <w:rsid w:val="00736A7F"/>
    <w:rsid w:val="00737125"/>
    <w:rsid w:val="007371C4"/>
    <w:rsid w:val="007373A7"/>
    <w:rsid w:val="007373C7"/>
    <w:rsid w:val="007373E7"/>
    <w:rsid w:val="0073758A"/>
    <w:rsid w:val="00737C74"/>
    <w:rsid w:val="00737D15"/>
    <w:rsid w:val="00737ED0"/>
    <w:rsid w:val="007400E9"/>
    <w:rsid w:val="007405C0"/>
    <w:rsid w:val="007407F4"/>
    <w:rsid w:val="00740823"/>
    <w:rsid w:val="00740CD5"/>
    <w:rsid w:val="00740E1E"/>
    <w:rsid w:val="0074115E"/>
    <w:rsid w:val="007412BE"/>
    <w:rsid w:val="007412EB"/>
    <w:rsid w:val="0074141B"/>
    <w:rsid w:val="00741474"/>
    <w:rsid w:val="0074194F"/>
    <w:rsid w:val="00741B6A"/>
    <w:rsid w:val="00741C07"/>
    <w:rsid w:val="00741C45"/>
    <w:rsid w:val="00741FC0"/>
    <w:rsid w:val="007420EE"/>
    <w:rsid w:val="00742255"/>
    <w:rsid w:val="007422A0"/>
    <w:rsid w:val="00742889"/>
    <w:rsid w:val="00742920"/>
    <w:rsid w:val="00742DFD"/>
    <w:rsid w:val="007430B4"/>
    <w:rsid w:val="00743597"/>
    <w:rsid w:val="00743AF4"/>
    <w:rsid w:val="00743FAE"/>
    <w:rsid w:val="00743FE2"/>
    <w:rsid w:val="00744121"/>
    <w:rsid w:val="0074414A"/>
    <w:rsid w:val="00744652"/>
    <w:rsid w:val="00744B6C"/>
    <w:rsid w:val="007456B2"/>
    <w:rsid w:val="0074580E"/>
    <w:rsid w:val="007466C1"/>
    <w:rsid w:val="007466EA"/>
    <w:rsid w:val="007466FD"/>
    <w:rsid w:val="00746A52"/>
    <w:rsid w:val="00746B0D"/>
    <w:rsid w:val="00746DE6"/>
    <w:rsid w:val="00746E14"/>
    <w:rsid w:val="00747898"/>
    <w:rsid w:val="0074795B"/>
    <w:rsid w:val="00747991"/>
    <w:rsid w:val="00747C08"/>
    <w:rsid w:val="00747CC8"/>
    <w:rsid w:val="00747DBB"/>
    <w:rsid w:val="0075019E"/>
    <w:rsid w:val="007508AE"/>
    <w:rsid w:val="007508D8"/>
    <w:rsid w:val="00750B07"/>
    <w:rsid w:val="00751123"/>
    <w:rsid w:val="007512CD"/>
    <w:rsid w:val="00751480"/>
    <w:rsid w:val="00751718"/>
    <w:rsid w:val="007518C9"/>
    <w:rsid w:val="00751949"/>
    <w:rsid w:val="00751AEC"/>
    <w:rsid w:val="007521EA"/>
    <w:rsid w:val="00752238"/>
    <w:rsid w:val="007527E9"/>
    <w:rsid w:val="00752819"/>
    <w:rsid w:val="00752D01"/>
    <w:rsid w:val="00752D03"/>
    <w:rsid w:val="0075302C"/>
    <w:rsid w:val="00753059"/>
    <w:rsid w:val="0075337C"/>
    <w:rsid w:val="007533AB"/>
    <w:rsid w:val="00753442"/>
    <w:rsid w:val="0075368E"/>
    <w:rsid w:val="00753C07"/>
    <w:rsid w:val="00753CD9"/>
    <w:rsid w:val="00753DBE"/>
    <w:rsid w:val="00753EFA"/>
    <w:rsid w:val="00754044"/>
    <w:rsid w:val="0075404F"/>
    <w:rsid w:val="00754092"/>
    <w:rsid w:val="0075489F"/>
    <w:rsid w:val="007548B5"/>
    <w:rsid w:val="00754944"/>
    <w:rsid w:val="00754B79"/>
    <w:rsid w:val="00754BCE"/>
    <w:rsid w:val="00754EB7"/>
    <w:rsid w:val="00755063"/>
    <w:rsid w:val="00755173"/>
    <w:rsid w:val="0075520E"/>
    <w:rsid w:val="00755403"/>
    <w:rsid w:val="00755646"/>
    <w:rsid w:val="00755EF2"/>
    <w:rsid w:val="00756005"/>
    <w:rsid w:val="00756585"/>
    <w:rsid w:val="00756968"/>
    <w:rsid w:val="007569AF"/>
    <w:rsid w:val="00756C28"/>
    <w:rsid w:val="00756C3A"/>
    <w:rsid w:val="00756D92"/>
    <w:rsid w:val="00756FA7"/>
    <w:rsid w:val="00756FE1"/>
    <w:rsid w:val="00757211"/>
    <w:rsid w:val="007573C4"/>
    <w:rsid w:val="00757922"/>
    <w:rsid w:val="00757C6D"/>
    <w:rsid w:val="00760066"/>
    <w:rsid w:val="007600C3"/>
    <w:rsid w:val="0076015B"/>
    <w:rsid w:val="00760255"/>
    <w:rsid w:val="00760A98"/>
    <w:rsid w:val="00760F4A"/>
    <w:rsid w:val="00760FEF"/>
    <w:rsid w:val="0076119B"/>
    <w:rsid w:val="007615F6"/>
    <w:rsid w:val="00761954"/>
    <w:rsid w:val="0076198C"/>
    <w:rsid w:val="00761C97"/>
    <w:rsid w:val="00761FEF"/>
    <w:rsid w:val="007621AD"/>
    <w:rsid w:val="007621EF"/>
    <w:rsid w:val="00762563"/>
    <w:rsid w:val="0076285A"/>
    <w:rsid w:val="007628FC"/>
    <w:rsid w:val="00762A65"/>
    <w:rsid w:val="00762AF2"/>
    <w:rsid w:val="00763006"/>
    <w:rsid w:val="00763038"/>
    <w:rsid w:val="0076363B"/>
    <w:rsid w:val="0076374D"/>
    <w:rsid w:val="007637CD"/>
    <w:rsid w:val="00763911"/>
    <w:rsid w:val="007639DF"/>
    <w:rsid w:val="00763B7D"/>
    <w:rsid w:val="00764050"/>
    <w:rsid w:val="0076417B"/>
    <w:rsid w:val="0076438B"/>
    <w:rsid w:val="0076449F"/>
    <w:rsid w:val="0076463A"/>
    <w:rsid w:val="00764A86"/>
    <w:rsid w:val="00764B78"/>
    <w:rsid w:val="00764C60"/>
    <w:rsid w:val="00764C7A"/>
    <w:rsid w:val="0076503B"/>
    <w:rsid w:val="00765095"/>
    <w:rsid w:val="00765125"/>
    <w:rsid w:val="007652D4"/>
    <w:rsid w:val="007653A2"/>
    <w:rsid w:val="007653ED"/>
    <w:rsid w:val="0076548A"/>
    <w:rsid w:val="0076558C"/>
    <w:rsid w:val="00765875"/>
    <w:rsid w:val="007658FA"/>
    <w:rsid w:val="00765B4C"/>
    <w:rsid w:val="00765CE0"/>
    <w:rsid w:val="00765D17"/>
    <w:rsid w:val="00765FBC"/>
    <w:rsid w:val="007660E3"/>
    <w:rsid w:val="00766194"/>
    <w:rsid w:val="00766565"/>
    <w:rsid w:val="007665F8"/>
    <w:rsid w:val="00766A06"/>
    <w:rsid w:val="00766A4D"/>
    <w:rsid w:val="00766A74"/>
    <w:rsid w:val="00766CC1"/>
    <w:rsid w:val="00766E04"/>
    <w:rsid w:val="007670F2"/>
    <w:rsid w:val="00767430"/>
    <w:rsid w:val="0076763D"/>
    <w:rsid w:val="007677AD"/>
    <w:rsid w:val="00767983"/>
    <w:rsid w:val="00767CA2"/>
    <w:rsid w:val="00770106"/>
    <w:rsid w:val="007703FD"/>
    <w:rsid w:val="00770B2F"/>
    <w:rsid w:val="00770D63"/>
    <w:rsid w:val="00771024"/>
    <w:rsid w:val="00771087"/>
    <w:rsid w:val="007712A2"/>
    <w:rsid w:val="00771354"/>
    <w:rsid w:val="007713B5"/>
    <w:rsid w:val="00771649"/>
    <w:rsid w:val="0077197B"/>
    <w:rsid w:val="00771AEE"/>
    <w:rsid w:val="00771D53"/>
    <w:rsid w:val="00771E3D"/>
    <w:rsid w:val="007720B5"/>
    <w:rsid w:val="00772B71"/>
    <w:rsid w:val="00772BDA"/>
    <w:rsid w:val="00773326"/>
    <w:rsid w:val="00773380"/>
    <w:rsid w:val="007733C9"/>
    <w:rsid w:val="00773688"/>
    <w:rsid w:val="007736AF"/>
    <w:rsid w:val="00773889"/>
    <w:rsid w:val="00773959"/>
    <w:rsid w:val="00773977"/>
    <w:rsid w:val="00773DAF"/>
    <w:rsid w:val="00773ECF"/>
    <w:rsid w:val="00773FB7"/>
    <w:rsid w:val="00774199"/>
    <w:rsid w:val="0077447B"/>
    <w:rsid w:val="00774482"/>
    <w:rsid w:val="00774708"/>
    <w:rsid w:val="00774883"/>
    <w:rsid w:val="00774ACC"/>
    <w:rsid w:val="00774DA5"/>
    <w:rsid w:val="00774E21"/>
    <w:rsid w:val="00774E9C"/>
    <w:rsid w:val="0077549B"/>
    <w:rsid w:val="00775634"/>
    <w:rsid w:val="007757D2"/>
    <w:rsid w:val="00775A36"/>
    <w:rsid w:val="00775BEC"/>
    <w:rsid w:val="00775D1A"/>
    <w:rsid w:val="007765F2"/>
    <w:rsid w:val="00776933"/>
    <w:rsid w:val="007769C0"/>
    <w:rsid w:val="00776B44"/>
    <w:rsid w:val="0077754A"/>
    <w:rsid w:val="00777785"/>
    <w:rsid w:val="00777A81"/>
    <w:rsid w:val="00777ED7"/>
    <w:rsid w:val="00780017"/>
    <w:rsid w:val="00780065"/>
    <w:rsid w:val="00780373"/>
    <w:rsid w:val="00780485"/>
    <w:rsid w:val="0078062B"/>
    <w:rsid w:val="00780AD6"/>
    <w:rsid w:val="00781029"/>
    <w:rsid w:val="007811D9"/>
    <w:rsid w:val="007812F8"/>
    <w:rsid w:val="00781703"/>
    <w:rsid w:val="00781752"/>
    <w:rsid w:val="00781879"/>
    <w:rsid w:val="00781989"/>
    <w:rsid w:val="00781E0D"/>
    <w:rsid w:val="0078221F"/>
    <w:rsid w:val="0078228F"/>
    <w:rsid w:val="007827FD"/>
    <w:rsid w:val="00782A9B"/>
    <w:rsid w:val="00782B39"/>
    <w:rsid w:val="00782B85"/>
    <w:rsid w:val="00782F83"/>
    <w:rsid w:val="007830FB"/>
    <w:rsid w:val="007832FE"/>
    <w:rsid w:val="007833DA"/>
    <w:rsid w:val="00783C16"/>
    <w:rsid w:val="00783C3D"/>
    <w:rsid w:val="00783C81"/>
    <w:rsid w:val="0078464C"/>
    <w:rsid w:val="00784943"/>
    <w:rsid w:val="00784AA8"/>
    <w:rsid w:val="00784C14"/>
    <w:rsid w:val="00784D37"/>
    <w:rsid w:val="00784EEE"/>
    <w:rsid w:val="00784FFC"/>
    <w:rsid w:val="007852FE"/>
    <w:rsid w:val="0078530B"/>
    <w:rsid w:val="00785451"/>
    <w:rsid w:val="007854B6"/>
    <w:rsid w:val="00785840"/>
    <w:rsid w:val="00785AF2"/>
    <w:rsid w:val="00785B05"/>
    <w:rsid w:val="00785CE7"/>
    <w:rsid w:val="00786A01"/>
    <w:rsid w:val="00786D53"/>
    <w:rsid w:val="00786E58"/>
    <w:rsid w:val="00786F3F"/>
    <w:rsid w:val="0078718F"/>
    <w:rsid w:val="00787374"/>
    <w:rsid w:val="007874C0"/>
    <w:rsid w:val="00787557"/>
    <w:rsid w:val="007877FF"/>
    <w:rsid w:val="00787D99"/>
    <w:rsid w:val="00787F94"/>
    <w:rsid w:val="0079000F"/>
    <w:rsid w:val="007900AD"/>
    <w:rsid w:val="007902F2"/>
    <w:rsid w:val="0079030C"/>
    <w:rsid w:val="007904A2"/>
    <w:rsid w:val="00790586"/>
    <w:rsid w:val="007905FB"/>
    <w:rsid w:val="007906D4"/>
    <w:rsid w:val="007907DE"/>
    <w:rsid w:val="007907EA"/>
    <w:rsid w:val="00790A93"/>
    <w:rsid w:val="00790B43"/>
    <w:rsid w:val="00790BAF"/>
    <w:rsid w:val="007912B2"/>
    <w:rsid w:val="00791904"/>
    <w:rsid w:val="00791B1F"/>
    <w:rsid w:val="00791BEF"/>
    <w:rsid w:val="0079222C"/>
    <w:rsid w:val="00792914"/>
    <w:rsid w:val="00792A7E"/>
    <w:rsid w:val="00792F8D"/>
    <w:rsid w:val="00792F93"/>
    <w:rsid w:val="00792FAB"/>
    <w:rsid w:val="007936E5"/>
    <w:rsid w:val="00793822"/>
    <w:rsid w:val="0079395A"/>
    <w:rsid w:val="00793987"/>
    <w:rsid w:val="00793A7A"/>
    <w:rsid w:val="00793C5F"/>
    <w:rsid w:val="00793D3B"/>
    <w:rsid w:val="00793D5C"/>
    <w:rsid w:val="00793E5D"/>
    <w:rsid w:val="00793EE2"/>
    <w:rsid w:val="007940B1"/>
    <w:rsid w:val="007940C7"/>
    <w:rsid w:val="007945D2"/>
    <w:rsid w:val="00794751"/>
    <w:rsid w:val="00794892"/>
    <w:rsid w:val="00794F52"/>
    <w:rsid w:val="00795048"/>
    <w:rsid w:val="007950BA"/>
    <w:rsid w:val="007951EB"/>
    <w:rsid w:val="007952CC"/>
    <w:rsid w:val="0079564C"/>
    <w:rsid w:val="007957BD"/>
    <w:rsid w:val="00795AD4"/>
    <w:rsid w:val="00795BCB"/>
    <w:rsid w:val="00795F51"/>
    <w:rsid w:val="00795F81"/>
    <w:rsid w:val="007960BD"/>
    <w:rsid w:val="0079610F"/>
    <w:rsid w:val="007961B3"/>
    <w:rsid w:val="00796398"/>
    <w:rsid w:val="0079645E"/>
    <w:rsid w:val="00796926"/>
    <w:rsid w:val="00796B9D"/>
    <w:rsid w:val="00796D14"/>
    <w:rsid w:val="00796FD2"/>
    <w:rsid w:val="0079774E"/>
    <w:rsid w:val="00797837"/>
    <w:rsid w:val="00797883"/>
    <w:rsid w:val="0079797F"/>
    <w:rsid w:val="007979DB"/>
    <w:rsid w:val="00797DAA"/>
    <w:rsid w:val="00797FEA"/>
    <w:rsid w:val="007A0124"/>
    <w:rsid w:val="007A0439"/>
    <w:rsid w:val="007A05FE"/>
    <w:rsid w:val="007A0704"/>
    <w:rsid w:val="007A07A7"/>
    <w:rsid w:val="007A096E"/>
    <w:rsid w:val="007A0BC2"/>
    <w:rsid w:val="007A0D84"/>
    <w:rsid w:val="007A1029"/>
    <w:rsid w:val="007A1714"/>
    <w:rsid w:val="007A17D5"/>
    <w:rsid w:val="007A1A0B"/>
    <w:rsid w:val="007A1CDE"/>
    <w:rsid w:val="007A221B"/>
    <w:rsid w:val="007A2239"/>
    <w:rsid w:val="007A22D2"/>
    <w:rsid w:val="007A249F"/>
    <w:rsid w:val="007A269B"/>
    <w:rsid w:val="007A280E"/>
    <w:rsid w:val="007A281B"/>
    <w:rsid w:val="007A2873"/>
    <w:rsid w:val="007A2A95"/>
    <w:rsid w:val="007A2AE1"/>
    <w:rsid w:val="007A2C37"/>
    <w:rsid w:val="007A2DF5"/>
    <w:rsid w:val="007A310F"/>
    <w:rsid w:val="007A31D2"/>
    <w:rsid w:val="007A3498"/>
    <w:rsid w:val="007A35C8"/>
    <w:rsid w:val="007A36E1"/>
    <w:rsid w:val="007A3724"/>
    <w:rsid w:val="007A3793"/>
    <w:rsid w:val="007A38FB"/>
    <w:rsid w:val="007A3AF0"/>
    <w:rsid w:val="007A4028"/>
    <w:rsid w:val="007A41B4"/>
    <w:rsid w:val="007A4272"/>
    <w:rsid w:val="007A4BC7"/>
    <w:rsid w:val="007A4F7C"/>
    <w:rsid w:val="007A52C5"/>
    <w:rsid w:val="007A5341"/>
    <w:rsid w:val="007A55A4"/>
    <w:rsid w:val="007A590A"/>
    <w:rsid w:val="007A59C6"/>
    <w:rsid w:val="007A5D05"/>
    <w:rsid w:val="007A5EE5"/>
    <w:rsid w:val="007A605F"/>
    <w:rsid w:val="007A611F"/>
    <w:rsid w:val="007A6148"/>
    <w:rsid w:val="007A62AB"/>
    <w:rsid w:val="007A68B5"/>
    <w:rsid w:val="007A69A5"/>
    <w:rsid w:val="007A6A94"/>
    <w:rsid w:val="007A6AD8"/>
    <w:rsid w:val="007A6CC0"/>
    <w:rsid w:val="007A6CCF"/>
    <w:rsid w:val="007A7267"/>
    <w:rsid w:val="007A79CD"/>
    <w:rsid w:val="007A79F7"/>
    <w:rsid w:val="007A7A73"/>
    <w:rsid w:val="007A7C42"/>
    <w:rsid w:val="007A7C68"/>
    <w:rsid w:val="007A7CBF"/>
    <w:rsid w:val="007A7EB2"/>
    <w:rsid w:val="007A7FB4"/>
    <w:rsid w:val="007B00ED"/>
    <w:rsid w:val="007B07D9"/>
    <w:rsid w:val="007B0810"/>
    <w:rsid w:val="007B0D52"/>
    <w:rsid w:val="007B0E6D"/>
    <w:rsid w:val="007B10D1"/>
    <w:rsid w:val="007B11B1"/>
    <w:rsid w:val="007B124A"/>
    <w:rsid w:val="007B1376"/>
    <w:rsid w:val="007B1B33"/>
    <w:rsid w:val="007B1B5D"/>
    <w:rsid w:val="007B1FC7"/>
    <w:rsid w:val="007B2013"/>
    <w:rsid w:val="007B20DD"/>
    <w:rsid w:val="007B21E1"/>
    <w:rsid w:val="007B232D"/>
    <w:rsid w:val="007B24E1"/>
    <w:rsid w:val="007B29EC"/>
    <w:rsid w:val="007B2A36"/>
    <w:rsid w:val="007B2C79"/>
    <w:rsid w:val="007B2D1B"/>
    <w:rsid w:val="007B301D"/>
    <w:rsid w:val="007B33C1"/>
    <w:rsid w:val="007B33D5"/>
    <w:rsid w:val="007B343F"/>
    <w:rsid w:val="007B3D44"/>
    <w:rsid w:val="007B3E56"/>
    <w:rsid w:val="007B40D2"/>
    <w:rsid w:val="007B417C"/>
    <w:rsid w:val="007B42D8"/>
    <w:rsid w:val="007B4EDD"/>
    <w:rsid w:val="007B52DD"/>
    <w:rsid w:val="007B58CC"/>
    <w:rsid w:val="007B595E"/>
    <w:rsid w:val="007B5E6E"/>
    <w:rsid w:val="007B61D6"/>
    <w:rsid w:val="007B63E5"/>
    <w:rsid w:val="007B63E7"/>
    <w:rsid w:val="007B6A60"/>
    <w:rsid w:val="007B6A75"/>
    <w:rsid w:val="007B700B"/>
    <w:rsid w:val="007B75B6"/>
    <w:rsid w:val="007B7B4C"/>
    <w:rsid w:val="007B7DB8"/>
    <w:rsid w:val="007B7EF3"/>
    <w:rsid w:val="007C02D3"/>
    <w:rsid w:val="007C045C"/>
    <w:rsid w:val="007C061B"/>
    <w:rsid w:val="007C07D4"/>
    <w:rsid w:val="007C0950"/>
    <w:rsid w:val="007C0962"/>
    <w:rsid w:val="007C0A29"/>
    <w:rsid w:val="007C0C8C"/>
    <w:rsid w:val="007C1353"/>
    <w:rsid w:val="007C14EC"/>
    <w:rsid w:val="007C16AA"/>
    <w:rsid w:val="007C185C"/>
    <w:rsid w:val="007C1ACE"/>
    <w:rsid w:val="007C1C40"/>
    <w:rsid w:val="007C20B0"/>
    <w:rsid w:val="007C27C7"/>
    <w:rsid w:val="007C27FB"/>
    <w:rsid w:val="007C290F"/>
    <w:rsid w:val="007C2C96"/>
    <w:rsid w:val="007C2E46"/>
    <w:rsid w:val="007C3280"/>
    <w:rsid w:val="007C329B"/>
    <w:rsid w:val="007C39D2"/>
    <w:rsid w:val="007C3DF9"/>
    <w:rsid w:val="007C3EF2"/>
    <w:rsid w:val="007C4103"/>
    <w:rsid w:val="007C4300"/>
    <w:rsid w:val="007C450C"/>
    <w:rsid w:val="007C451F"/>
    <w:rsid w:val="007C47DB"/>
    <w:rsid w:val="007C4C9F"/>
    <w:rsid w:val="007C4D4B"/>
    <w:rsid w:val="007C50C3"/>
    <w:rsid w:val="007C5292"/>
    <w:rsid w:val="007C55CB"/>
    <w:rsid w:val="007C59BD"/>
    <w:rsid w:val="007C5BEB"/>
    <w:rsid w:val="007C5EB4"/>
    <w:rsid w:val="007C5F7F"/>
    <w:rsid w:val="007C5FDF"/>
    <w:rsid w:val="007C6940"/>
    <w:rsid w:val="007C6998"/>
    <w:rsid w:val="007C6B42"/>
    <w:rsid w:val="007C708F"/>
    <w:rsid w:val="007C7298"/>
    <w:rsid w:val="007C72C0"/>
    <w:rsid w:val="007C732B"/>
    <w:rsid w:val="007C7BF7"/>
    <w:rsid w:val="007C7E47"/>
    <w:rsid w:val="007D00EE"/>
    <w:rsid w:val="007D010C"/>
    <w:rsid w:val="007D0428"/>
    <w:rsid w:val="007D05C3"/>
    <w:rsid w:val="007D0612"/>
    <w:rsid w:val="007D0970"/>
    <w:rsid w:val="007D0B70"/>
    <w:rsid w:val="007D0C39"/>
    <w:rsid w:val="007D1196"/>
    <w:rsid w:val="007D1258"/>
    <w:rsid w:val="007D1511"/>
    <w:rsid w:val="007D1554"/>
    <w:rsid w:val="007D17A5"/>
    <w:rsid w:val="007D17CF"/>
    <w:rsid w:val="007D1847"/>
    <w:rsid w:val="007D1AC9"/>
    <w:rsid w:val="007D1B12"/>
    <w:rsid w:val="007D1B7F"/>
    <w:rsid w:val="007D1B9C"/>
    <w:rsid w:val="007D206A"/>
    <w:rsid w:val="007D20D6"/>
    <w:rsid w:val="007D21BF"/>
    <w:rsid w:val="007D21D7"/>
    <w:rsid w:val="007D234B"/>
    <w:rsid w:val="007D25C2"/>
    <w:rsid w:val="007D274E"/>
    <w:rsid w:val="007D2BF6"/>
    <w:rsid w:val="007D2C0D"/>
    <w:rsid w:val="007D2D55"/>
    <w:rsid w:val="007D2EDD"/>
    <w:rsid w:val="007D2F90"/>
    <w:rsid w:val="007D3361"/>
    <w:rsid w:val="007D3612"/>
    <w:rsid w:val="007D3B46"/>
    <w:rsid w:val="007D3F87"/>
    <w:rsid w:val="007D441A"/>
    <w:rsid w:val="007D443B"/>
    <w:rsid w:val="007D44E3"/>
    <w:rsid w:val="007D45B2"/>
    <w:rsid w:val="007D49A3"/>
    <w:rsid w:val="007D4B47"/>
    <w:rsid w:val="007D4D19"/>
    <w:rsid w:val="007D4D32"/>
    <w:rsid w:val="007D5017"/>
    <w:rsid w:val="007D5029"/>
    <w:rsid w:val="007D5136"/>
    <w:rsid w:val="007D5331"/>
    <w:rsid w:val="007D5475"/>
    <w:rsid w:val="007D54AC"/>
    <w:rsid w:val="007D5949"/>
    <w:rsid w:val="007D5B41"/>
    <w:rsid w:val="007D5C5B"/>
    <w:rsid w:val="007D6239"/>
    <w:rsid w:val="007D6360"/>
    <w:rsid w:val="007D6387"/>
    <w:rsid w:val="007D63AB"/>
    <w:rsid w:val="007D6550"/>
    <w:rsid w:val="007D661C"/>
    <w:rsid w:val="007D671F"/>
    <w:rsid w:val="007D6BB3"/>
    <w:rsid w:val="007D6DDA"/>
    <w:rsid w:val="007D71CB"/>
    <w:rsid w:val="007D7510"/>
    <w:rsid w:val="007D76AD"/>
    <w:rsid w:val="007D7BDB"/>
    <w:rsid w:val="007D7CB4"/>
    <w:rsid w:val="007D7D54"/>
    <w:rsid w:val="007D7E35"/>
    <w:rsid w:val="007E0051"/>
    <w:rsid w:val="007E00EA"/>
    <w:rsid w:val="007E081C"/>
    <w:rsid w:val="007E0870"/>
    <w:rsid w:val="007E0C4E"/>
    <w:rsid w:val="007E0F03"/>
    <w:rsid w:val="007E0F58"/>
    <w:rsid w:val="007E0F6C"/>
    <w:rsid w:val="007E0FA3"/>
    <w:rsid w:val="007E14A6"/>
    <w:rsid w:val="007E14A8"/>
    <w:rsid w:val="007E14C9"/>
    <w:rsid w:val="007E160E"/>
    <w:rsid w:val="007E1A0F"/>
    <w:rsid w:val="007E1A89"/>
    <w:rsid w:val="007E1DCA"/>
    <w:rsid w:val="007E1E2C"/>
    <w:rsid w:val="007E2060"/>
    <w:rsid w:val="007E2250"/>
    <w:rsid w:val="007E2564"/>
    <w:rsid w:val="007E264E"/>
    <w:rsid w:val="007E284F"/>
    <w:rsid w:val="007E291F"/>
    <w:rsid w:val="007E2A41"/>
    <w:rsid w:val="007E2B3E"/>
    <w:rsid w:val="007E2BB4"/>
    <w:rsid w:val="007E3322"/>
    <w:rsid w:val="007E34C3"/>
    <w:rsid w:val="007E3921"/>
    <w:rsid w:val="007E3AAD"/>
    <w:rsid w:val="007E3C32"/>
    <w:rsid w:val="007E3CE7"/>
    <w:rsid w:val="007E3E2B"/>
    <w:rsid w:val="007E4069"/>
    <w:rsid w:val="007E41D7"/>
    <w:rsid w:val="007E44BE"/>
    <w:rsid w:val="007E4749"/>
    <w:rsid w:val="007E47DC"/>
    <w:rsid w:val="007E48BF"/>
    <w:rsid w:val="007E49C4"/>
    <w:rsid w:val="007E49F7"/>
    <w:rsid w:val="007E4CE8"/>
    <w:rsid w:val="007E4CEA"/>
    <w:rsid w:val="007E4E8D"/>
    <w:rsid w:val="007E5056"/>
    <w:rsid w:val="007E515A"/>
    <w:rsid w:val="007E51AE"/>
    <w:rsid w:val="007E5254"/>
    <w:rsid w:val="007E53C6"/>
    <w:rsid w:val="007E5694"/>
    <w:rsid w:val="007E574A"/>
    <w:rsid w:val="007E5828"/>
    <w:rsid w:val="007E5A35"/>
    <w:rsid w:val="007E5E04"/>
    <w:rsid w:val="007E5EA8"/>
    <w:rsid w:val="007E5F83"/>
    <w:rsid w:val="007E6178"/>
    <w:rsid w:val="007E67FE"/>
    <w:rsid w:val="007E6823"/>
    <w:rsid w:val="007E690E"/>
    <w:rsid w:val="007E6B8D"/>
    <w:rsid w:val="007E6D68"/>
    <w:rsid w:val="007E7382"/>
    <w:rsid w:val="007E7426"/>
    <w:rsid w:val="007E74D2"/>
    <w:rsid w:val="007E7542"/>
    <w:rsid w:val="007E7629"/>
    <w:rsid w:val="007E7D8D"/>
    <w:rsid w:val="007E7E33"/>
    <w:rsid w:val="007E7F90"/>
    <w:rsid w:val="007F0180"/>
    <w:rsid w:val="007F0629"/>
    <w:rsid w:val="007F0644"/>
    <w:rsid w:val="007F0E23"/>
    <w:rsid w:val="007F0FEB"/>
    <w:rsid w:val="007F1540"/>
    <w:rsid w:val="007F1714"/>
    <w:rsid w:val="007F1739"/>
    <w:rsid w:val="007F1BA1"/>
    <w:rsid w:val="007F1BE3"/>
    <w:rsid w:val="007F1E2C"/>
    <w:rsid w:val="007F1F35"/>
    <w:rsid w:val="007F23FA"/>
    <w:rsid w:val="007F29FB"/>
    <w:rsid w:val="007F30AE"/>
    <w:rsid w:val="007F3250"/>
    <w:rsid w:val="007F3C10"/>
    <w:rsid w:val="007F3D8A"/>
    <w:rsid w:val="007F3F18"/>
    <w:rsid w:val="007F3FF8"/>
    <w:rsid w:val="007F4075"/>
    <w:rsid w:val="007F41BD"/>
    <w:rsid w:val="007F44E8"/>
    <w:rsid w:val="007F46B8"/>
    <w:rsid w:val="007F485D"/>
    <w:rsid w:val="007F4A7F"/>
    <w:rsid w:val="007F5122"/>
    <w:rsid w:val="007F526A"/>
    <w:rsid w:val="007F563C"/>
    <w:rsid w:val="007F56C7"/>
    <w:rsid w:val="007F56E1"/>
    <w:rsid w:val="007F5D6E"/>
    <w:rsid w:val="007F5EEA"/>
    <w:rsid w:val="007F5F8E"/>
    <w:rsid w:val="007F60AA"/>
    <w:rsid w:val="007F6251"/>
    <w:rsid w:val="007F639B"/>
    <w:rsid w:val="007F697C"/>
    <w:rsid w:val="007F6A11"/>
    <w:rsid w:val="007F6D1F"/>
    <w:rsid w:val="007F714F"/>
    <w:rsid w:val="007F758D"/>
    <w:rsid w:val="007F78D2"/>
    <w:rsid w:val="007F79D9"/>
    <w:rsid w:val="007F7AD7"/>
    <w:rsid w:val="007F7B3F"/>
    <w:rsid w:val="007F7B62"/>
    <w:rsid w:val="0080002A"/>
    <w:rsid w:val="0080023B"/>
    <w:rsid w:val="008003BA"/>
    <w:rsid w:val="008007F4"/>
    <w:rsid w:val="008008C6"/>
    <w:rsid w:val="0080091B"/>
    <w:rsid w:val="00800D18"/>
    <w:rsid w:val="00800EEA"/>
    <w:rsid w:val="0080107C"/>
    <w:rsid w:val="00801714"/>
    <w:rsid w:val="00801781"/>
    <w:rsid w:val="008017A1"/>
    <w:rsid w:val="00801827"/>
    <w:rsid w:val="008018DF"/>
    <w:rsid w:val="00801E19"/>
    <w:rsid w:val="00801E29"/>
    <w:rsid w:val="00801F58"/>
    <w:rsid w:val="00801FBB"/>
    <w:rsid w:val="00802328"/>
    <w:rsid w:val="008024A4"/>
    <w:rsid w:val="00802695"/>
    <w:rsid w:val="00802C56"/>
    <w:rsid w:val="00802D43"/>
    <w:rsid w:val="00802F1B"/>
    <w:rsid w:val="008032D3"/>
    <w:rsid w:val="00803490"/>
    <w:rsid w:val="008034D2"/>
    <w:rsid w:val="00803704"/>
    <w:rsid w:val="00803837"/>
    <w:rsid w:val="00803BF1"/>
    <w:rsid w:val="00803FAA"/>
    <w:rsid w:val="008041A0"/>
    <w:rsid w:val="008047AA"/>
    <w:rsid w:val="00804AE4"/>
    <w:rsid w:val="00805B01"/>
    <w:rsid w:val="00805F05"/>
    <w:rsid w:val="00805F41"/>
    <w:rsid w:val="0080605A"/>
    <w:rsid w:val="008062B0"/>
    <w:rsid w:val="008065B5"/>
    <w:rsid w:val="00806D44"/>
    <w:rsid w:val="00807227"/>
    <w:rsid w:val="00807243"/>
    <w:rsid w:val="008075B3"/>
    <w:rsid w:val="008075BF"/>
    <w:rsid w:val="0080798A"/>
    <w:rsid w:val="00807A12"/>
    <w:rsid w:val="00807AC4"/>
    <w:rsid w:val="00807C1B"/>
    <w:rsid w:val="00807D6A"/>
    <w:rsid w:val="00807E52"/>
    <w:rsid w:val="0081039D"/>
    <w:rsid w:val="008103D3"/>
    <w:rsid w:val="00810804"/>
    <w:rsid w:val="0081081D"/>
    <w:rsid w:val="00810856"/>
    <w:rsid w:val="00810C59"/>
    <w:rsid w:val="00810CE6"/>
    <w:rsid w:val="00810ED1"/>
    <w:rsid w:val="00811075"/>
    <w:rsid w:val="00811086"/>
    <w:rsid w:val="008110A0"/>
    <w:rsid w:val="00811298"/>
    <w:rsid w:val="008116CD"/>
    <w:rsid w:val="00811C14"/>
    <w:rsid w:val="00811D35"/>
    <w:rsid w:val="00811F37"/>
    <w:rsid w:val="008122E7"/>
    <w:rsid w:val="0081257F"/>
    <w:rsid w:val="00812AF4"/>
    <w:rsid w:val="00812BBA"/>
    <w:rsid w:val="00812EC0"/>
    <w:rsid w:val="00813141"/>
    <w:rsid w:val="00813167"/>
    <w:rsid w:val="008131A8"/>
    <w:rsid w:val="008133B8"/>
    <w:rsid w:val="008136D7"/>
    <w:rsid w:val="008139A8"/>
    <w:rsid w:val="00814242"/>
    <w:rsid w:val="00814334"/>
    <w:rsid w:val="0081442B"/>
    <w:rsid w:val="0081488E"/>
    <w:rsid w:val="008148B0"/>
    <w:rsid w:val="00814973"/>
    <w:rsid w:val="00814990"/>
    <w:rsid w:val="00814ACB"/>
    <w:rsid w:val="00814B7A"/>
    <w:rsid w:val="00814C31"/>
    <w:rsid w:val="00814F98"/>
    <w:rsid w:val="008151B2"/>
    <w:rsid w:val="008152CC"/>
    <w:rsid w:val="00815617"/>
    <w:rsid w:val="00815C89"/>
    <w:rsid w:val="00815D92"/>
    <w:rsid w:val="00816228"/>
    <w:rsid w:val="00816349"/>
    <w:rsid w:val="0081689B"/>
    <w:rsid w:val="008168F3"/>
    <w:rsid w:val="00816C49"/>
    <w:rsid w:val="00816CB5"/>
    <w:rsid w:val="00816D91"/>
    <w:rsid w:val="00816E9A"/>
    <w:rsid w:val="0081739A"/>
    <w:rsid w:val="008174EF"/>
    <w:rsid w:val="008175A1"/>
    <w:rsid w:val="008178A5"/>
    <w:rsid w:val="00817929"/>
    <w:rsid w:val="00817A09"/>
    <w:rsid w:val="00817BD0"/>
    <w:rsid w:val="00817D03"/>
    <w:rsid w:val="0082008C"/>
    <w:rsid w:val="008200F5"/>
    <w:rsid w:val="008202BE"/>
    <w:rsid w:val="0082032A"/>
    <w:rsid w:val="00820398"/>
    <w:rsid w:val="008204A9"/>
    <w:rsid w:val="0082050B"/>
    <w:rsid w:val="00820538"/>
    <w:rsid w:val="00820628"/>
    <w:rsid w:val="00820FC7"/>
    <w:rsid w:val="00821096"/>
    <w:rsid w:val="008210BE"/>
    <w:rsid w:val="0082156D"/>
    <w:rsid w:val="0082171E"/>
    <w:rsid w:val="008218E9"/>
    <w:rsid w:val="008219E2"/>
    <w:rsid w:val="00821ABA"/>
    <w:rsid w:val="008222A8"/>
    <w:rsid w:val="008222F9"/>
    <w:rsid w:val="008224B2"/>
    <w:rsid w:val="0082261E"/>
    <w:rsid w:val="0082268C"/>
    <w:rsid w:val="00822723"/>
    <w:rsid w:val="008227C0"/>
    <w:rsid w:val="00822F27"/>
    <w:rsid w:val="00822F88"/>
    <w:rsid w:val="008230B0"/>
    <w:rsid w:val="008235C0"/>
    <w:rsid w:val="008235C9"/>
    <w:rsid w:val="00823CA5"/>
    <w:rsid w:val="00823D03"/>
    <w:rsid w:val="00823E9D"/>
    <w:rsid w:val="008241FA"/>
    <w:rsid w:val="00824273"/>
    <w:rsid w:val="0082465B"/>
    <w:rsid w:val="008251AA"/>
    <w:rsid w:val="00825591"/>
    <w:rsid w:val="0082585E"/>
    <w:rsid w:val="00825CFD"/>
    <w:rsid w:val="00825DF8"/>
    <w:rsid w:val="00826113"/>
    <w:rsid w:val="00826214"/>
    <w:rsid w:val="00826410"/>
    <w:rsid w:val="008265D7"/>
    <w:rsid w:val="008266BD"/>
    <w:rsid w:val="008266F8"/>
    <w:rsid w:val="00826AC5"/>
    <w:rsid w:val="00826E42"/>
    <w:rsid w:val="0082700F"/>
    <w:rsid w:val="008271DC"/>
    <w:rsid w:val="0082745B"/>
    <w:rsid w:val="00827863"/>
    <w:rsid w:val="0082788A"/>
    <w:rsid w:val="008278CB"/>
    <w:rsid w:val="00827B76"/>
    <w:rsid w:val="00827F75"/>
    <w:rsid w:val="00827F83"/>
    <w:rsid w:val="0083012A"/>
    <w:rsid w:val="008305CA"/>
    <w:rsid w:val="008306EB"/>
    <w:rsid w:val="008307CF"/>
    <w:rsid w:val="00830876"/>
    <w:rsid w:val="0083087F"/>
    <w:rsid w:val="0083092F"/>
    <w:rsid w:val="00830CD9"/>
    <w:rsid w:val="00830D28"/>
    <w:rsid w:val="00830D49"/>
    <w:rsid w:val="00830D72"/>
    <w:rsid w:val="00830FBE"/>
    <w:rsid w:val="00830FEA"/>
    <w:rsid w:val="008316B3"/>
    <w:rsid w:val="008316CB"/>
    <w:rsid w:val="008319F6"/>
    <w:rsid w:val="00831FA4"/>
    <w:rsid w:val="00831FE3"/>
    <w:rsid w:val="0083214D"/>
    <w:rsid w:val="0083223D"/>
    <w:rsid w:val="00832348"/>
    <w:rsid w:val="008323E3"/>
    <w:rsid w:val="0083246B"/>
    <w:rsid w:val="00832799"/>
    <w:rsid w:val="008329B3"/>
    <w:rsid w:val="0083302A"/>
    <w:rsid w:val="0083303E"/>
    <w:rsid w:val="008330CC"/>
    <w:rsid w:val="0083320D"/>
    <w:rsid w:val="0083326D"/>
    <w:rsid w:val="008334A2"/>
    <w:rsid w:val="008334AE"/>
    <w:rsid w:val="008338EC"/>
    <w:rsid w:val="00833A09"/>
    <w:rsid w:val="00833BDA"/>
    <w:rsid w:val="00833BE4"/>
    <w:rsid w:val="00833CD5"/>
    <w:rsid w:val="00833DF8"/>
    <w:rsid w:val="00834121"/>
    <w:rsid w:val="008342E5"/>
    <w:rsid w:val="008343F4"/>
    <w:rsid w:val="00834699"/>
    <w:rsid w:val="008348F8"/>
    <w:rsid w:val="00834EBD"/>
    <w:rsid w:val="0083521A"/>
    <w:rsid w:val="00835747"/>
    <w:rsid w:val="00835796"/>
    <w:rsid w:val="008359F5"/>
    <w:rsid w:val="00835DFF"/>
    <w:rsid w:val="00835E08"/>
    <w:rsid w:val="00835FF6"/>
    <w:rsid w:val="008360B8"/>
    <w:rsid w:val="008360C0"/>
    <w:rsid w:val="008366A4"/>
    <w:rsid w:val="008369D0"/>
    <w:rsid w:val="00836AF2"/>
    <w:rsid w:val="00836B0B"/>
    <w:rsid w:val="008370BE"/>
    <w:rsid w:val="008370F7"/>
    <w:rsid w:val="008372AA"/>
    <w:rsid w:val="008374DD"/>
    <w:rsid w:val="008375F0"/>
    <w:rsid w:val="0083766C"/>
    <w:rsid w:val="00837960"/>
    <w:rsid w:val="00837ABB"/>
    <w:rsid w:val="00837C72"/>
    <w:rsid w:val="00837F2B"/>
    <w:rsid w:val="00840075"/>
    <w:rsid w:val="00840376"/>
    <w:rsid w:val="008403B7"/>
    <w:rsid w:val="00840534"/>
    <w:rsid w:val="00840683"/>
    <w:rsid w:val="00840C78"/>
    <w:rsid w:val="00840ED7"/>
    <w:rsid w:val="008414B5"/>
    <w:rsid w:val="00841A29"/>
    <w:rsid w:val="00841A72"/>
    <w:rsid w:val="00841AFC"/>
    <w:rsid w:val="00841DC2"/>
    <w:rsid w:val="00841F61"/>
    <w:rsid w:val="00842168"/>
    <w:rsid w:val="008423D5"/>
    <w:rsid w:val="0084242F"/>
    <w:rsid w:val="00842652"/>
    <w:rsid w:val="008426C0"/>
    <w:rsid w:val="00842C9F"/>
    <w:rsid w:val="00842F94"/>
    <w:rsid w:val="00843227"/>
    <w:rsid w:val="00843623"/>
    <w:rsid w:val="00843D20"/>
    <w:rsid w:val="00843D4C"/>
    <w:rsid w:val="00843F85"/>
    <w:rsid w:val="008440F8"/>
    <w:rsid w:val="00844122"/>
    <w:rsid w:val="00844481"/>
    <w:rsid w:val="00844522"/>
    <w:rsid w:val="00844D53"/>
    <w:rsid w:val="00844E76"/>
    <w:rsid w:val="00844FAF"/>
    <w:rsid w:val="00845021"/>
    <w:rsid w:val="0084506D"/>
    <w:rsid w:val="0084531E"/>
    <w:rsid w:val="00845666"/>
    <w:rsid w:val="00845744"/>
    <w:rsid w:val="00845ADB"/>
    <w:rsid w:val="00845D44"/>
    <w:rsid w:val="00845F2E"/>
    <w:rsid w:val="0084607A"/>
    <w:rsid w:val="008460D9"/>
    <w:rsid w:val="0084612C"/>
    <w:rsid w:val="008461FE"/>
    <w:rsid w:val="0084681C"/>
    <w:rsid w:val="00846D2A"/>
    <w:rsid w:val="00846EB3"/>
    <w:rsid w:val="0084719D"/>
    <w:rsid w:val="008476DD"/>
    <w:rsid w:val="00847C79"/>
    <w:rsid w:val="00850105"/>
    <w:rsid w:val="0085023E"/>
    <w:rsid w:val="0085024F"/>
    <w:rsid w:val="008504DA"/>
    <w:rsid w:val="0085056E"/>
    <w:rsid w:val="008505F6"/>
    <w:rsid w:val="00850765"/>
    <w:rsid w:val="00850B49"/>
    <w:rsid w:val="00850C43"/>
    <w:rsid w:val="008512D1"/>
    <w:rsid w:val="008512EF"/>
    <w:rsid w:val="00851778"/>
    <w:rsid w:val="00851887"/>
    <w:rsid w:val="00851D6D"/>
    <w:rsid w:val="0085200C"/>
    <w:rsid w:val="00852238"/>
    <w:rsid w:val="008523C8"/>
    <w:rsid w:val="00852467"/>
    <w:rsid w:val="00852870"/>
    <w:rsid w:val="008529F8"/>
    <w:rsid w:val="00852A5D"/>
    <w:rsid w:val="00852F64"/>
    <w:rsid w:val="00852F78"/>
    <w:rsid w:val="00853039"/>
    <w:rsid w:val="008530DF"/>
    <w:rsid w:val="00853163"/>
    <w:rsid w:val="00853300"/>
    <w:rsid w:val="00853328"/>
    <w:rsid w:val="00853389"/>
    <w:rsid w:val="00853429"/>
    <w:rsid w:val="00853430"/>
    <w:rsid w:val="0085360B"/>
    <w:rsid w:val="0085374F"/>
    <w:rsid w:val="0085386C"/>
    <w:rsid w:val="00853927"/>
    <w:rsid w:val="00853998"/>
    <w:rsid w:val="00853B27"/>
    <w:rsid w:val="00854081"/>
    <w:rsid w:val="00854331"/>
    <w:rsid w:val="008547D7"/>
    <w:rsid w:val="008547F6"/>
    <w:rsid w:val="00854923"/>
    <w:rsid w:val="00854A7D"/>
    <w:rsid w:val="00854AEE"/>
    <w:rsid w:val="00854AF1"/>
    <w:rsid w:val="00854C01"/>
    <w:rsid w:val="0085517E"/>
    <w:rsid w:val="008551A6"/>
    <w:rsid w:val="00855B20"/>
    <w:rsid w:val="00855E19"/>
    <w:rsid w:val="00855F64"/>
    <w:rsid w:val="00856140"/>
    <w:rsid w:val="00856516"/>
    <w:rsid w:val="008565EA"/>
    <w:rsid w:val="008568BD"/>
    <w:rsid w:val="00856BA2"/>
    <w:rsid w:val="00856BA5"/>
    <w:rsid w:val="00856CE1"/>
    <w:rsid w:val="00856CE7"/>
    <w:rsid w:val="00857149"/>
    <w:rsid w:val="00857443"/>
    <w:rsid w:val="008575C7"/>
    <w:rsid w:val="0085785E"/>
    <w:rsid w:val="00857ACB"/>
    <w:rsid w:val="00857B2B"/>
    <w:rsid w:val="00857C55"/>
    <w:rsid w:val="00857D08"/>
    <w:rsid w:val="00857E1E"/>
    <w:rsid w:val="008600CB"/>
    <w:rsid w:val="008605A9"/>
    <w:rsid w:val="00860886"/>
    <w:rsid w:val="00860DA5"/>
    <w:rsid w:val="0086129F"/>
    <w:rsid w:val="008613F1"/>
    <w:rsid w:val="0086159A"/>
    <w:rsid w:val="00861736"/>
    <w:rsid w:val="00861807"/>
    <w:rsid w:val="00861C30"/>
    <w:rsid w:val="00861F10"/>
    <w:rsid w:val="00862174"/>
    <w:rsid w:val="00862280"/>
    <w:rsid w:val="0086254A"/>
    <w:rsid w:val="0086282E"/>
    <w:rsid w:val="00862833"/>
    <w:rsid w:val="00862F48"/>
    <w:rsid w:val="00862F9A"/>
    <w:rsid w:val="00863052"/>
    <w:rsid w:val="008632D7"/>
    <w:rsid w:val="00863A9E"/>
    <w:rsid w:val="00863BA0"/>
    <w:rsid w:val="00863BDD"/>
    <w:rsid w:val="00863CE9"/>
    <w:rsid w:val="00863D9C"/>
    <w:rsid w:val="00863E2D"/>
    <w:rsid w:val="00864391"/>
    <w:rsid w:val="008646E2"/>
    <w:rsid w:val="00864918"/>
    <w:rsid w:val="00864936"/>
    <w:rsid w:val="0086517D"/>
    <w:rsid w:val="0086519F"/>
    <w:rsid w:val="008652F1"/>
    <w:rsid w:val="008654D2"/>
    <w:rsid w:val="008655B8"/>
    <w:rsid w:val="00865648"/>
    <w:rsid w:val="00865685"/>
    <w:rsid w:val="00865838"/>
    <w:rsid w:val="00865A6A"/>
    <w:rsid w:val="00865CBB"/>
    <w:rsid w:val="00865CED"/>
    <w:rsid w:val="00866200"/>
    <w:rsid w:val="00866375"/>
    <w:rsid w:val="00866B2A"/>
    <w:rsid w:val="00866D5B"/>
    <w:rsid w:val="0086726A"/>
    <w:rsid w:val="00867642"/>
    <w:rsid w:val="008678BE"/>
    <w:rsid w:val="00867B4D"/>
    <w:rsid w:val="00867BAF"/>
    <w:rsid w:val="00867EF4"/>
    <w:rsid w:val="00867F7E"/>
    <w:rsid w:val="00867FF6"/>
    <w:rsid w:val="00870203"/>
    <w:rsid w:val="00870310"/>
    <w:rsid w:val="00870402"/>
    <w:rsid w:val="00870D1C"/>
    <w:rsid w:val="00870D52"/>
    <w:rsid w:val="00870DCC"/>
    <w:rsid w:val="00870F19"/>
    <w:rsid w:val="00871071"/>
    <w:rsid w:val="00871544"/>
    <w:rsid w:val="00871577"/>
    <w:rsid w:val="0087158E"/>
    <w:rsid w:val="00871ADC"/>
    <w:rsid w:val="00871AE4"/>
    <w:rsid w:val="00871BF1"/>
    <w:rsid w:val="00871CB7"/>
    <w:rsid w:val="00871E8A"/>
    <w:rsid w:val="00872208"/>
    <w:rsid w:val="00872418"/>
    <w:rsid w:val="00872575"/>
    <w:rsid w:val="008726AF"/>
    <w:rsid w:val="008726B1"/>
    <w:rsid w:val="00872884"/>
    <w:rsid w:val="00872D07"/>
    <w:rsid w:val="00872DBF"/>
    <w:rsid w:val="00872F39"/>
    <w:rsid w:val="00872FE0"/>
    <w:rsid w:val="008733FA"/>
    <w:rsid w:val="0087361F"/>
    <w:rsid w:val="00873664"/>
    <w:rsid w:val="008737F9"/>
    <w:rsid w:val="00873A95"/>
    <w:rsid w:val="00873CCB"/>
    <w:rsid w:val="00873D59"/>
    <w:rsid w:val="00873E4B"/>
    <w:rsid w:val="0087409C"/>
    <w:rsid w:val="008740A8"/>
    <w:rsid w:val="00874197"/>
    <w:rsid w:val="00874198"/>
    <w:rsid w:val="0087452A"/>
    <w:rsid w:val="008745A8"/>
    <w:rsid w:val="00874AC8"/>
    <w:rsid w:val="00874B0A"/>
    <w:rsid w:val="00874DED"/>
    <w:rsid w:val="00874F4C"/>
    <w:rsid w:val="00874FA0"/>
    <w:rsid w:val="00875576"/>
    <w:rsid w:val="00875701"/>
    <w:rsid w:val="00875974"/>
    <w:rsid w:val="00875D1B"/>
    <w:rsid w:val="00876600"/>
    <w:rsid w:val="008767B7"/>
    <w:rsid w:val="00876B01"/>
    <w:rsid w:val="00876EC4"/>
    <w:rsid w:val="00877039"/>
    <w:rsid w:val="00877136"/>
    <w:rsid w:val="00877166"/>
    <w:rsid w:val="008772F9"/>
    <w:rsid w:val="008775ED"/>
    <w:rsid w:val="00877B48"/>
    <w:rsid w:val="00877C61"/>
    <w:rsid w:val="00877DC3"/>
    <w:rsid w:val="00877F4F"/>
    <w:rsid w:val="0088091F"/>
    <w:rsid w:val="00880A8E"/>
    <w:rsid w:val="00880AB4"/>
    <w:rsid w:val="00880F5C"/>
    <w:rsid w:val="00881095"/>
    <w:rsid w:val="0088136D"/>
    <w:rsid w:val="008815E7"/>
    <w:rsid w:val="00881638"/>
    <w:rsid w:val="008816C9"/>
    <w:rsid w:val="00881752"/>
    <w:rsid w:val="0088180D"/>
    <w:rsid w:val="00881947"/>
    <w:rsid w:val="00881AF2"/>
    <w:rsid w:val="00881BEE"/>
    <w:rsid w:val="00881BF3"/>
    <w:rsid w:val="00881CB8"/>
    <w:rsid w:val="00881CE4"/>
    <w:rsid w:val="00881D1A"/>
    <w:rsid w:val="008820B2"/>
    <w:rsid w:val="008821AD"/>
    <w:rsid w:val="00882274"/>
    <w:rsid w:val="008823C3"/>
    <w:rsid w:val="008825B3"/>
    <w:rsid w:val="008826C9"/>
    <w:rsid w:val="008826F6"/>
    <w:rsid w:val="00882837"/>
    <w:rsid w:val="00882DC1"/>
    <w:rsid w:val="008832B3"/>
    <w:rsid w:val="00883419"/>
    <w:rsid w:val="0088395C"/>
    <w:rsid w:val="0088496D"/>
    <w:rsid w:val="00884AE7"/>
    <w:rsid w:val="00884DA9"/>
    <w:rsid w:val="00885261"/>
    <w:rsid w:val="00885496"/>
    <w:rsid w:val="008855A4"/>
    <w:rsid w:val="008856B9"/>
    <w:rsid w:val="00885EB2"/>
    <w:rsid w:val="00886388"/>
    <w:rsid w:val="008866B6"/>
    <w:rsid w:val="008871D2"/>
    <w:rsid w:val="0088746E"/>
    <w:rsid w:val="00887742"/>
    <w:rsid w:val="008879FF"/>
    <w:rsid w:val="00887BD6"/>
    <w:rsid w:val="00887C73"/>
    <w:rsid w:val="00887D3F"/>
    <w:rsid w:val="00887E3F"/>
    <w:rsid w:val="00887F15"/>
    <w:rsid w:val="00890372"/>
    <w:rsid w:val="00890391"/>
    <w:rsid w:val="00890CD6"/>
    <w:rsid w:val="00890D28"/>
    <w:rsid w:val="00891192"/>
    <w:rsid w:val="008912AB"/>
    <w:rsid w:val="008912F5"/>
    <w:rsid w:val="00891464"/>
    <w:rsid w:val="0089197C"/>
    <w:rsid w:val="008919F8"/>
    <w:rsid w:val="00891C6F"/>
    <w:rsid w:val="00891D23"/>
    <w:rsid w:val="00891DBD"/>
    <w:rsid w:val="00891F09"/>
    <w:rsid w:val="00892096"/>
    <w:rsid w:val="00892635"/>
    <w:rsid w:val="00892BD0"/>
    <w:rsid w:val="00892C67"/>
    <w:rsid w:val="008931FF"/>
    <w:rsid w:val="00893246"/>
    <w:rsid w:val="0089329D"/>
    <w:rsid w:val="00893487"/>
    <w:rsid w:val="0089348C"/>
    <w:rsid w:val="00893619"/>
    <w:rsid w:val="008936D6"/>
    <w:rsid w:val="008936E8"/>
    <w:rsid w:val="008937EE"/>
    <w:rsid w:val="00893AD6"/>
    <w:rsid w:val="00894141"/>
    <w:rsid w:val="00894240"/>
    <w:rsid w:val="00894405"/>
    <w:rsid w:val="008947A7"/>
    <w:rsid w:val="00894AE6"/>
    <w:rsid w:val="00894F98"/>
    <w:rsid w:val="00895075"/>
    <w:rsid w:val="008951EA"/>
    <w:rsid w:val="008955D5"/>
    <w:rsid w:val="008956C7"/>
    <w:rsid w:val="00895A07"/>
    <w:rsid w:val="00895B6F"/>
    <w:rsid w:val="00895CD8"/>
    <w:rsid w:val="00895EC8"/>
    <w:rsid w:val="00895FA5"/>
    <w:rsid w:val="00896111"/>
    <w:rsid w:val="0089671B"/>
    <w:rsid w:val="0089693B"/>
    <w:rsid w:val="0089695E"/>
    <w:rsid w:val="00896990"/>
    <w:rsid w:val="00896EF9"/>
    <w:rsid w:val="00896F18"/>
    <w:rsid w:val="00897B9B"/>
    <w:rsid w:val="00897D73"/>
    <w:rsid w:val="00897F9C"/>
    <w:rsid w:val="008A023B"/>
    <w:rsid w:val="008A07DA"/>
    <w:rsid w:val="008A0914"/>
    <w:rsid w:val="008A09A1"/>
    <w:rsid w:val="008A0D4B"/>
    <w:rsid w:val="008A0D9D"/>
    <w:rsid w:val="008A0DCF"/>
    <w:rsid w:val="008A11DA"/>
    <w:rsid w:val="008A12CE"/>
    <w:rsid w:val="008A1646"/>
    <w:rsid w:val="008A182E"/>
    <w:rsid w:val="008A1BED"/>
    <w:rsid w:val="008A1D16"/>
    <w:rsid w:val="008A201E"/>
    <w:rsid w:val="008A2292"/>
    <w:rsid w:val="008A2505"/>
    <w:rsid w:val="008A278B"/>
    <w:rsid w:val="008A27D4"/>
    <w:rsid w:val="008A2C62"/>
    <w:rsid w:val="008A302F"/>
    <w:rsid w:val="008A31FB"/>
    <w:rsid w:val="008A3610"/>
    <w:rsid w:val="008A376A"/>
    <w:rsid w:val="008A388B"/>
    <w:rsid w:val="008A3B69"/>
    <w:rsid w:val="008A3CF6"/>
    <w:rsid w:val="008A3ED9"/>
    <w:rsid w:val="008A482E"/>
    <w:rsid w:val="008A4C6F"/>
    <w:rsid w:val="008A4CE3"/>
    <w:rsid w:val="008A4D55"/>
    <w:rsid w:val="008A4F6E"/>
    <w:rsid w:val="008A4FC1"/>
    <w:rsid w:val="008A5197"/>
    <w:rsid w:val="008A531B"/>
    <w:rsid w:val="008A5396"/>
    <w:rsid w:val="008A5426"/>
    <w:rsid w:val="008A585F"/>
    <w:rsid w:val="008A5A4A"/>
    <w:rsid w:val="008A5B07"/>
    <w:rsid w:val="008A630C"/>
    <w:rsid w:val="008A6574"/>
    <w:rsid w:val="008A6796"/>
    <w:rsid w:val="008A681E"/>
    <w:rsid w:val="008A6FA4"/>
    <w:rsid w:val="008A7563"/>
    <w:rsid w:val="008A760A"/>
    <w:rsid w:val="008A7634"/>
    <w:rsid w:val="008A787E"/>
    <w:rsid w:val="008A7B54"/>
    <w:rsid w:val="008A7BE1"/>
    <w:rsid w:val="008A7EDB"/>
    <w:rsid w:val="008A7F54"/>
    <w:rsid w:val="008B006C"/>
    <w:rsid w:val="008B00F3"/>
    <w:rsid w:val="008B0464"/>
    <w:rsid w:val="008B0896"/>
    <w:rsid w:val="008B0C67"/>
    <w:rsid w:val="008B1314"/>
    <w:rsid w:val="008B13B3"/>
    <w:rsid w:val="008B1528"/>
    <w:rsid w:val="008B17AB"/>
    <w:rsid w:val="008B18DB"/>
    <w:rsid w:val="008B195E"/>
    <w:rsid w:val="008B1AEC"/>
    <w:rsid w:val="008B21BB"/>
    <w:rsid w:val="008B2371"/>
    <w:rsid w:val="008B2478"/>
    <w:rsid w:val="008B271D"/>
    <w:rsid w:val="008B2960"/>
    <w:rsid w:val="008B29D0"/>
    <w:rsid w:val="008B2F8A"/>
    <w:rsid w:val="008B3324"/>
    <w:rsid w:val="008B38C8"/>
    <w:rsid w:val="008B3AFF"/>
    <w:rsid w:val="008B3E19"/>
    <w:rsid w:val="008B4355"/>
    <w:rsid w:val="008B451C"/>
    <w:rsid w:val="008B458E"/>
    <w:rsid w:val="008B459A"/>
    <w:rsid w:val="008B47AC"/>
    <w:rsid w:val="008B4A7D"/>
    <w:rsid w:val="008B4A89"/>
    <w:rsid w:val="008B4DB2"/>
    <w:rsid w:val="008B515F"/>
    <w:rsid w:val="008B523B"/>
    <w:rsid w:val="008B5391"/>
    <w:rsid w:val="008B584B"/>
    <w:rsid w:val="008B62C6"/>
    <w:rsid w:val="008B664B"/>
    <w:rsid w:val="008B690A"/>
    <w:rsid w:val="008B6D3C"/>
    <w:rsid w:val="008B6EEB"/>
    <w:rsid w:val="008B6F7F"/>
    <w:rsid w:val="008B70CB"/>
    <w:rsid w:val="008B7476"/>
    <w:rsid w:val="008B76AB"/>
    <w:rsid w:val="008B79CD"/>
    <w:rsid w:val="008B7E79"/>
    <w:rsid w:val="008B7F4B"/>
    <w:rsid w:val="008C0188"/>
    <w:rsid w:val="008C0283"/>
    <w:rsid w:val="008C03F8"/>
    <w:rsid w:val="008C09A6"/>
    <w:rsid w:val="008C0DC5"/>
    <w:rsid w:val="008C0F86"/>
    <w:rsid w:val="008C1011"/>
    <w:rsid w:val="008C12F6"/>
    <w:rsid w:val="008C13EA"/>
    <w:rsid w:val="008C1560"/>
    <w:rsid w:val="008C1754"/>
    <w:rsid w:val="008C1A47"/>
    <w:rsid w:val="008C1AAF"/>
    <w:rsid w:val="008C1DC4"/>
    <w:rsid w:val="008C1DD2"/>
    <w:rsid w:val="008C23C9"/>
    <w:rsid w:val="008C26CA"/>
    <w:rsid w:val="008C283F"/>
    <w:rsid w:val="008C28B2"/>
    <w:rsid w:val="008C3454"/>
    <w:rsid w:val="008C3699"/>
    <w:rsid w:val="008C37F9"/>
    <w:rsid w:val="008C37FB"/>
    <w:rsid w:val="008C38D4"/>
    <w:rsid w:val="008C3939"/>
    <w:rsid w:val="008C3ADA"/>
    <w:rsid w:val="008C3AFE"/>
    <w:rsid w:val="008C3BAD"/>
    <w:rsid w:val="008C3D85"/>
    <w:rsid w:val="008C3F00"/>
    <w:rsid w:val="008C3F22"/>
    <w:rsid w:val="008C4077"/>
    <w:rsid w:val="008C4145"/>
    <w:rsid w:val="008C45B1"/>
    <w:rsid w:val="008C4650"/>
    <w:rsid w:val="008C4B76"/>
    <w:rsid w:val="008C4F81"/>
    <w:rsid w:val="008C504B"/>
    <w:rsid w:val="008C5151"/>
    <w:rsid w:val="008C51EC"/>
    <w:rsid w:val="008C533F"/>
    <w:rsid w:val="008C54BB"/>
    <w:rsid w:val="008C57F1"/>
    <w:rsid w:val="008C5C28"/>
    <w:rsid w:val="008C5C39"/>
    <w:rsid w:val="008C6567"/>
    <w:rsid w:val="008C67D3"/>
    <w:rsid w:val="008C6CAD"/>
    <w:rsid w:val="008C70B6"/>
    <w:rsid w:val="008C7584"/>
    <w:rsid w:val="008C75D4"/>
    <w:rsid w:val="008C7AB9"/>
    <w:rsid w:val="008C7F8F"/>
    <w:rsid w:val="008C7FB3"/>
    <w:rsid w:val="008D1167"/>
    <w:rsid w:val="008D151A"/>
    <w:rsid w:val="008D1690"/>
    <w:rsid w:val="008D19C9"/>
    <w:rsid w:val="008D1DFF"/>
    <w:rsid w:val="008D21E8"/>
    <w:rsid w:val="008D24A3"/>
    <w:rsid w:val="008D254E"/>
    <w:rsid w:val="008D26C2"/>
    <w:rsid w:val="008D277D"/>
    <w:rsid w:val="008D291E"/>
    <w:rsid w:val="008D2C62"/>
    <w:rsid w:val="008D2EA6"/>
    <w:rsid w:val="008D2FB8"/>
    <w:rsid w:val="008D2FD7"/>
    <w:rsid w:val="008D303B"/>
    <w:rsid w:val="008D32B0"/>
    <w:rsid w:val="008D32EA"/>
    <w:rsid w:val="008D344B"/>
    <w:rsid w:val="008D34B1"/>
    <w:rsid w:val="008D3D27"/>
    <w:rsid w:val="008D3D57"/>
    <w:rsid w:val="008D430B"/>
    <w:rsid w:val="008D4365"/>
    <w:rsid w:val="008D44E0"/>
    <w:rsid w:val="008D481C"/>
    <w:rsid w:val="008D4B1B"/>
    <w:rsid w:val="008D4F5A"/>
    <w:rsid w:val="008D5076"/>
    <w:rsid w:val="008D5484"/>
    <w:rsid w:val="008D548F"/>
    <w:rsid w:val="008D5543"/>
    <w:rsid w:val="008D5645"/>
    <w:rsid w:val="008D564D"/>
    <w:rsid w:val="008D5810"/>
    <w:rsid w:val="008D5E06"/>
    <w:rsid w:val="008D5F2B"/>
    <w:rsid w:val="008D6035"/>
    <w:rsid w:val="008D6109"/>
    <w:rsid w:val="008D642F"/>
    <w:rsid w:val="008D651B"/>
    <w:rsid w:val="008D6793"/>
    <w:rsid w:val="008D67C9"/>
    <w:rsid w:val="008D69B3"/>
    <w:rsid w:val="008D6AAD"/>
    <w:rsid w:val="008D6BD9"/>
    <w:rsid w:val="008D6FE5"/>
    <w:rsid w:val="008D703F"/>
    <w:rsid w:val="008D71D1"/>
    <w:rsid w:val="008D723C"/>
    <w:rsid w:val="008D7517"/>
    <w:rsid w:val="008D7C11"/>
    <w:rsid w:val="008D7C6E"/>
    <w:rsid w:val="008D7DC1"/>
    <w:rsid w:val="008D7EC7"/>
    <w:rsid w:val="008E063F"/>
    <w:rsid w:val="008E09F0"/>
    <w:rsid w:val="008E0A01"/>
    <w:rsid w:val="008E0C15"/>
    <w:rsid w:val="008E0DF7"/>
    <w:rsid w:val="008E0EA8"/>
    <w:rsid w:val="008E1307"/>
    <w:rsid w:val="008E13C0"/>
    <w:rsid w:val="008E15FA"/>
    <w:rsid w:val="008E1776"/>
    <w:rsid w:val="008E1BF3"/>
    <w:rsid w:val="008E21A8"/>
    <w:rsid w:val="008E21CE"/>
    <w:rsid w:val="008E243E"/>
    <w:rsid w:val="008E2621"/>
    <w:rsid w:val="008E2AD4"/>
    <w:rsid w:val="008E303A"/>
    <w:rsid w:val="008E374E"/>
    <w:rsid w:val="008E3797"/>
    <w:rsid w:val="008E3A5E"/>
    <w:rsid w:val="008E3C21"/>
    <w:rsid w:val="008E3F31"/>
    <w:rsid w:val="008E4196"/>
    <w:rsid w:val="008E4357"/>
    <w:rsid w:val="008E4874"/>
    <w:rsid w:val="008E490F"/>
    <w:rsid w:val="008E50A9"/>
    <w:rsid w:val="008E55B7"/>
    <w:rsid w:val="008E581A"/>
    <w:rsid w:val="008E58A5"/>
    <w:rsid w:val="008E5A3D"/>
    <w:rsid w:val="008E5B50"/>
    <w:rsid w:val="008E5CE9"/>
    <w:rsid w:val="008E5D5F"/>
    <w:rsid w:val="008E620B"/>
    <w:rsid w:val="008E647A"/>
    <w:rsid w:val="008E6653"/>
    <w:rsid w:val="008E693F"/>
    <w:rsid w:val="008E69F1"/>
    <w:rsid w:val="008E6C87"/>
    <w:rsid w:val="008E6D6D"/>
    <w:rsid w:val="008E6FCC"/>
    <w:rsid w:val="008E7275"/>
    <w:rsid w:val="008E73E3"/>
    <w:rsid w:val="008E77AB"/>
    <w:rsid w:val="008E7B0D"/>
    <w:rsid w:val="008E7B19"/>
    <w:rsid w:val="008E7DDD"/>
    <w:rsid w:val="008F05A9"/>
    <w:rsid w:val="008F06C0"/>
    <w:rsid w:val="008F0879"/>
    <w:rsid w:val="008F095D"/>
    <w:rsid w:val="008F0A0B"/>
    <w:rsid w:val="008F0B0B"/>
    <w:rsid w:val="008F0BFB"/>
    <w:rsid w:val="008F0CED"/>
    <w:rsid w:val="008F0E0B"/>
    <w:rsid w:val="008F10B0"/>
    <w:rsid w:val="008F12AC"/>
    <w:rsid w:val="008F12E2"/>
    <w:rsid w:val="008F169F"/>
    <w:rsid w:val="008F176C"/>
    <w:rsid w:val="008F18DE"/>
    <w:rsid w:val="008F1CC1"/>
    <w:rsid w:val="008F22CE"/>
    <w:rsid w:val="008F2425"/>
    <w:rsid w:val="008F2466"/>
    <w:rsid w:val="008F2734"/>
    <w:rsid w:val="008F2876"/>
    <w:rsid w:val="008F2E05"/>
    <w:rsid w:val="008F2F94"/>
    <w:rsid w:val="008F2FAB"/>
    <w:rsid w:val="008F31E1"/>
    <w:rsid w:val="008F32C3"/>
    <w:rsid w:val="008F348D"/>
    <w:rsid w:val="008F3886"/>
    <w:rsid w:val="008F38CD"/>
    <w:rsid w:val="008F3B65"/>
    <w:rsid w:val="008F3F9C"/>
    <w:rsid w:val="008F406B"/>
    <w:rsid w:val="008F41E1"/>
    <w:rsid w:val="008F43CE"/>
    <w:rsid w:val="008F485B"/>
    <w:rsid w:val="008F490E"/>
    <w:rsid w:val="008F501F"/>
    <w:rsid w:val="008F50F6"/>
    <w:rsid w:val="008F5208"/>
    <w:rsid w:val="008F537D"/>
    <w:rsid w:val="008F5460"/>
    <w:rsid w:val="008F5644"/>
    <w:rsid w:val="008F587B"/>
    <w:rsid w:val="008F59D7"/>
    <w:rsid w:val="008F5CB7"/>
    <w:rsid w:val="008F5DD7"/>
    <w:rsid w:val="008F5F03"/>
    <w:rsid w:val="008F5F11"/>
    <w:rsid w:val="008F5F9E"/>
    <w:rsid w:val="008F6007"/>
    <w:rsid w:val="008F62B9"/>
    <w:rsid w:val="008F6C5C"/>
    <w:rsid w:val="008F6E20"/>
    <w:rsid w:val="008F7204"/>
    <w:rsid w:val="008F72AB"/>
    <w:rsid w:val="008F7505"/>
    <w:rsid w:val="008F7615"/>
    <w:rsid w:val="008F76A1"/>
    <w:rsid w:val="008F77EF"/>
    <w:rsid w:val="008F7F1C"/>
    <w:rsid w:val="008F7FC3"/>
    <w:rsid w:val="009000C4"/>
    <w:rsid w:val="009002FD"/>
    <w:rsid w:val="00900450"/>
    <w:rsid w:val="00900816"/>
    <w:rsid w:val="00900EAD"/>
    <w:rsid w:val="00901224"/>
    <w:rsid w:val="009013C3"/>
    <w:rsid w:val="0090141D"/>
    <w:rsid w:val="0090149F"/>
    <w:rsid w:val="009014DD"/>
    <w:rsid w:val="00901C23"/>
    <w:rsid w:val="00901CFE"/>
    <w:rsid w:val="00901D9B"/>
    <w:rsid w:val="00901E68"/>
    <w:rsid w:val="009021F9"/>
    <w:rsid w:val="00902312"/>
    <w:rsid w:val="00902393"/>
    <w:rsid w:val="009023FD"/>
    <w:rsid w:val="009025C7"/>
    <w:rsid w:val="00902643"/>
    <w:rsid w:val="00902850"/>
    <w:rsid w:val="009028A3"/>
    <w:rsid w:val="00902FD0"/>
    <w:rsid w:val="00903251"/>
    <w:rsid w:val="0090338D"/>
    <w:rsid w:val="00903C5C"/>
    <w:rsid w:val="00904078"/>
    <w:rsid w:val="00904346"/>
    <w:rsid w:val="009051ED"/>
    <w:rsid w:val="00905346"/>
    <w:rsid w:val="009053FD"/>
    <w:rsid w:val="00905691"/>
    <w:rsid w:val="009057F3"/>
    <w:rsid w:val="00905FE1"/>
    <w:rsid w:val="00906021"/>
    <w:rsid w:val="00906065"/>
    <w:rsid w:val="009060BB"/>
    <w:rsid w:val="00906141"/>
    <w:rsid w:val="00906144"/>
    <w:rsid w:val="0090627F"/>
    <w:rsid w:val="00906CFD"/>
    <w:rsid w:val="00906D60"/>
    <w:rsid w:val="009072B8"/>
    <w:rsid w:val="009074EB"/>
    <w:rsid w:val="0090781B"/>
    <w:rsid w:val="00907839"/>
    <w:rsid w:val="00907B41"/>
    <w:rsid w:val="00907E39"/>
    <w:rsid w:val="00907E48"/>
    <w:rsid w:val="00907F48"/>
    <w:rsid w:val="0091072F"/>
    <w:rsid w:val="009107C1"/>
    <w:rsid w:val="009108BF"/>
    <w:rsid w:val="00910A1F"/>
    <w:rsid w:val="00910D08"/>
    <w:rsid w:val="00911023"/>
    <w:rsid w:val="009113A8"/>
    <w:rsid w:val="0091184E"/>
    <w:rsid w:val="00911997"/>
    <w:rsid w:val="00911EE4"/>
    <w:rsid w:val="00911EF4"/>
    <w:rsid w:val="009120D1"/>
    <w:rsid w:val="00912196"/>
    <w:rsid w:val="0091226F"/>
    <w:rsid w:val="0091249E"/>
    <w:rsid w:val="00912683"/>
    <w:rsid w:val="009126CE"/>
    <w:rsid w:val="009128E5"/>
    <w:rsid w:val="009133F1"/>
    <w:rsid w:val="009138A5"/>
    <w:rsid w:val="00913B26"/>
    <w:rsid w:val="00913BD2"/>
    <w:rsid w:val="00913DBF"/>
    <w:rsid w:val="00913F1E"/>
    <w:rsid w:val="0091418B"/>
    <w:rsid w:val="00914682"/>
    <w:rsid w:val="00914886"/>
    <w:rsid w:val="00914A2D"/>
    <w:rsid w:val="00914A54"/>
    <w:rsid w:val="00914BF2"/>
    <w:rsid w:val="00914DB2"/>
    <w:rsid w:val="00914E5C"/>
    <w:rsid w:val="00914EF8"/>
    <w:rsid w:val="00914F22"/>
    <w:rsid w:val="00914FD5"/>
    <w:rsid w:val="00915097"/>
    <w:rsid w:val="009150F4"/>
    <w:rsid w:val="00915139"/>
    <w:rsid w:val="0091518B"/>
    <w:rsid w:val="00915611"/>
    <w:rsid w:val="00915747"/>
    <w:rsid w:val="009157EF"/>
    <w:rsid w:val="0091589A"/>
    <w:rsid w:val="009158A9"/>
    <w:rsid w:val="00915B4B"/>
    <w:rsid w:val="00915E54"/>
    <w:rsid w:val="009163DB"/>
    <w:rsid w:val="0091646C"/>
    <w:rsid w:val="009164DE"/>
    <w:rsid w:val="0091667C"/>
    <w:rsid w:val="00916AB0"/>
    <w:rsid w:val="00916FE3"/>
    <w:rsid w:val="00917451"/>
    <w:rsid w:val="009176FE"/>
    <w:rsid w:val="00917899"/>
    <w:rsid w:val="00917B5D"/>
    <w:rsid w:val="00917D4C"/>
    <w:rsid w:val="00920159"/>
    <w:rsid w:val="00920437"/>
    <w:rsid w:val="009204DD"/>
    <w:rsid w:val="009205B4"/>
    <w:rsid w:val="0092079A"/>
    <w:rsid w:val="00920B7B"/>
    <w:rsid w:val="00920C1C"/>
    <w:rsid w:val="00921072"/>
    <w:rsid w:val="00921122"/>
    <w:rsid w:val="0092137F"/>
    <w:rsid w:val="009214E5"/>
    <w:rsid w:val="009216A0"/>
    <w:rsid w:val="009216CB"/>
    <w:rsid w:val="009216F2"/>
    <w:rsid w:val="00921978"/>
    <w:rsid w:val="00921B8C"/>
    <w:rsid w:val="00921BD4"/>
    <w:rsid w:val="00921E06"/>
    <w:rsid w:val="00922031"/>
    <w:rsid w:val="00922068"/>
    <w:rsid w:val="00922249"/>
    <w:rsid w:val="0092237E"/>
    <w:rsid w:val="009224B9"/>
    <w:rsid w:val="00922622"/>
    <w:rsid w:val="00922843"/>
    <w:rsid w:val="009229D6"/>
    <w:rsid w:val="00922ED3"/>
    <w:rsid w:val="00923573"/>
    <w:rsid w:val="00923904"/>
    <w:rsid w:val="00923CA2"/>
    <w:rsid w:val="00923DD3"/>
    <w:rsid w:val="00923F66"/>
    <w:rsid w:val="00924261"/>
    <w:rsid w:val="00924281"/>
    <w:rsid w:val="00924398"/>
    <w:rsid w:val="0092448B"/>
    <w:rsid w:val="0092465C"/>
    <w:rsid w:val="00925092"/>
    <w:rsid w:val="009250E9"/>
    <w:rsid w:val="009251B4"/>
    <w:rsid w:val="009253D2"/>
    <w:rsid w:val="009256CE"/>
    <w:rsid w:val="00925CBA"/>
    <w:rsid w:val="00926281"/>
    <w:rsid w:val="00926399"/>
    <w:rsid w:val="00926BE7"/>
    <w:rsid w:val="00926D45"/>
    <w:rsid w:val="0092704A"/>
    <w:rsid w:val="0092709A"/>
    <w:rsid w:val="009275B4"/>
    <w:rsid w:val="009278D1"/>
    <w:rsid w:val="009279DD"/>
    <w:rsid w:val="00927C0E"/>
    <w:rsid w:val="00927DAA"/>
    <w:rsid w:val="00927F08"/>
    <w:rsid w:val="00930005"/>
    <w:rsid w:val="0093000C"/>
    <w:rsid w:val="009303CE"/>
    <w:rsid w:val="00930400"/>
    <w:rsid w:val="0093067B"/>
    <w:rsid w:val="00930868"/>
    <w:rsid w:val="0093125C"/>
    <w:rsid w:val="009314E6"/>
    <w:rsid w:val="0093158B"/>
    <w:rsid w:val="00931D8E"/>
    <w:rsid w:val="00931EA1"/>
    <w:rsid w:val="00931FFE"/>
    <w:rsid w:val="0093202A"/>
    <w:rsid w:val="00932136"/>
    <w:rsid w:val="00932199"/>
    <w:rsid w:val="009324FF"/>
    <w:rsid w:val="00932568"/>
    <w:rsid w:val="009329E4"/>
    <w:rsid w:val="00932ABB"/>
    <w:rsid w:val="0093362A"/>
    <w:rsid w:val="00933679"/>
    <w:rsid w:val="0093378E"/>
    <w:rsid w:val="0093379A"/>
    <w:rsid w:val="00933C9C"/>
    <w:rsid w:val="00933DF3"/>
    <w:rsid w:val="00933E6A"/>
    <w:rsid w:val="009340E9"/>
    <w:rsid w:val="0093435C"/>
    <w:rsid w:val="00934551"/>
    <w:rsid w:val="00934D82"/>
    <w:rsid w:val="00934F9F"/>
    <w:rsid w:val="00935006"/>
    <w:rsid w:val="00935228"/>
    <w:rsid w:val="009355B0"/>
    <w:rsid w:val="009357CE"/>
    <w:rsid w:val="00935B59"/>
    <w:rsid w:val="00935C9A"/>
    <w:rsid w:val="00935D3E"/>
    <w:rsid w:val="00935F45"/>
    <w:rsid w:val="00936035"/>
    <w:rsid w:val="009361A8"/>
    <w:rsid w:val="009361D9"/>
    <w:rsid w:val="00936439"/>
    <w:rsid w:val="00936692"/>
    <w:rsid w:val="00936AA2"/>
    <w:rsid w:val="00936B01"/>
    <w:rsid w:val="00936C46"/>
    <w:rsid w:val="00936DEC"/>
    <w:rsid w:val="00936EAD"/>
    <w:rsid w:val="00936F0C"/>
    <w:rsid w:val="0093721B"/>
    <w:rsid w:val="009373DA"/>
    <w:rsid w:val="00937465"/>
    <w:rsid w:val="00937741"/>
    <w:rsid w:val="009377F5"/>
    <w:rsid w:val="00937826"/>
    <w:rsid w:val="0093795B"/>
    <w:rsid w:val="00937DD2"/>
    <w:rsid w:val="009402CF"/>
    <w:rsid w:val="009403F6"/>
    <w:rsid w:val="00940424"/>
    <w:rsid w:val="009405E2"/>
    <w:rsid w:val="00940713"/>
    <w:rsid w:val="00940867"/>
    <w:rsid w:val="00940A3E"/>
    <w:rsid w:val="00940C04"/>
    <w:rsid w:val="00941370"/>
    <w:rsid w:val="009413D9"/>
    <w:rsid w:val="0094155F"/>
    <w:rsid w:val="009418ED"/>
    <w:rsid w:val="00941CEF"/>
    <w:rsid w:val="009421B7"/>
    <w:rsid w:val="00942318"/>
    <w:rsid w:val="009425B2"/>
    <w:rsid w:val="0094266F"/>
    <w:rsid w:val="00942CF9"/>
    <w:rsid w:val="00943505"/>
    <w:rsid w:val="00944055"/>
    <w:rsid w:val="0094406A"/>
    <w:rsid w:val="009440BE"/>
    <w:rsid w:val="0094492A"/>
    <w:rsid w:val="009449DA"/>
    <w:rsid w:val="00944AC5"/>
    <w:rsid w:val="00944EF1"/>
    <w:rsid w:val="00944F8A"/>
    <w:rsid w:val="00944FB4"/>
    <w:rsid w:val="00945346"/>
    <w:rsid w:val="009454F0"/>
    <w:rsid w:val="0094599C"/>
    <w:rsid w:val="00945B08"/>
    <w:rsid w:val="00945B8C"/>
    <w:rsid w:val="00945EA2"/>
    <w:rsid w:val="00946212"/>
    <w:rsid w:val="009464D1"/>
    <w:rsid w:val="0094672C"/>
    <w:rsid w:val="00946A3E"/>
    <w:rsid w:val="00946B2B"/>
    <w:rsid w:val="00946B92"/>
    <w:rsid w:val="00946CBB"/>
    <w:rsid w:val="00946D61"/>
    <w:rsid w:val="00947029"/>
    <w:rsid w:val="00947050"/>
    <w:rsid w:val="00947133"/>
    <w:rsid w:val="00947169"/>
    <w:rsid w:val="00947479"/>
    <w:rsid w:val="0094750B"/>
    <w:rsid w:val="00947534"/>
    <w:rsid w:val="00947746"/>
    <w:rsid w:val="00947937"/>
    <w:rsid w:val="00947D2F"/>
    <w:rsid w:val="00947EDC"/>
    <w:rsid w:val="00950026"/>
    <w:rsid w:val="00950094"/>
    <w:rsid w:val="009501DE"/>
    <w:rsid w:val="0095069E"/>
    <w:rsid w:val="0095077C"/>
    <w:rsid w:val="00950845"/>
    <w:rsid w:val="009508FA"/>
    <w:rsid w:val="00950C03"/>
    <w:rsid w:val="00950FF5"/>
    <w:rsid w:val="0095129F"/>
    <w:rsid w:val="009513D4"/>
    <w:rsid w:val="00951831"/>
    <w:rsid w:val="009518E2"/>
    <w:rsid w:val="00951B9D"/>
    <w:rsid w:val="00951FFB"/>
    <w:rsid w:val="009522D3"/>
    <w:rsid w:val="009523B9"/>
    <w:rsid w:val="009525C7"/>
    <w:rsid w:val="009525ED"/>
    <w:rsid w:val="0095273F"/>
    <w:rsid w:val="00952B06"/>
    <w:rsid w:val="00952C7C"/>
    <w:rsid w:val="00952ECD"/>
    <w:rsid w:val="0095320E"/>
    <w:rsid w:val="0095329A"/>
    <w:rsid w:val="009533A6"/>
    <w:rsid w:val="009538D4"/>
    <w:rsid w:val="00953910"/>
    <w:rsid w:val="0095396B"/>
    <w:rsid w:val="00953B1E"/>
    <w:rsid w:val="00953F88"/>
    <w:rsid w:val="009540F7"/>
    <w:rsid w:val="009541F6"/>
    <w:rsid w:val="00954374"/>
    <w:rsid w:val="009543CB"/>
    <w:rsid w:val="009544C1"/>
    <w:rsid w:val="009544E1"/>
    <w:rsid w:val="00954583"/>
    <w:rsid w:val="009545B2"/>
    <w:rsid w:val="0095468B"/>
    <w:rsid w:val="00954713"/>
    <w:rsid w:val="00954776"/>
    <w:rsid w:val="00955272"/>
    <w:rsid w:val="009559A6"/>
    <w:rsid w:val="00955B73"/>
    <w:rsid w:val="00955CC1"/>
    <w:rsid w:val="00956227"/>
    <w:rsid w:val="009564C0"/>
    <w:rsid w:val="00956504"/>
    <w:rsid w:val="00956530"/>
    <w:rsid w:val="00956536"/>
    <w:rsid w:val="009566CC"/>
    <w:rsid w:val="009567BD"/>
    <w:rsid w:val="0095683C"/>
    <w:rsid w:val="00956DB1"/>
    <w:rsid w:val="0095700B"/>
    <w:rsid w:val="00957158"/>
    <w:rsid w:val="00957241"/>
    <w:rsid w:val="009572E4"/>
    <w:rsid w:val="009573BE"/>
    <w:rsid w:val="00957586"/>
    <w:rsid w:val="00957A0B"/>
    <w:rsid w:val="00957A71"/>
    <w:rsid w:val="00957AEA"/>
    <w:rsid w:val="00957B23"/>
    <w:rsid w:val="00957B8D"/>
    <w:rsid w:val="00957FE6"/>
    <w:rsid w:val="00960571"/>
    <w:rsid w:val="00960950"/>
    <w:rsid w:val="00960B6D"/>
    <w:rsid w:val="00960BBE"/>
    <w:rsid w:val="00960C63"/>
    <w:rsid w:val="00960F0D"/>
    <w:rsid w:val="0096107A"/>
    <w:rsid w:val="0096128A"/>
    <w:rsid w:val="00961384"/>
    <w:rsid w:val="00961749"/>
    <w:rsid w:val="0096177F"/>
    <w:rsid w:val="00961934"/>
    <w:rsid w:val="00962254"/>
    <w:rsid w:val="0096269E"/>
    <w:rsid w:val="0096283F"/>
    <w:rsid w:val="00962A10"/>
    <w:rsid w:val="00962AC8"/>
    <w:rsid w:val="009632FD"/>
    <w:rsid w:val="00963305"/>
    <w:rsid w:val="0096342F"/>
    <w:rsid w:val="00963666"/>
    <w:rsid w:val="00963BA2"/>
    <w:rsid w:val="00963E53"/>
    <w:rsid w:val="00964298"/>
    <w:rsid w:val="009644BF"/>
    <w:rsid w:val="009645C8"/>
    <w:rsid w:val="00964A86"/>
    <w:rsid w:val="00964BD7"/>
    <w:rsid w:val="00964E15"/>
    <w:rsid w:val="009650B7"/>
    <w:rsid w:val="00965181"/>
    <w:rsid w:val="009657CA"/>
    <w:rsid w:val="00965A40"/>
    <w:rsid w:val="00965CF5"/>
    <w:rsid w:val="00966104"/>
    <w:rsid w:val="00966195"/>
    <w:rsid w:val="009667D3"/>
    <w:rsid w:val="00966893"/>
    <w:rsid w:val="009669F9"/>
    <w:rsid w:val="00966C23"/>
    <w:rsid w:val="00966C85"/>
    <w:rsid w:val="00966D40"/>
    <w:rsid w:val="009671A5"/>
    <w:rsid w:val="009679D0"/>
    <w:rsid w:val="009701F0"/>
    <w:rsid w:val="00970247"/>
    <w:rsid w:val="00970259"/>
    <w:rsid w:val="009706AC"/>
    <w:rsid w:val="009708FC"/>
    <w:rsid w:val="00970BA1"/>
    <w:rsid w:val="00970D0A"/>
    <w:rsid w:val="00970D85"/>
    <w:rsid w:val="00971020"/>
    <w:rsid w:val="00971133"/>
    <w:rsid w:val="00971387"/>
    <w:rsid w:val="009713DA"/>
    <w:rsid w:val="00971644"/>
    <w:rsid w:val="009718A7"/>
    <w:rsid w:val="00971939"/>
    <w:rsid w:val="009719D7"/>
    <w:rsid w:val="00971BC1"/>
    <w:rsid w:val="00971DDB"/>
    <w:rsid w:val="00972385"/>
    <w:rsid w:val="00972469"/>
    <w:rsid w:val="00972B0B"/>
    <w:rsid w:val="00972BC4"/>
    <w:rsid w:val="0097305D"/>
    <w:rsid w:val="00973769"/>
    <w:rsid w:val="00973DEE"/>
    <w:rsid w:val="00973E3E"/>
    <w:rsid w:val="009740A0"/>
    <w:rsid w:val="00974880"/>
    <w:rsid w:val="00974A54"/>
    <w:rsid w:val="00974BE0"/>
    <w:rsid w:val="00974E48"/>
    <w:rsid w:val="0097505F"/>
    <w:rsid w:val="00975410"/>
    <w:rsid w:val="009755E3"/>
    <w:rsid w:val="0097568E"/>
    <w:rsid w:val="00975717"/>
    <w:rsid w:val="00975E3B"/>
    <w:rsid w:val="00975FC8"/>
    <w:rsid w:val="009760F3"/>
    <w:rsid w:val="009761D0"/>
    <w:rsid w:val="00976294"/>
    <w:rsid w:val="009765E2"/>
    <w:rsid w:val="00976634"/>
    <w:rsid w:val="00976688"/>
    <w:rsid w:val="009767C1"/>
    <w:rsid w:val="00976A70"/>
    <w:rsid w:val="00976BAD"/>
    <w:rsid w:val="00976DA7"/>
    <w:rsid w:val="00976F95"/>
    <w:rsid w:val="0097728B"/>
    <w:rsid w:val="009774D6"/>
    <w:rsid w:val="00977A87"/>
    <w:rsid w:val="00977A98"/>
    <w:rsid w:val="00977D6B"/>
    <w:rsid w:val="00977F54"/>
    <w:rsid w:val="00980233"/>
    <w:rsid w:val="00980383"/>
    <w:rsid w:val="009803DE"/>
    <w:rsid w:val="00980632"/>
    <w:rsid w:val="009806ED"/>
    <w:rsid w:val="0098070B"/>
    <w:rsid w:val="00980774"/>
    <w:rsid w:val="00980C78"/>
    <w:rsid w:val="00980EB6"/>
    <w:rsid w:val="00981103"/>
    <w:rsid w:val="0098119C"/>
    <w:rsid w:val="009811F9"/>
    <w:rsid w:val="0098126F"/>
    <w:rsid w:val="009815B7"/>
    <w:rsid w:val="00981748"/>
    <w:rsid w:val="00981DDD"/>
    <w:rsid w:val="00981DF2"/>
    <w:rsid w:val="0098272E"/>
    <w:rsid w:val="00982764"/>
    <w:rsid w:val="00982B43"/>
    <w:rsid w:val="00982CE9"/>
    <w:rsid w:val="00982DF0"/>
    <w:rsid w:val="00982E06"/>
    <w:rsid w:val="00982E98"/>
    <w:rsid w:val="00982FA1"/>
    <w:rsid w:val="0098307A"/>
    <w:rsid w:val="0098309D"/>
    <w:rsid w:val="00983660"/>
    <w:rsid w:val="00983997"/>
    <w:rsid w:val="00983CA1"/>
    <w:rsid w:val="00984122"/>
    <w:rsid w:val="00984199"/>
    <w:rsid w:val="0098498D"/>
    <w:rsid w:val="00984A25"/>
    <w:rsid w:val="00984D5A"/>
    <w:rsid w:val="00985095"/>
    <w:rsid w:val="00985184"/>
    <w:rsid w:val="009854B7"/>
    <w:rsid w:val="009855B9"/>
    <w:rsid w:val="00985D14"/>
    <w:rsid w:val="00985D60"/>
    <w:rsid w:val="009862C2"/>
    <w:rsid w:val="009862D7"/>
    <w:rsid w:val="009863A5"/>
    <w:rsid w:val="009865ED"/>
    <w:rsid w:val="009868D8"/>
    <w:rsid w:val="009869ED"/>
    <w:rsid w:val="00986C02"/>
    <w:rsid w:val="00987539"/>
    <w:rsid w:val="00987548"/>
    <w:rsid w:val="00987651"/>
    <w:rsid w:val="00987907"/>
    <w:rsid w:val="00987C0E"/>
    <w:rsid w:val="00990164"/>
    <w:rsid w:val="0099077E"/>
    <w:rsid w:val="00990918"/>
    <w:rsid w:val="009909AA"/>
    <w:rsid w:val="009909C7"/>
    <w:rsid w:val="00990BEA"/>
    <w:rsid w:val="00991139"/>
    <w:rsid w:val="00991371"/>
    <w:rsid w:val="009916D1"/>
    <w:rsid w:val="009917AB"/>
    <w:rsid w:val="00991AC6"/>
    <w:rsid w:val="00992579"/>
    <w:rsid w:val="0099271D"/>
    <w:rsid w:val="00992992"/>
    <w:rsid w:val="00992B3F"/>
    <w:rsid w:val="00992E2C"/>
    <w:rsid w:val="0099308F"/>
    <w:rsid w:val="00993353"/>
    <w:rsid w:val="00993390"/>
    <w:rsid w:val="009935CC"/>
    <w:rsid w:val="009938B0"/>
    <w:rsid w:val="00993B5D"/>
    <w:rsid w:val="00993CE9"/>
    <w:rsid w:val="00993DD6"/>
    <w:rsid w:val="00993DF7"/>
    <w:rsid w:val="00993EF6"/>
    <w:rsid w:val="0099408C"/>
    <w:rsid w:val="009940EE"/>
    <w:rsid w:val="009943C1"/>
    <w:rsid w:val="00994713"/>
    <w:rsid w:val="00994948"/>
    <w:rsid w:val="0099495F"/>
    <w:rsid w:val="00994ECB"/>
    <w:rsid w:val="0099530C"/>
    <w:rsid w:val="009954E9"/>
    <w:rsid w:val="009956C0"/>
    <w:rsid w:val="00995808"/>
    <w:rsid w:val="00995A2B"/>
    <w:rsid w:val="00995A83"/>
    <w:rsid w:val="00995B00"/>
    <w:rsid w:val="00995E06"/>
    <w:rsid w:val="0099630A"/>
    <w:rsid w:val="009963BB"/>
    <w:rsid w:val="009966CF"/>
    <w:rsid w:val="0099690F"/>
    <w:rsid w:val="00996938"/>
    <w:rsid w:val="00996AA3"/>
    <w:rsid w:val="00996D1A"/>
    <w:rsid w:val="00996D1E"/>
    <w:rsid w:val="00996FCC"/>
    <w:rsid w:val="00997BE7"/>
    <w:rsid w:val="00997C09"/>
    <w:rsid w:val="00997C18"/>
    <w:rsid w:val="00997D81"/>
    <w:rsid w:val="00997F79"/>
    <w:rsid w:val="00997FDD"/>
    <w:rsid w:val="009A020C"/>
    <w:rsid w:val="009A0278"/>
    <w:rsid w:val="009A03B3"/>
    <w:rsid w:val="009A0483"/>
    <w:rsid w:val="009A0D6B"/>
    <w:rsid w:val="009A0E15"/>
    <w:rsid w:val="009A1585"/>
    <w:rsid w:val="009A1795"/>
    <w:rsid w:val="009A1CA4"/>
    <w:rsid w:val="009A20F0"/>
    <w:rsid w:val="009A221A"/>
    <w:rsid w:val="009A26A3"/>
    <w:rsid w:val="009A27B0"/>
    <w:rsid w:val="009A27D8"/>
    <w:rsid w:val="009A2F9C"/>
    <w:rsid w:val="009A3251"/>
    <w:rsid w:val="009A34B5"/>
    <w:rsid w:val="009A38A3"/>
    <w:rsid w:val="009A3ABC"/>
    <w:rsid w:val="009A3CF1"/>
    <w:rsid w:val="009A3E0D"/>
    <w:rsid w:val="009A444B"/>
    <w:rsid w:val="009A4609"/>
    <w:rsid w:val="009A4731"/>
    <w:rsid w:val="009A476F"/>
    <w:rsid w:val="009A486C"/>
    <w:rsid w:val="009A4987"/>
    <w:rsid w:val="009A4A60"/>
    <w:rsid w:val="009A4A7E"/>
    <w:rsid w:val="009A4B1C"/>
    <w:rsid w:val="009A4FAD"/>
    <w:rsid w:val="009A54E8"/>
    <w:rsid w:val="009A553B"/>
    <w:rsid w:val="009A56D6"/>
    <w:rsid w:val="009A574A"/>
    <w:rsid w:val="009A577A"/>
    <w:rsid w:val="009A5A96"/>
    <w:rsid w:val="009A5B36"/>
    <w:rsid w:val="009A5D34"/>
    <w:rsid w:val="009A5D4A"/>
    <w:rsid w:val="009A5E3F"/>
    <w:rsid w:val="009A5FF1"/>
    <w:rsid w:val="009A5FF9"/>
    <w:rsid w:val="009A6306"/>
    <w:rsid w:val="009A6375"/>
    <w:rsid w:val="009A6C3A"/>
    <w:rsid w:val="009A7533"/>
    <w:rsid w:val="009A763D"/>
    <w:rsid w:val="009A7A3F"/>
    <w:rsid w:val="009A7AD3"/>
    <w:rsid w:val="009A7B2C"/>
    <w:rsid w:val="009A7BD4"/>
    <w:rsid w:val="009A7CA0"/>
    <w:rsid w:val="009A7D6E"/>
    <w:rsid w:val="009A7F52"/>
    <w:rsid w:val="009B00F7"/>
    <w:rsid w:val="009B0363"/>
    <w:rsid w:val="009B0778"/>
    <w:rsid w:val="009B0834"/>
    <w:rsid w:val="009B0903"/>
    <w:rsid w:val="009B0D6C"/>
    <w:rsid w:val="009B1284"/>
    <w:rsid w:val="009B12E8"/>
    <w:rsid w:val="009B13C4"/>
    <w:rsid w:val="009B152B"/>
    <w:rsid w:val="009B166E"/>
    <w:rsid w:val="009B173F"/>
    <w:rsid w:val="009B185A"/>
    <w:rsid w:val="009B18B1"/>
    <w:rsid w:val="009B1935"/>
    <w:rsid w:val="009B1AAF"/>
    <w:rsid w:val="009B1D40"/>
    <w:rsid w:val="009B1F89"/>
    <w:rsid w:val="009B203B"/>
    <w:rsid w:val="009B2062"/>
    <w:rsid w:val="009B2257"/>
    <w:rsid w:val="009B2375"/>
    <w:rsid w:val="009B24D6"/>
    <w:rsid w:val="009B2668"/>
    <w:rsid w:val="009B2739"/>
    <w:rsid w:val="009B27BB"/>
    <w:rsid w:val="009B28BF"/>
    <w:rsid w:val="009B28F8"/>
    <w:rsid w:val="009B2937"/>
    <w:rsid w:val="009B2FDD"/>
    <w:rsid w:val="009B330F"/>
    <w:rsid w:val="009B332B"/>
    <w:rsid w:val="009B348E"/>
    <w:rsid w:val="009B36D4"/>
    <w:rsid w:val="009B3740"/>
    <w:rsid w:val="009B378C"/>
    <w:rsid w:val="009B391C"/>
    <w:rsid w:val="009B3ADF"/>
    <w:rsid w:val="009B3B0F"/>
    <w:rsid w:val="009B3DC0"/>
    <w:rsid w:val="009B4037"/>
    <w:rsid w:val="009B42AD"/>
    <w:rsid w:val="009B4301"/>
    <w:rsid w:val="009B4ED5"/>
    <w:rsid w:val="009B5018"/>
    <w:rsid w:val="009B51D0"/>
    <w:rsid w:val="009B5223"/>
    <w:rsid w:val="009B5343"/>
    <w:rsid w:val="009B5495"/>
    <w:rsid w:val="009B54B8"/>
    <w:rsid w:val="009B583B"/>
    <w:rsid w:val="009B5D92"/>
    <w:rsid w:val="009B5DF9"/>
    <w:rsid w:val="009B5EED"/>
    <w:rsid w:val="009B688B"/>
    <w:rsid w:val="009B6946"/>
    <w:rsid w:val="009B6A8A"/>
    <w:rsid w:val="009B6AC8"/>
    <w:rsid w:val="009B6CDB"/>
    <w:rsid w:val="009B6D6A"/>
    <w:rsid w:val="009B6F1A"/>
    <w:rsid w:val="009B7105"/>
    <w:rsid w:val="009B74A2"/>
    <w:rsid w:val="009B793C"/>
    <w:rsid w:val="009B7B03"/>
    <w:rsid w:val="009C076F"/>
    <w:rsid w:val="009C1204"/>
    <w:rsid w:val="009C1396"/>
    <w:rsid w:val="009C1460"/>
    <w:rsid w:val="009C1529"/>
    <w:rsid w:val="009C15B6"/>
    <w:rsid w:val="009C17C3"/>
    <w:rsid w:val="009C1B8D"/>
    <w:rsid w:val="009C1B90"/>
    <w:rsid w:val="009C1CC5"/>
    <w:rsid w:val="009C20D4"/>
    <w:rsid w:val="009C214E"/>
    <w:rsid w:val="009C2347"/>
    <w:rsid w:val="009C26C0"/>
    <w:rsid w:val="009C2C4E"/>
    <w:rsid w:val="009C3016"/>
    <w:rsid w:val="009C30C8"/>
    <w:rsid w:val="009C31E2"/>
    <w:rsid w:val="009C3438"/>
    <w:rsid w:val="009C34C1"/>
    <w:rsid w:val="009C3B1E"/>
    <w:rsid w:val="009C3C0A"/>
    <w:rsid w:val="009C40E6"/>
    <w:rsid w:val="009C4607"/>
    <w:rsid w:val="009C4682"/>
    <w:rsid w:val="009C46FD"/>
    <w:rsid w:val="009C4740"/>
    <w:rsid w:val="009C485E"/>
    <w:rsid w:val="009C48AE"/>
    <w:rsid w:val="009C497B"/>
    <w:rsid w:val="009C49E6"/>
    <w:rsid w:val="009C4C7C"/>
    <w:rsid w:val="009C4D0E"/>
    <w:rsid w:val="009C4F36"/>
    <w:rsid w:val="009C5073"/>
    <w:rsid w:val="009C534B"/>
    <w:rsid w:val="009C5423"/>
    <w:rsid w:val="009C54F2"/>
    <w:rsid w:val="009C558A"/>
    <w:rsid w:val="009C5677"/>
    <w:rsid w:val="009C5B74"/>
    <w:rsid w:val="009C5BCF"/>
    <w:rsid w:val="009C5D4A"/>
    <w:rsid w:val="009C6043"/>
    <w:rsid w:val="009C615C"/>
    <w:rsid w:val="009C6276"/>
    <w:rsid w:val="009C679D"/>
    <w:rsid w:val="009C68E3"/>
    <w:rsid w:val="009C6944"/>
    <w:rsid w:val="009C6CC1"/>
    <w:rsid w:val="009C6F39"/>
    <w:rsid w:val="009C7024"/>
    <w:rsid w:val="009C71F6"/>
    <w:rsid w:val="009C765F"/>
    <w:rsid w:val="009C77BD"/>
    <w:rsid w:val="009C7AA2"/>
    <w:rsid w:val="009C7FAC"/>
    <w:rsid w:val="009D023A"/>
    <w:rsid w:val="009D043B"/>
    <w:rsid w:val="009D0927"/>
    <w:rsid w:val="009D0942"/>
    <w:rsid w:val="009D0EBB"/>
    <w:rsid w:val="009D1492"/>
    <w:rsid w:val="009D1733"/>
    <w:rsid w:val="009D177E"/>
    <w:rsid w:val="009D1AC6"/>
    <w:rsid w:val="009D1D07"/>
    <w:rsid w:val="009D21A7"/>
    <w:rsid w:val="009D23FC"/>
    <w:rsid w:val="009D258F"/>
    <w:rsid w:val="009D25CE"/>
    <w:rsid w:val="009D2747"/>
    <w:rsid w:val="009D2B03"/>
    <w:rsid w:val="009D2C60"/>
    <w:rsid w:val="009D2E23"/>
    <w:rsid w:val="009D2E5E"/>
    <w:rsid w:val="009D32E6"/>
    <w:rsid w:val="009D38C6"/>
    <w:rsid w:val="009D3A01"/>
    <w:rsid w:val="009D3A6F"/>
    <w:rsid w:val="009D3AD2"/>
    <w:rsid w:val="009D3CD2"/>
    <w:rsid w:val="009D3D1B"/>
    <w:rsid w:val="009D3DF8"/>
    <w:rsid w:val="009D3FAD"/>
    <w:rsid w:val="009D4139"/>
    <w:rsid w:val="009D4416"/>
    <w:rsid w:val="009D44AF"/>
    <w:rsid w:val="009D4709"/>
    <w:rsid w:val="009D4CFA"/>
    <w:rsid w:val="009D4E2E"/>
    <w:rsid w:val="009D5060"/>
    <w:rsid w:val="009D5128"/>
    <w:rsid w:val="009D522A"/>
    <w:rsid w:val="009D534C"/>
    <w:rsid w:val="009D550F"/>
    <w:rsid w:val="009D5925"/>
    <w:rsid w:val="009D5A69"/>
    <w:rsid w:val="009D5C79"/>
    <w:rsid w:val="009D5CE7"/>
    <w:rsid w:val="009D60E5"/>
    <w:rsid w:val="009D6173"/>
    <w:rsid w:val="009D61B3"/>
    <w:rsid w:val="009D6730"/>
    <w:rsid w:val="009D673F"/>
    <w:rsid w:val="009D67E8"/>
    <w:rsid w:val="009D6EA9"/>
    <w:rsid w:val="009D71FA"/>
    <w:rsid w:val="009D75B4"/>
    <w:rsid w:val="009D76AF"/>
    <w:rsid w:val="009D7D39"/>
    <w:rsid w:val="009D7D60"/>
    <w:rsid w:val="009E0199"/>
    <w:rsid w:val="009E04CF"/>
    <w:rsid w:val="009E052E"/>
    <w:rsid w:val="009E07EE"/>
    <w:rsid w:val="009E0810"/>
    <w:rsid w:val="009E0827"/>
    <w:rsid w:val="009E096D"/>
    <w:rsid w:val="009E097B"/>
    <w:rsid w:val="009E0D85"/>
    <w:rsid w:val="009E0D97"/>
    <w:rsid w:val="009E11CD"/>
    <w:rsid w:val="009E162F"/>
    <w:rsid w:val="009E164A"/>
    <w:rsid w:val="009E17B0"/>
    <w:rsid w:val="009E1A8E"/>
    <w:rsid w:val="009E1E55"/>
    <w:rsid w:val="009E1ED7"/>
    <w:rsid w:val="009E1F96"/>
    <w:rsid w:val="009E2928"/>
    <w:rsid w:val="009E29F9"/>
    <w:rsid w:val="009E2AF7"/>
    <w:rsid w:val="009E2B21"/>
    <w:rsid w:val="009E2DDC"/>
    <w:rsid w:val="009E30B6"/>
    <w:rsid w:val="009E3344"/>
    <w:rsid w:val="009E358E"/>
    <w:rsid w:val="009E39F5"/>
    <w:rsid w:val="009E3A2F"/>
    <w:rsid w:val="009E3D80"/>
    <w:rsid w:val="009E3E1B"/>
    <w:rsid w:val="009E3F53"/>
    <w:rsid w:val="009E41D8"/>
    <w:rsid w:val="009E4A72"/>
    <w:rsid w:val="009E4B63"/>
    <w:rsid w:val="009E4CBD"/>
    <w:rsid w:val="009E4D65"/>
    <w:rsid w:val="009E4F1C"/>
    <w:rsid w:val="009E508D"/>
    <w:rsid w:val="009E526D"/>
    <w:rsid w:val="009E52E3"/>
    <w:rsid w:val="009E54A1"/>
    <w:rsid w:val="009E55FE"/>
    <w:rsid w:val="009E5628"/>
    <w:rsid w:val="009E587B"/>
    <w:rsid w:val="009E58B1"/>
    <w:rsid w:val="009E5A29"/>
    <w:rsid w:val="009E5FEA"/>
    <w:rsid w:val="009E6048"/>
    <w:rsid w:val="009E6070"/>
    <w:rsid w:val="009E616B"/>
    <w:rsid w:val="009E6283"/>
    <w:rsid w:val="009E6363"/>
    <w:rsid w:val="009E6611"/>
    <w:rsid w:val="009E6A2E"/>
    <w:rsid w:val="009E6C2E"/>
    <w:rsid w:val="009E6D18"/>
    <w:rsid w:val="009E6D5F"/>
    <w:rsid w:val="009E72ED"/>
    <w:rsid w:val="009E7496"/>
    <w:rsid w:val="009E7672"/>
    <w:rsid w:val="009E77C8"/>
    <w:rsid w:val="009E7AA6"/>
    <w:rsid w:val="009E7B1C"/>
    <w:rsid w:val="009E7C80"/>
    <w:rsid w:val="009F0617"/>
    <w:rsid w:val="009F0B7C"/>
    <w:rsid w:val="009F0C60"/>
    <w:rsid w:val="009F0DED"/>
    <w:rsid w:val="009F0EA6"/>
    <w:rsid w:val="009F0F5B"/>
    <w:rsid w:val="009F116A"/>
    <w:rsid w:val="009F169D"/>
    <w:rsid w:val="009F1934"/>
    <w:rsid w:val="009F1C88"/>
    <w:rsid w:val="009F1CB0"/>
    <w:rsid w:val="009F263B"/>
    <w:rsid w:val="009F2870"/>
    <w:rsid w:val="009F290D"/>
    <w:rsid w:val="009F2FB0"/>
    <w:rsid w:val="009F336E"/>
    <w:rsid w:val="009F36B0"/>
    <w:rsid w:val="009F40E1"/>
    <w:rsid w:val="009F4522"/>
    <w:rsid w:val="009F45A4"/>
    <w:rsid w:val="009F4638"/>
    <w:rsid w:val="009F4752"/>
    <w:rsid w:val="009F4B17"/>
    <w:rsid w:val="009F5688"/>
    <w:rsid w:val="009F5C43"/>
    <w:rsid w:val="009F5DE0"/>
    <w:rsid w:val="009F6032"/>
    <w:rsid w:val="009F6281"/>
    <w:rsid w:val="009F644C"/>
    <w:rsid w:val="009F6537"/>
    <w:rsid w:val="009F657B"/>
    <w:rsid w:val="009F6584"/>
    <w:rsid w:val="009F6626"/>
    <w:rsid w:val="009F68E8"/>
    <w:rsid w:val="009F6A63"/>
    <w:rsid w:val="009F6C09"/>
    <w:rsid w:val="009F6C37"/>
    <w:rsid w:val="009F7275"/>
    <w:rsid w:val="009F75DC"/>
    <w:rsid w:val="009F7667"/>
    <w:rsid w:val="009F78BE"/>
    <w:rsid w:val="009F7927"/>
    <w:rsid w:val="009F7A6F"/>
    <w:rsid w:val="009F7FE0"/>
    <w:rsid w:val="009F7FE5"/>
    <w:rsid w:val="00A00327"/>
    <w:rsid w:val="00A006BF"/>
    <w:rsid w:val="00A00753"/>
    <w:rsid w:val="00A008F8"/>
    <w:rsid w:val="00A0098C"/>
    <w:rsid w:val="00A00C87"/>
    <w:rsid w:val="00A00EFD"/>
    <w:rsid w:val="00A01444"/>
    <w:rsid w:val="00A01877"/>
    <w:rsid w:val="00A019E3"/>
    <w:rsid w:val="00A01DCA"/>
    <w:rsid w:val="00A01DCC"/>
    <w:rsid w:val="00A021A7"/>
    <w:rsid w:val="00A025E4"/>
    <w:rsid w:val="00A0269A"/>
    <w:rsid w:val="00A02933"/>
    <w:rsid w:val="00A029B7"/>
    <w:rsid w:val="00A030D8"/>
    <w:rsid w:val="00A0332D"/>
    <w:rsid w:val="00A036F8"/>
    <w:rsid w:val="00A0399F"/>
    <w:rsid w:val="00A03CC1"/>
    <w:rsid w:val="00A04364"/>
    <w:rsid w:val="00A04381"/>
    <w:rsid w:val="00A04424"/>
    <w:rsid w:val="00A04543"/>
    <w:rsid w:val="00A04722"/>
    <w:rsid w:val="00A0489E"/>
    <w:rsid w:val="00A04A26"/>
    <w:rsid w:val="00A04DEA"/>
    <w:rsid w:val="00A05429"/>
    <w:rsid w:val="00A0580F"/>
    <w:rsid w:val="00A05A7C"/>
    <w:rsid w:val="00A05C69"/>
    <w:rsid w:val="00A06075"/>
    <w:rsid w:val="00A061DD"/>
    <w:rsid w:val="00A06242"/>
    <w:rsid w:val="00A0626B"/>
    <w:rsid w:val="00A0641B"/>
    <w:rsid w:val="00A065DD"/>
    <w:rsid w:val="00A0670A"/>
    <w:rsid w:val="00A06E2E"/>
    <w:rsid w:val="00A06E84"/>
    <w:rsid w:val="00A0737C"/>
    <w:rsid w:val="00A075CD"/>
    <w:rsid w:val="00A075FD"/>
    <w:rsid w:val="00A076D3"/>
    <w:rsid w:val="00A07711"/>
    <w:rsid w:val="00A0798D"/>
    <w:rsid w:val="00A07BB8"/>
    <w:rsid w:val="00A07CAD"/>
    <w:rsid w:val="00A07F62"/>
    <w:rsid w:val="00A07FB5"/>
    <w:rsid w:val="00A1075D"/>
    <w:rsid w:val="00A108D2"/>
    <w:rsid w:val="00A1093E"/>
    <w:rsid w:val="00A10BFF"/>
    <w:rsid w:val="00A10DC5"/>
    <w:rsid w:val="00A11239"/>
    <w:rsid w:val="00A1149E"/>
    <w:rsid w:val="00A11779"/>
    <w:rsid w:val="00A11A24"/>
    <w:rsid w:val="00A11CBA"/>
    <w:rsid w:val="00A125E1"/>
    <w:rsid w:val="00A126B2"/>
    <w:rsid w:val="00A1288A"/>
    <w:rsid w:val="00A128F4"/>
    <w:rsid w:val="00A129B3"/>
    <w:rsid w:val="00A12AA7"/>
    <w:rsid w:val="00A12DBC"/>
    <w:rsid w:val="00A13233"/>
    <w:rsid w:val="00A138FA"/>
    <w:rsid w:val="00A1390E"/>
    <w:rsid w:val="00A13A62"/>
    <w:rsid w:val="00A13C34"/>
    <w:rsid w:val="00A13CCF"/>
    <w:rsid w:val="00A13D44"/>
    <w:rsid w:val="00A140F1"/>
    <w:rsid w:val="00A1419A"/>
    <w:rsid w:val="00A141B2"/>
    <w:rsid w:val="00A1452B"/>
    <w:rsid w:val="00A14949"/>
    <w:rsid w:val="00A14A57"/>
    <w:rsid w:val="00A14CF2"/>
    <w:rsid w:val="00A14D4D"/>
    <w:rsid w:val="00A14ED3"/>
    <w:rsid w:val="00A14F93"/>
    <w:rsid w:val="00A14FBC"/>
    <w:rsid w:val="00A1531B"/>
    <w:rsid w:val="00A15330"/>
    <w:rsid w:val="00A15411"/>
    <w:rsid w:val="00A1588C"/>
    <w:rsid w:val="00A158CD"/>
    <w:rsid w:val="00A15933"/>
    <w:rsid w:val="00A15A00"/>
    <w:rsid w:val="00A15CCC"/>
    <w:rsid w:val="00A1615B"/>
    <w:rsid w:val="00A16497"/>
    <w:rsid w:val="00A164D0"/>
    <w:rsid w:val="00A164F1"/>
    <w:rsid w:val="00A16648"/>
    <w:rsid w:val="00A16B97"/>
    <w:rsid w:val="00A16BF9"/>
    <w:rsid w:val="00A16C42"/>
    <w:rsid w:val="00A1747C"/>
    <w:rsid w:val="00A179A8"/>
    <w:rsid w:val="00A17E47"/>
    <w:rsid w:val="00A17FD5"/>
    <w:rsid w:val="00A200D0"/>
    <w:rsid w:val="00A20114"/>
    <w:rsid w:val="00A20268"/>
    <w:rsid w:val="00A2070A"/>
    <w:rsid w:val="00A20829"/>
    <w:rsid w:val="00A20D59"/>
    <w:rsid w:val="00A20E2E"/>
    <w:rsid w:val="00A212D6"/>
    <w:rsid w:val="00A21348"/>
    <w:rsid w:val="00A215CD"/>
    <w:rsid w:val="00A21976"/>
    <w:rsid w:val="00A21A89"/>
    <w:rsid w:val="00A21B19"/>
    <w:rsid w:val="00A21E2B"/>
    <w:rsid w:val="00A223CE"/>
    <w:rsid w:val="00A22746"/>
    <w:rsid w:val="00A22888"/>
    <w:rsid w:val="00A22B73"/>
    <w:rsid w:val="00A22B9F"/>
    <w:rsid w:val="00A22C2F"/>
    <w:rsid w:val="00A22F3C"/>
    <w:rsid w:val="00A23156"/>
    <w:rsid w:val="00A2335E"/>
    <w:rsid w:val="00A23668"/>
    <w:rsid w:val="00A23682"/>
    <w:rsid w:val="00A2374A"/>
    <w:rsid w:val="00A23A47"/>
    <w:rsid w:val="00A23CF7"/>
    <w:rsid w:val="00A23E4C"/>
    <w:rsid w:val="00A23F5E"/>
    <w:rsid w:val="00A24117"/>
    <w:rsid w:val="00A243B5"/>
    <w:rsid w:val="00A243F2"/>
    <w:rsid w:val="00A248A4"/>
    <w:rsid w:val="00A24A52"/>
    <w:rsid w:val="00A24C9B"/>
    <w:rsid w:val="00A24E3B"/>
    <w:rsid w:val="00A24EDA"/>
    <w:rsid w:val="00A24F6C"/>
    <w:rsid w:val="00A253CF"/>
    <w:rsid w:val="00A25823"/>
    <w:rsid w:val="00A25A0E"/>
    <w:rsid w:val="00A25F45"/>
    <w:rsid w:val="00A2621D"/>
    <w:rsid w:val="00A262BC"/>
    <w:rsid w:val="00A2648F"/>
    <w:rsid w:val="00A26509"/>
    <w:rsid w:val="00A265EA"/>
    <w:rsid w:val="00A2672C"/>
    <w:rsid w:val="00A267D1"/>
    <w:rsid w:val="00A267EE"/>
    <w:rsid w:val="00A26BBB"/>
    <w:rsid w:val="00A27096"/>
    <w:rsid w:val="00A276F1"/>
    <w:rsid w:val="00A27955"/>
    <w:rsid w:val="00A27DB7"/>
    <w:rsid w:val="00A301AA"/>
    <w:rsid w:val="00A3048F"/>
    <w:rsid w:val="00A30582"/>
    <w:rsid w:val="00A30622"/>
    <w:rsid w:val="00A3077D"/>
    <w:rsid w:val="00A31019"/>
    <w:rsid w:val="00A3109D"/>
    <w:rsid w:val="00A3114C"/>
    <w:rsid w:val="00A315C4"/>
    <w:rsid w:val="00A31718"/>
    <w:rsid w:val="00A3177E"/>
    <w:rsid w:val="00A31EEC"/>
    <w:rsid w:val="00A320BC"/>
    <w:rsid w:val="00A3270C"/>
    <w:rsid w:val="00A327A1"/>
    <w:rsid w:val="00A328B6"/>
    <w:rsid w:val="00A32AD6"/>
    <w:rsid w:val="00A32CB2"/>
    <w:rsid w:val="00A32D0D"/>
    <w:rsid w:val="00A32DF7"/>
    <w:rsid w:val="00A32F08"/>
    <w:rsid w:val="00A33235"/>
    <w:rsid w:val="00A33312"/>
    <w:rsid w:val="00A33368"/>
    <w:rsid w:val="00A33382"/>
    <w:rsid w:val="00A33982"/>
    <w:rsid w:val="00A33A13"/>
    <w:rsid w:val="00A341F3"/>
    <w:rsid w:val="00A34248"/>
    <w:rsid w:val="00A343FF"/>
    <w:rsid w:val="00A34639"/>
    <w:rsid w:val="00A34715"/>
    <w:rsid w:val="00A347A7"/>
    <w:rsid w:val="00A34AE8"/>
    <w:rsid w:val="00A34D15"/>
    <w:rsid w:val="00A34EFA"/>
    <w:rsid w:val="00A34F81"/>
    <w:rsid w:val="00A350CB"/>
    <w:rsid w:val="00A351C9"/>
    <w:rsid w:val="00A355A4"/>
    <w:rsid w:val="00A355E8"/>
    <w:rsid w:val="00A35B65"/>
    <w:rsid w:val="00A35C50"/>
    <w:rsid w:val="00A35D95"/>
    <w:rsid w:val="00A361E3"/>
    <w:rsid w:val="00A36784"/>
    <w:rsid w:val="00A369BD"/>
    <w:rsid w:val="00A369C9"/>
    <w:rsid w:val="00A36C9D"/>
    <w:rsid w:val="00A37045"/>
    <w:rsid w:val="00A3706C"/>
    <w:rsid w:val="00A370EA"/>
    <w:rsid w:val="00A371EA"/>
    <w:rsid w:val="00A37642"/>
    <w:rsid w:val="00A37A80"/>
    <w:rsid w:val="00A37AB0"/>
    <w:rsid w:val="00A37B6D"/>
    <w:rsid w:val="00A37DED"/>
    <w:rsid w:val="00A40069"/>
    <w:rsid w:val="00A402A8"/>
    <w:rsid w:val="00A4031D"/>
    <w:rsid w:val="00A404AE"/>
    <w:rsid w:val="00A4058F"/>
    <w:rsid w:val="00A40759"/>
    <w:rsid w:val="00A40BBD"/>
    <w:rsid w:val="00A40CE2"/>
    <w:rsid w:val="00A40E6A"/>
    <w:rsid w:val="00A4102C"/>
    <w:rsid w:val="00A41222"/>
    <w:rsid w:val="00A41477"/>
    <w:rsid w:val="00A416B9"/>
    <w:rsid w:val="00A41758"/>
    <w:rsid w:val="00A419F9"/>
    <w:rsid w:val="00A41B60"/>
    <w:rsid w:val="00A41E72"/>
    <w:rsid w:val="00A41F23"/>
    <w:rsid w:val="00A41F66"/>
    <w:rsid w:val="00A420F8"/>
    <w:rsid w:val="00A42198"/>
    <w:rsid w:val="00A42571"/>
    <w:rsid w:val="00A42969"/>
    <w:rsid w:val="00A42A88"/>
    <w:rsid w:val="00A42BC4"/>
    <w:rsid w:val="00A42BD2"/>
    <w:rsid w:val="00A42C7C"/>
    <w:rsid w:val="00A42D2D"/>
    <w:rsid w:val="00A430B4"/>
    <w:rsid w:val="00A43211"/>
    <w:rsid w:val="00A43471"/>
    <w:rsid w:val="00A43832"/>
    <w:rsid w:val="00A43BD4"/>
    <w:rsid w:val="00A43C9E"/>
    <w:rsid w:val="00A441F1"/>
    <w:rsid w:val="00A44239"/>
    <w:rsid w:val="00A4427D"/>
    <w:rsid w:val="00A44626"/>
    <w:rsid w:val="00A44F13"/>
    <w:rsid w:val="00A4531C"/>
    <w:rsid w:val="00A45397"/>
    <w:rsid w:val="00A45C90"/>
    <w:rsid w:val="00A45D50"/>
    <w:rsid w:val="00A45E0D"/>
    <w:rsid w:val="00A46237"/>
    <w:rsid w:val="00A462C6"/>
    <w:rsid w:val="00A462FA"/>
    <w:rsid w:val="00A4634D"/>
    <w:rsid w:val="00A46433"/>
    <w:rsid w:val="00A464AF"/>
    <w:rsid w:val="00A465DB"/>
    <w:rsid w:val="00A47303"/>
    <w:rsid w:val="00A47413"/>
    <w:rsid w:val="00A47752"/>
    <w:rsid w:val="00A47B75"/>
    <w:rsid w:val="00A47E01"/>
    <w:rsid w:val="00A502A2"/>
    <w:rsid w:val="00A502B1"/>
    <w:rsid w:val="00A50380"/>
    <w:rsid w:val="00A5102D"/>
    <w:rsid w:val="00A51438"/>
    <w:rsid w:val="00A51B12"/>
    <w:rsid w:val="00A51FE0"/>
    <w:rsid w:val="00A5204B"/>
    <w:rsid w:val="00A5241A"/>
    <w:rsid w:val="00A52624"/>
    <w:rsid w:val="00A528E1"/>
    <w:rsid w:val="00A528F7"/>
    <w:rsid w:val="00A52954"/>
    <w:rsid w:val="00A52C68"/>
    <w:rsid w:val="00A5333E"/>
    <w:rsid w:val="00A5398A"/>
    <w:rsid w:val="00A53AA8"/>
    <w:rsid w:val="00A53FEA"/>
    <w:rsid w:val="00A548D6"/>
    <w:rsid w:val="00A549FF"/>
    <w:rsid w:val="00A54A27"/>
    <w:rsid w:val="00A54CC4"/>
    <w:rsid w:val="00A54D3D"/>
    <w:rsid w:val="00A54D90"/>
    <w:rsid w:val="00A55046"/>
    <w:rsid w:val="00A55389"/>
    <w:rsid w:val="00A55960"/>
    <w:rsid w:val="00A55B8D"/>
    <w:rsid w:val="00A55FCC"/>
    <w:rsid w:val="00A55FF7"/>
    <w:rsid w:val="00A562AE"/>
    <w:rsid w:val="00A564C2"/>
    <w:rsid w:val="00A56A67"/>
    <w:rsid w:val="00A56AA9"/>
    <w:rsid w:val="00A56D86"/>
    <w:rsid w:val="00A56E72"/>
    <w:rsid w:val="00A56F09"/>
    <w:rsid w:val="00A57099"/>
    <w:rsid w:val="00A570EB"/>
    <w:rsid w:val="00A5715A"/>
    <w:rsid w:val="00A5728F"/>
    <w:rsid w:val="00A572AF"/>
    <w:rsid w:val="00A573E6"/>
    <w:rsid w:val="00A57577"/>
    <w:rsid w:val="00A57740"/>
    <w:rsid w:val="00A579BA"/>
    <w:rsid w:val="00A57DC1"/>
    <w:rsid w:val="00A57E9A"/>
    <w:rsid w:val="00A602D1"/>
    <w:rsid w:val="00A602E5"/>
    <w:rsid w:val="00A60315"/>
    <w:rsid w:val="00A605CA"/>
    <w:rsid w:val="00A605FA"/>
    <w:rsid w:val="00A608F1"/>
    <w:rsid w:val="00A60CDA"/>
    <w:rsid w:val="00A60F0A"/>
    <w:rsid w:val="00A61307"/>
    <w:rsid w:val="00A61581"/>
    <w:rsid w:val="00A615AE"/>
    <w:rsid w:val="00A61717"/>
    <w:rsid w:val="00A617B3"/>
    <w:rsid w:val="00A61918"/>
    <w:rsid w:val="00A61946"/>
    <w:rsid w:val="00A619E9"/>
    <w:rsid w:val="00A61A64"/>
    <w:rsid w:val="00A61A8B"/>
    <w:rsid w:val="00A61DEE"/>
    <w:rsid w:val="00A61EAA"/>
    <w:rsid w:val="00A62240"/>
    <w:rsid w:val="00A6279C"/>
    <w:rsid w:val="00A62B0D"/>
    <w:rsid w:val="00A63032"/>
    <w:rsid w:val="00A6357C"/>
    <w:rsid w:val="00A638B5"/>
    <w:rsid w:val="00A63996"/>
    <w:rsid w:val="00A63A34"/>
    <w:rsid w:val="00A63B1A"/>
    <w:rsid w:val="00A63BDB"/>
    <w:rsid w:val="00A63C0A"/>
    <w:rsid w:val="00A63CAF"/>
    <w:rsid w:val="00A63E0A"/>
    <w:rsid w:val="00A6411C"/>
    <w:rsid w:val="00A64362"/>
    <w:rsid w:val="00A649D5"/>
    <w:rsid w:val="00A64FE9"/>
    <w:rsid w:val="00A651CD"/>
    <w:rsid w:val="00A65262"/>
    <w:rsid w:val="00A652AC"/>
    <w:rsid w:val="00A65640"/>
    <w:rsid w:val="00A656C3"/>
    <w:rsid w:val="00A65719"/>
    <w:rsid w:val="00A657FB"/>
    <w:rsid w:val="00A658BE"/>
    <w:rsid w:val="00A65AC7"/>
    <w:rsid w:val="00A65B6B"/>
    <w:rsid w:val="00A65EFB"/>
    <w:rsid w:val="00A66096"/>
    <w:rsid w:val="00A66113"/>
    <w:rsid w:val="00A6613D"/>
    <w:rsid w:val="00A66424"/>
    <w:rsid w:val="00A665DA"/>
    <w:rsid w:val="00A66790"/>
    <w:rsid w:val="00A6694E"/>
    <w:rsid w:val="00A66B1C"/>
    <w:rsid w:val="00A66B58"/>
    <w:rsid w:val="00A66B99"/>
    <w:rsid w:val="00A66C03"/>
    <w:rsid w:val="00A66E45"/>
    <w:rsid w:val="00A66EF9"/>
    <w:rsid w:val="00A67244"/>
    <w:rsid w:val="00A67373"/>
    <w:rsid w:val="00A673E0"/>
    <w:rsid w:val="00A676B4"/>
    <w:rsid w:val="00A6770A"/>
    <w:rsid w:val="00A67891"/>
    <w:rsid w:val="00A67B40"/>
    <w:rsid w:val="00A67F24"/>
    <w:rsid w:val="00A67F86"/>
    <w:rsid w:val="00A700CE"/>
    <w:rsid w:val="00A70292"/>
    <w:rsid w:val="00A706A2"/>
    <w:rsid w:val="00A7078C"/>
    <w:rsid w:val="00A70A6B"/>
    <w:rsid w:val="00A70A8F"/>
    <w:rsid w:val="00A70FB8"/>
    <w:rsid w:val="00A7145B"/>
    <w:rsid w:val="00A715C6"/>
    <w:rsid w:val="00A717D7"/>
    <w:rsid w:val="00A71855"/>
    <w:rsid w:val="00A71990"/>
    <w:rsid w:val="00A71B31"/>
    <w:rsid w:val="00A71C82"/>
    <w:rsid w:val="00A7233F"/>
    <w:rsid w:val="00A725C3"/>
    <w:rsid w:val="00A72701"/>
    <w:rsid w:val="00A72AC2"/>
    <w:rsid w:val="00A72F36"/>
    <w:rsid w:val="00A7337A"/>
    <w:rsid w:val="00A735B8"/>
    <w:rsid w:val="00A73812"/>
    <w:rsid w:val="00A73891"/>
    <w:rsid w:val="00A739EE"/>
    <w:rsid w:val="00A73D42"/>
    <w:rsid w:val="00A73FD3"/>
    <w:rsid w:val="00A74185"/>
    <w:rsid w:val="00A745FF"/>
    <w:rsid w:val="00A7462B"/>
    <w:rsid w:val="00A7465B"/>
    <w:rsid w:val="00A7495E"/>
    <w:rsid w:val="00A74AA6"/>
    <w:rsid w:val="00A74B1A"/>
    <w:rsid w:val="00A74D96"/>
    <w:rsid w:val="00A74E7F"/>
    <w:rsid w:val="00A74F09"/>
    <w:rsid w:val="00A74FE0"/>
    <w:rsid w:val="00A74FE6"/>
    <w:rsid w:val="00A751B3"/>
    <w:rsid w:val="00A75221"/>
    <w:rsid w:val="00A7553C"/>
    <w:rsid w:val="00A75547"/>
    <w:rsid w:val="00A7574D"/>
    <w:rsid w:val="00A757BC"/>
    <w:rsid w:val="00A758AE"/>
    <w:rsid w:val="00A75E69"/>
    <w:rsid w:val="00A75EFA"/>
    <w:rsid w:val="00A75F35"/>
    <w:rsid w:val="00A76472"/>
    <w:rsid w:val="00A7688E"/>
    <w:rsid w:val="00A769BB"/>
    <w:rsid w:val="00A76DCE"/>
    <w:rsid w:val="00A76E5B"/>
    <w:rsid w:val="00A76EF7"/>
    <w:rsid w:val="00A76F36"/>
    <w:rsid w:val="00A77116"/>
    <w:rsid w:val="00A771E0"/>
    <w:rsid w:val="00A7750A"/>
    <w:rsid w:val="00A77841"/>
    <w:rsid w:val="00A778AD"/>
    <w:rsid w:val="00A77CBF"/>
    <w:rsid w:val="00A80050"/>
    <w:rsid w:val="00A8058B"/>
    <w:rsid w:val="00A80692"/>
    <w:rsid w:val="00A80776"/>
    <w:rsid w:val="00A80CBE"/>
    <w:rsid w:val="00A80CD2"/>
    <w:rsid w:val="00A80EA1"/>
    <w:rsid w:val="00A80EB7"/>
    <w:rsid w:val="00A80F1A"/>
    <w:rsid w:val="00A81374"/>
    <w:rsid w:val="00A8152E"/>
    <w:rsid w:val="00A815F4"/>
    <w:rsid w:val="00A81F51"/>
    <w:rsid w:val="00A8200F"/>
    <w:rsid w:val="00A82505"/>
    <w:rsid w:val="00A82637"/>
    <w:rsid w:val="00A8282F"/>
    <w:rsid w:val="00A82A56"/>
    <w:rsid w:val="00A834DD"/>
    <w:rsid w:val="00A83521"/>
    <w:rsid w:val="00A83870"/>
    <w:rsid w:val="00A83F0A"/>
    <w:rsid w:val="00A8401E"/>
    <w:rsid w:val="00A84074"/>
    <w:rsid w:val="00A841D0"/>
    <w:rsid w:val="00A843C6"/>
    <w:rsid w:val="00A84449"/>
    <w:rsid w:val="00A849E7"/>
    <w:rsid w:val="00A84BBC"/>
    <w:rsid w:val="00A84C1D"/>
    <w:rsid w:val="00A84C2B"/>
    <w:rsid w:val="00A84D8D"/>
    <w:rsid w:val="00A85028"/>
    <w:rsid w:val="00A8511D"/>
    <w:rsid w:val="00A8549E"/>
    <w:rsid w:val="00A854FD"/>
    <w:rsid w:val="00A855E8"/>
    <w:rsid w:val="00A856C7"/>
    <w:rsid w:val="00A8574D"/>
    <w:rsid w:val="00A86012"/>
    <w:rsid w:val="00A86401"/>
    <w:rsid w:val="00A864BC"/>
    <w:rsid w:val="00A86790"/>
    <w:rsid w:val="00A86F03"/>
    <w:rsid w:val="00A87212"/>
    <w:rsid w:val="00A87355"/>
    <w:rsid w:val="00A874EE"/>
    <w:rsid w:val="00A87810"/>
    <w:rsid w:val="00A879EE"/>
    <w:rsid w:val="00A87B45"/>
    <w:rsid w:val="00A87DAD"/>
    <w:rsid w:val="00A87E0D"/>
    <w:rsid w:val="00A87F3B"/>
    <w:rsid w:val="00A87F76"/>
    <w:rsid w:val="00A9006C"/>
    <w:rsid w:val="00A90145"/>
    <w:rsid w:val="00A902C8"/>
    <w:rsid w:val="00A903EC"/>
    <w:rsid w:val="00A9042C"/>
    <w:rsid w:val="00A904AD"/>
    <w:rsid w:val="00A90D2D"/>
    <w:rsid w:val="00A910A0"/>
    <w:rsid w:val="00A910ED"/>
    <w:rsid w:val="00A9112D"/>
    <w:rsid w:val="00A914E8"/>
    <w:rsid w:val="00A91723"/>
    <w:rsid w:val="00A91773"/>
    <w:rsid w:val="00A91878"/>
    <w:rsid w:val="00A9193E"/>
    <w:rsid w:val="00A91B66"/>
    <w:rsid w:val="00A9205A"/>
    <w:rsid w:val="00A920AA"/>
    <w:rsid w:val="00A927C6"/>
    <w:rsid w:val="00A9328D"/>
    <w:rsid w:val="00A932AD"/>
    <w:rsid w:val="00A93569"/>
    <w:rsid w:val="00A93B87"/>
    <w:rsid w:val="00A93E5C"/>
    <w:rsid w:val="00A940BE"/>
    <w:rsid w:val="00A9419C"/>
    <w:rsid w:val="00A942A2"/>
    <w:rsid w:val="00A9488E"/>
    <w:rsid w:val="00A949F3"/>
    <w:rsid w:val="00A94ABB"/>
    <w:rsid w:val="00A94AC6"/>
    <w:rsid w:val="00A94DD8"/>
    <w:rsid w:val="00A94E5E"/>
    <w:rsid w:val="00A94E7E"/>
    <w:rsid w:val="00A94FA5"/>
    <w:rsid w:val="00A9531C"/>
    <w:rsid w:val="00A957BB"/>
    <w:rsid w:val="00A95937"/>
    <w:rsid w:val="00A95A3F"/>
    <w:rsid w:val="00A95C29"/>
    <w:rsid w:val="00A95E31"/>
    <w:rsid w:val="00A95F31"/>
    <w:rsid w:val="00A96097"/>
    <w:rsid w:val="00A9614D"/>
    <w:rsid w:val="00A9616E"/>
    <w:rsid w:val="00A961ED"/>
    <w:rsid w:val="00A963C6"/>
    <w:rsid w:val="00A966BA"/>
    <w:rsid w:val="00A96846"/>
    <w:rsid w:val="00A96C3E"/>
    <w:rsid w:val="00A96F5B"/>
    <w:rsid w:val="00A975BF"/>
    <w:rsid w:val="00A9774C"/>
    <w:rsid w:val="00A978E5"/>
    <w:rsid w:val="00A97B2B"/>
    <w:rsid w:val="00A97B66"/>
    <w:rsid w:val="00A97C95"/>
    <w:rsid w:val="00A97D5A"/>
    <w:rsid w:val="00A97FB5"/>
    <w:rsid w:val="00AA0182"/>
    <w:rsid w:val="00AA031A"/>
    <w:rsid w:val="00AA04D5"/>
    <w:rsid w:val="00AA055F"/>
    <w:rsid w:val="00AA05E2"/>
    <w:rsid w:val="00AA0CA1"/>
    <w:rsid w:val="00AA0E14"/>
    <w:rsid w:val="00AA0F97"/>
    <w:rsid w:val="00AA113C"/>
    <w:rsid w:val="00AA118B"/>
    <w:rsid w:val="00AA11AD"/>
    <w:rsid w:val="00AA16CD"/>
    <w:rsid w:val="00AA1AE1"/>
    <w:rsid w:val="00AA1B18"/>
    <w:rsid w:val="00AA1B7B"/>
    <w:rsid w:val="00AA1DCF"/>
    <w:rsid w:val="00AA2175"/>
    <w:rsid w:val="00AA2550"/>
    <w:rsid w:val="00AA256C"/>
    <w:rsid w:val="00AA28BF"/>
    <w:rsid w:val="00AA2A80"/>
    <w:rsid w:val="00AA2DD6"/>
    <w:rsid w:val="00AA349A"/>
    <w:rsid w:val="00AA3552"/>
    <w:rsid w:val="00AA364B"/>
    <w:rsid w:val="00AA388B"/>
    <w:rsid w:val="00AA38E3"/>
    <w:rsid w:val="00AA3986"/>
    <w:rsid w:val="00AA39CD"/>
    <w:rsid w:val="00AA3DB4"/>
    <w:rsid w:val="00AA40B3"/>
    <w:rsid w:val="00AA4715"/>
    <w:rsid w:val="00AA47F5"/>
    <w:rsid w:val="00AA48EC"/>
    <w:rsid w:val="00AA4D91"/>
    <w:rsid w:val="00AA5003"/>
    <w:rsid w:val="00AA51C4"/>
    <w:rsid w:val="00AA542C"/>
    <w:rsid w:val="00AA551D"/>
    <w:rsid w:val="00AA5616"/>
    <w:rsid w:val="00AA5771"/>
    <w:rsid w:val="00AA57C5"/>
    <w:rsid w:val="00AA5AE7"/>
    <w:rsid w:val="00AA5DD6"/>
    <w:rsid w:val="00AA5E5E"/>
    <w:rsid w:val="00AA5F46"/>
    <w:rsid w:val="00AA61BD"/>
    <w:rsid w:val="00AA63F7"/>
    <w:rsid w:val="00AA66FF"/>
    <w:rsid w:val="00AA68A3"/>
    <w:rsid w:val="00AA6B2F"/>
    <w:rsid w:val="00AA6C3F"/>
    <w:rsid w:val="00AA6E1B"/>
    <w:rsid w:val="00AA6E52"/>
    <w:rsid w:val="00AA6F15"/>
    <w:rsid w:val="00AA6F4E"/>
    <w:rsid w:val="00AA7114"/>
    <w:rsid w:val="00AA7720"/>
    <w:rsid w:val="00AA77AA"/>
    <w:rsid w:val="00AA7AFD"/>
    <w:rsid w:val="00AA7DF6"/>
    <w:rsid w:val="00AA7F95"/>
    <w:rsid w:val="00AB033B"/>
    <w:rsid w:val="00AB13F3"/>
    <w:rsid w:val="00AB1874"/>
    <w:rsid w:val="00AB1D63"/>
    <w:rsid w:val="00AB1D85"/>
    <w:rsid w:val="00AB2550"/>
    <w:rsid w:val="00AB26D4"/>
    <w:rsid w:val="00AB28FD"/>
    <w:rsid w:val="00AB296E"/>
    <w:rsid w:val="00AB2DF7"/>
    <w:rsid w:val="00AB3299"/>
    <w:rsid w:val="00AB3FC9"/>
    <w:rsid w:val="00AB4304"/>
    <w:rsid w:val="00AB44DE"/>
    <w:rsid w:val="00AB45A7"/>
    <w:rsid w:val="00AB49C2"/>
    <w:rsid w:val="00AB4A79"/>
    <w:rsid w:val="00AB4B0E"/>
    <w:rsid w:val="00AB4CAC"/>
    <w:rsid w:val="00AB4FCF"/>
    <w:rsid w:val="00AB53D7"/>
    <w:rsid w:val="00AB5418"/>
    <w:rsid w:val="00AB559E"/>
    <w:rsid w:val="00AB5A66"/>
    <w:rsid w:val="00AB5CB1"/>
    <w:rsid w:val="00AB5DD5"/>
    <w:rsid w:val="00AB6299"/>
    <w:rsid w:val="00AB6436"/>
    <w:rsid w:val="00AB65AA"/>
    <w:rsid w:val="00AB66AF"/>
    <w:rsid w:val="00AB67B5"/>
    <w:rsid w:val="00AB6B39"/>
    <w:rsid w:val="00AB6E38"/>
    <w:rsid w:val="00AB7409"/>
    <w:rsid w:val="00AB76BB"/>
    <w:rsid w:val="00AB7969"/>
    <w:rsid w:val="00AB7BB7"/>
    <w:rsid w:val="00AB7CEF"/>
    <w:rsid w:val="00AC0089"/>
    <w:rsid w:val="00AC0308"/>
    <w:rsid w:val="00AC05E2"/>
    <w:rsid w:val="00AC09AB"/>
    <w:rsid w:val="00AC0EAC"/>
    <w:rsid w:val="00AC12C3"/>
    <w:rsid w:val="00AC14FC"/>
    <w:rsid w:val="00AC1719"/>
    <w:rsid w:val="00AC19BF"/>
    <w:rsid w:val="00AC1B6E"/>
    <w:rsid w:val="00AC1ECB"/>
    <w:rsid w:val="00AC1EFD"/>
    <w:rsid w:val="00AC23BA"/>
    <w:rsid w:val="00AC24C3"/>
    <w:rsid w:val="00AC2582"/>
    <w:rsid w:val="00AC2770"/>
    <w:rsid w:val="00AC2835"/>
    <w:rsid w:val="00AC28E0"/>
    <w:rsid w:val="00AC2B1E"/>
    <w:rsid w:val="00AC2B28"/>
    <w:rsid w:val="00AC2BAB"/>
    <w:rsid w:val="00AC2DEC"/>
    <w:rsid w:val="00AC2E10"/>
    <w:rsid w:val="00AC3CE6"/>
    <w:rsid w:val="00AC3D99"/>
    <w:rsid w:val="00AC3F4B"/>
    <w:rsid w:val="00AC3FF5"/>
    <w:rsid w:val="00AC404E"/>
    <w:rsid w:val="00AC40A1"/>
    <w:rsid w:val="00AC410D"/>
    <w:rsid w:val="00AC4A18"/>
    <w:rsid w:val="00AC4AE3"/>
    <w:rsid w:val="00AC4BA7"/>
    <w:rsid w:val="00AC5622"/>
    <w:rsid w:val="00AC5FBC"/>
    <w:rsid w:val="00AC6055"/>
    <w:rsid w:val="00AC610A"/>
    <w:rsid w:val="00AC663A"/>
    <w:rsid w:val="00AC69B1"/>
    <w:rsid w:val="00AC6A02"/>
    <w:rsid w:val="00AC6BD1"/>
    <w:rsid w:val="00AC6C89"/>
    <w:rsid w:val="00AC6D8F"/>
    <w:rsid w:val="00AC73CB"/>
    <w:rsid w:val="00AC79F6"/>
    <w:rsid w:val="00AC7F3E"/>
    <w:rsid w:val="00AD033E"/>
    <w:rsid w:val="00AD03EE"/>
    <w:rsid w:val="00AD0401"/>
    <w:rsid w:val="00AD0713"/>
    <w:rsid w:val="00AD0933"/>
    <w:rsid w:val="00AD0BA6"/>
    <w:rsid w:val="00AD0D2E"/>
    <w:rsid w:val="00AD0FC2"/>
    <w:rsid w:val="00AD0FDC"/>
    <w:rsid w:val="00AD10D4"/>
    <w:rsid w:val="00AD1753"/>
    <w:rsid w:val="00AD19AB"/>
    <w:rsid w:val="00AD1A0F"/>
    <w:rsid w:val="00AD2165"/>
    <w:rsid w:val="00AD21BB"/>
    <w:rsid w:val="00AD2382"/>
    <w:rsid w:val="00AD23CD"/>
    <w:rsid w:val="00AD2D6E"/>
    <w:rsid w:val="00AD2EBB"/>
    <w:rsid w:val="00AD3031"/>
    <w:rsid w:val="00AD3147"/>
    <w:rsid w:val="00AD33A3"/>
    <w:rsid w:val="00AD3453"/>
    <w:rsid w:val="00AD3A27"/>
    <w:rsid w:val="00AD3B89"/>
    <w:rsid w:val="00AD3C67"/>
    <w:rsid w:val="00AD3CB5"/>
    <w:rsid w:val="00AD3E7A"/>
    <w:rsid w:val="00AD41CC"/>
    <w:rsid w:val="00AD4205"/>
    <w:rsid w:val="00AD452F"/>
    <w:rsid w:val="00AD4593"/>
    <w:rsid w:val="00AD45E0"/>
    <w:rsid w:val="00AD4BD5"/>
    <w:rsid w:val="00AD4C21"/>
    <w:rsid w:val="00AD4DD0"/>
    <w:rsid w:val="00AD4F10"/>
    <w:rsid w:val="00AD51D1"/>
    <w:rsid w:val="00AD5320"/>
    <w:rsid w:val="00AD57EC"/>
    <w:rsid w:val="00AD5D7D"/>
    <w:rsid w:val="00AD5EB3"/>
    <w:rsid w:val="00AD605D"/>
    <w:rsid w:val="00AD611B"/>
    <w:rsid w:val="00AD656D"/>
    <w:rsid w:val="00AD66A9"/>
    <w:rsid w:val="00AD6925"/>
    <w:rsid w:val="00AD6A9D"/>
    <w:rsid w:val="00AD6CEE"/>
    <w:rsid w:val="00AD6F56"/>
    <w:rsid w:val="00AD7375"/>
    <w:rsid w:val="00AD7517"/>
    <w:rsid w:val="00AD78FD"/>
    <w:rsid w:val="00AD7BAC"/>
    <w:rsid w:val="00AD7E05"/>
    <w:rsid w:val="00AE0094"/>
    <w:rsid w:val="00AE017B"/>
    <w:rsid w:val="00AE02D0"/>
    <w:rsid w:val="00AE0D4E"/>
    <w:rsid w:val="00AE13A6"/>
    <w:rsid w:val="00AE147F"/>
    <w:rsid w:val="00AE1492"/>
    <w:rsid w:val="00AE1864"/>
    <w:rsid w:val="00AE1993"/>
    <w:rsid w:val="00AE19BC"/>
    <w:rsid w:val="00AE1A73"/>
    <w:rsid w:val="00AE1B08"/>
    <w:rsid w:val="00AE23C9"/>
    <w:rsid w:val="00AE23E2"/>
    <w:rsid w:val="00AE2AC8"/>
    <w:rsid w:val="00AE2E05"/>
    <w:rsid w:val="00AE3481"/>
    <w:rsid w:val="00AE34E7"/>
    <w:rsid w:val="00AE3537"/>
    <w:rsid w:val="00AE370C"/>
    <w:rsid w:val="00AE3C2B"/>
    <w:rsid w:val="00AE3C73"/>
    <w:rsid w:val="00AE3F6D"/>
    <w:rsid w:val="00AE407C"/>
    <w:rsid w:val="00AE4116"/>
    <w:rsid w:val="00AE44A5"/>
    <w:rsid w:val="00AE44D6"/>
    <w:rsid w:val="00AE4943"/>
    <w:rsid w:val="00AE4D1C"/>
    <w:rsid w:val="00AE4E85"/>
    <w:rsid w:val="00AE514F"/>
    <w:rsid w:val="00AE51FA"/>
    <w:rsid w:val="00AE5422"/>
    <w:rsid w:val="00AE5492"/>
    <w:rsid w:val="00AE5954"/>
    <w:rsid w:val="00AE60E1"/>
    <w:rsid w:val="00AE62A5"/>
    <w:rsid w:val="00AE67F8"/>
    <w:rsid w:val="00AE67FE"/>
    <w:rsid w:val="00AE6976"/>
    <w:rsid w:val="00AE6A07"/>
    <w:rsid w:val="00AE6B0C"/>
    <w:rsid w:val="00AE6C37"/>
    <w:rsid w:val="00AE6E5B"/>
    <w:rsid w:val="00AE7021"/>
    <w:rsid w:val="00AE709E"/>
    <w:rsid w:val="00AE78C3"/>
    <w:rsid w:val="00AE7C4D"/>
    <w:rsid w:val="00AE7FE7"/>
    <w:rsid w:val="00AF04E0"/>
    <w:rsid w:val="00AF0560"/>
    <w:rsid w:val="00AF06D8"/>
    <w:rsid w:val="00AF088A"/>
    <w:rsid w:val="00AF0A14"/>
    <w:rsid w:val="00AF0AC5"/>
    <w:rsid w:val="00AF0D2D"/>
    <w:rsid w:val="00AF10CA"/>
    <w:rsid w:val="00AF1100"/>
    <w:rsid w:val="00AF1317"/>
    <w:rsid w:val="00AF1897"/>
    <w:rsid w:val="00AF1BA0"/>
    <w:rsid w:val="00AF1CCA"/>
    <w:rsid w:val="00AF1D53"/>
    <w:rsid w:val="00AF236B"/>
    <w:rsid w:val="00AF259D"/>
    <w:rsid w:val="00AF2716"/>
    <w:rsid w:val="00AF2938"/>
    <w:rsid w:val="00AF2C53"/>
    <w:rsid w:val="00AF2C8D"/>
    <w:rsid w:val="00AF2F8C"/>
    <w:rsid w:val="00AF33D3"/>
    <w:rsid w:val="00AF35A3"/>
    <w:rsid w:val="00AF3875"/>
    <w:rsid w:val="00AF3890"/>
    <w:rsid w:val="00AF3A2D"/>
    <w:rsid w:val="00AF3CC0"/>
    <w:rsid w:val="00AF3D23"/>
    <w:rsid w:val="00AF3D33"/>
    <w:rsid w:val="00AF3E84"/>
    <w:rsid w:val="00AF400A"/>
    <w:rsid w:val="00AF4247"/>
    <w:rsid w:val="00AF43FD"/>
    <w:rsid w:val="00AF46EF"/>
    <w:rsid w:val="00AF46FB"/>
    <w:rsid w:val="00AF4769"/>
    <w:rsid w:val="00AF4828"/>
    <w:rsid w:val="00AF4897"/>
    <w:rsid w:val="00AF49F3"/>
    <w:rsid w:val="00AF4A9E"/>
    <w:rsid w:val="00AF4CB8"/>
    <w:rsid w:val="00AF4F90"/>
    <w:rsid w:val="00AF553A"/>
    <w:rsid w:val="00AF566A"/>
    <w:rsid w:val="00AF5BEC"/>
    <w:rsid w:val="00AF5FE6"/>
    <w:rsid w:val="00AF60A8"/>
    <w:rsid w:val="00AF61BD"/>
    <w:rsid w:val="00AF641C"/>
    <w:rsid w:val="00AF6456"/>
    <w:rsid w:val="00AF65AE"/>
    <w:rsid w:val="00AF6861"/>
    <w:rsid w:val="00AF7104"/>
    <w:rsid w:val="00AF732E"/>
    <w:rsid w:val="00AF7591"/>
    <w:rsid w:val="00AF7641"/>
    <w:rsid w:val="00AF76E5"/>
    <w:rsid w:val="00AF7844"/>
    <w:rsid w:val="00AF7845"/>
    <w:rsid w:val="00AF7962"/>
    <w:rsid w:val="00AF79BA"/>
    <w:rsid w:val="00AF7BFB"/>
    <w:rsid w:val="00AF7E2B"/>
    <w:rsid w:val="00AF7F0B"/>
    <w:rsid w:val="00B00025"/>
    <w:rsid w:val="00B00034"/>
    <w:rsid w:val="00B0005E"/>
    <w:rsid w:val="00B000FD"/>
    <w:rsid w:val="00B00293"/>
    <w:rsid w:val="00B00348"/>
    <w:rsid w:val="00B00390"/>
    <w:rsid w:val="00B00575"/>
    <w:rsid w:val="00B00ACD"/>
    <w:rsid w:val="00B00CF0"/>
    <w:rsid w:val="00B00DDE"/>
    <w:rsid w:val="00B010D2"/>
    <w:rsid w:val="00B01330"/>
    <w:rsid w:val="00B01332"/>
    <w:rsid w:val="00B01FEC"/>
    <w:rsid w:val="00B02127"/>
    <w:rsid w:val="00B024B9"/>
    <w:rsid w:val="00B02E83"/>
    <w:rsid w:val="00B0343A"/>
    <w:rsid w:val="00B03535"/>
    <w:rsid w:val="00B0360D"/>
    <w:rsid w:val="00B039BC"/>
    <w:rsid w:val="00B03B35"/>
    <w:rsid w:val="00B03C27"/>
    <w:rsid w:val="00B03D0C"/>
    <w:rsid w:val="00B0404A"/>
    <w:rsid w:val="00B0412C"/>
    <w:rsid w:val="00B041F0"/>
    <w:rsid w:val="00B0468E"/>
    <w:rsid w:val="00B04696"/>
    <w:rsid w:val="00B046EC"/>
    <w:rsid w:val="00B04E0B"/>
    <w:rsid w:val="00B04FA9"/>
    <w:rsid w:val="00B053AB"/>
    <w:rsid w:val="00B056A2"/>
    <w:rsid w:val="00B058F9"/>
    <w:rsid w:val="00B05A73"/>
    <w:rsid w:val="00B06044"/>
    <w:rsid w:val="00B06565"/>
    <w:rsid w:val="00B065AE"/>
    <w:rsid w:val="00B0664B"/>
    <w:rsid w:val="00B0676D"/>
    <w:rsid w:val="00B06A27"/>
    <w:rsid w:val="00B0723C"/>
    <w:rsid w:val="00B07339"/>
    <w:rsid w:val="00B077C3"/>
    <w:rsid w:val="00B07A0D"/>
    <w:rsid w:val="00B07B27"/>
    <w:rsid w:val="00B07CDC"/>
    <w:rsid w:val="00B10264"/>
    <w:rsid w:val="00B1029F"/>
    <w:rsid w:val="00B103E3"/>
    <w:rsid w:val="00B1082C"/>
    <w:rsid w:val="00B10AB9"/>
    <w:rsid w:val="00B1106F"/>
    <w:rsid w:val="00B11653"/>
    <w:rsid w:val="00B116AC"/>
    <w:rsid w:val="00B11736"/>
    <w:rsid w:val="00B1173D"/>
    <w:rsid w:val="00B117ED"/>
    <w:rsid w:val="00B11878"/>
    <w:rsid w:val="00B118D3"/>
    <w:rsid w:val="00B11935"/>
    <w:rsid w:val="00B11AFB"/>
    <w:rsid w:val="00B11E69"/>
    <w:rsid w:val="00B12122"/>
    <w:rsid w:val="00B12306"/>
    <w:rsid w:val="00B1274C"/>
    <w:rsid w:val="00B1316B"/>
    <w:rsid w:val="00B1317F"/>
    <w:rsid w:val="00B1333C"/>
    <w:rsid w:val="00B13D0B"/>
    <w:rsid w:val="00B13FD0"/>
    <w:rsid w:val="00B141B5"/>
    <w:rsid w:val="00B142C1"/>
    <w:rsid w:val="00B147E3"/>
    <w:rsid w:val="00B14807"/>
    <w:rsid w:val="00B149DB"/>
    <w:rsid w:val="00B14F53"/>
    <w:rsid w:val="00B15AAF"/>
    <w:rsid w:val="00B15B0D"/>
    <w:rsid w:val="00B16098"/>
    <w:rsid w:val="00B161E3"/>
    <w:rsid w:val="00B16392"/>
    <w:rsid w:val="00B1659C"/>
    <w:rsid w:val="00B167BD"/>
    <w:rsid w:val="00B167E6"/>
    <w:rsid w:val="00B1691F"/>
    <w:rsid w:val="00B16934"/>
    <w:rsid w:val="00B16A14"/>
    <w:rsid w:val="00B16AEB"/>
    <w:rsid w:val="00B16E5D"/>
    <w:rsid w:val="00B16EFD"/>
    <w:rsid w:val="00B172EF"/>
    <w:rsid w:val="00B17300"/>
    <w:rsid w:val="00B17302"/>
    <w:rsid w:val="00B17307"/>
    <w:rsid w:val="00B17342"/>
    <w:rsid w:val="00B17383"/>
    <w:rsid w:val="00B17439"/>
    <w:rsid w:val="00B17806"/>
    <w:rsid w:val="00B17A2B"/>
    <w:rsid w:val="00B17C7C"/>
    <w:rsid w:val="00B17E6D"/>
    <w:rsid w:val="00B20088"/>
    <w:rsid w:val="00B200BA"/>
    <w:rsid w:val="00B204AF"/>
    <w:rsid w:val="00B206FE"/>
    <w:rsid w:val="00B20B9F"/>
    <w:rsid w:val="00B20E80"/>
    <w:rsid w:val="00B212E0"/>
    <w:rsid w:val="00B21526"/>
    <w:rsid w:val="00B218BC"/>
    <w:rsid w:val="00B21EB3"/>
    <w:rsid w:val="00B21FEB"/>
    <w:rsid w:val="00B2200B"/>
    <w:rsid w:val="00B22302"/>
    <w:rsid w:val="00B2243A"/>
    <w:rsid w:val="00B2285A"/>
    <w:rsid w:val="00B22885"/>
    <w:rsid w:val="00B22BBB"/>
    <w:rsid w:val="00B22C1C"/>
    <w:rsid w:val="00B23275"/>
    <w:rsid w:val="00B232E6"/>
    <w:rsid w:val="00B234A2"/>
    <w:rsid w:val="00B23530"/>
    <w:rsid w:val="00B237A7"/>
    <w:rsid w:val="00B23997"/>
    <w:rsid w:val="00B23AA2"/>
    <w:rsid w:val="00B23BB3"/>
    <w:rsid w:val="00B24022"/>
    <w:rsid w:val="00B24073"/>
    <w:rsid w:val="00B242AC"/>
    <w:rsid w:val="00B242BA"/>
    <w:rsid w:val="00B24337"/>
    <w:rsid w:val="00B24572"/>
    <w:rsid w:val="00B24BB9"/>
    <w:rsid w:val="00B24C7E"/>
    <w:rsid w:val="00B24D13"/>
    <w:rsid w:val="00B24ECC"/>
    <w:rsid w:val="00B24F16"/>
    <w:rsid w:val="00B25057"/>
    <w:rsid w:val="00B25117"/>
    <w:rsid w:val="00B2523A"/>
    <w:rsid w:val="00B2547D"/>
    <w:rsid w:val="00B25658"/>
    <w:rsid w:val="00B2576E"/>
    <w:rsid w:val="00B25AEC"/>
    <w:rsid w:val="00B25C44"/>
    <w:rsid w:val="00B25CFC"/>
    <w:rsid w:val="00B25E93"/>
    <w:rsid w:val="00B26284"/>
    <w:rsid w:val="00B2658A"/>
    <w:rsid w:val="00B268BF"/>
    <w:rsid w:val="00B2693E"/>
    <w:rsid w:val="00B26FD9"/>
    <w:rsid w:val="00B2705F"/>
    <w:rsid w:val="00B27297"/>
    <w:rsid w:val="00B27336"/>
    <w:rsid w:val="00B27395"/>
    <w:rsid w:val="00B2794C"/>
    <w:rsid w:val="00B27A73"/>
    <w:rsid w:val="00B27BAF"/>
    <w:rsid w:val="00B27C65"/>
    <w:rsid w:val="00B3011F"/>
    <w:rsid w:val="00B301F8"/>
    <w:rsid w:val="00B30264"/>
    <w:rsid w:val="00B30364"/>
    <w:rsid w:val="00B304B3"/>
    <w:rsid w:val="00B3061F"/>
    <w:rsid w:val="00B30731"/>
    <w:rsid w:val="00B30735"/>
    <w:rsid w:val="00B307ED"/>
    <w:rsid w:val="00B3098F"/>
    <w:rsid w:val="00B30EB0"/>
    <w:rsid w:val="00B31214"/>
    <w:rsid w:val="00B313AA"/>
    <w:rsid w:val="00B317E1"/>
    <w:rsid w:val="00B31976"/>
    <w:rsid w:val="00B319F4"/>
    <w:rsid w:val="00B31FC3"/>
    <w:rsid w:val="00B32645"/>
    <w:rsid w:val="00B32817"/>
    <w:rsid w:val="00B3287B"/>
    <w:rsid w:val="00B32BAA"/>
    <w:rsid w:val="00B32C5D"/>
    <w:rsid w:val="00B32CD8"/>
    <w:rsid w:val="00B32E58"/>
    <w:rsid w:val="00B32F09"/>
    <w:rsid w:val="00B33791"/>
    <w:rsid w:val="00B33906"/>
    <w:rsid w:val="00B33A86"/>
    <w:rsid w:val="00B33BC7"/>
    <w:rsid w:val="00B33C59"/>
    <w:rsid w:val="00B33EAB"/>
    <w:rsid w:val="00B34161"/>
    <w:rsid w:val="00B344D7"/>
    <w:rsid w:val="00B34526"/>
    <w:rsid w:val="00B34B83"/>
    <w:rsid w:val="00B34D0F"/>
    <w:rsid w:val="00B34D65"/>
    <w:rsid w:val="00B34EE2"/>
    <w:rsid w:val="00B34F9E"/>
    <w:rsid w:val="00B35148"/>
    <w:rsid w:val="00B3521D"/>
    <w:rsid w:val="00B35496"/>
    <w:rsid w:val="00B35678"/>
    <w:rsid w:val="00B358CE"/>
    <w:rsid w:val="00B35E9F"/>
    <w:rsid w:val="00B36005"/>
    <w:rsid w:val="00B362BD"/>
    <w:rsid w:val="00B3646E"/>
    <w:rsid w:val="00B36D60"/>
    <w:rsid w:val="00B36F74"/>
    <w:rsid w:val="00B37227"/>
    <w:rsid w:val="00B3772A"/>
    <w:rsid w:val="00B3774D"/>
    <w:rsid w:val="00B37919"/>
    <w:rsid w:val="00B37B8F"/>
    <w:rsid w:val="00B37DBC"/>
    <w:rsid w:val="00B4057B"/>
    <w:rsid w:val="00B405BB"/>
    <w:rsid w:val="00B40A7E"/>
    <w:rsid w:val="00B40B1E"/>
    <w:rsid w:val="00B40CB5"/>
    <w:rsid w:val="00B40DEE"/>
    <w:rsid w:val="00B414BF"/>
    <w:rsid w:val="00B41683"/>
    <w:rsid w:val="00B41848"/>
    <w:rsid w:val="00B4193F"/>
    <w:rsid w:val="00B41986"/>
    <w:rsid w:val="00B41D52"/>
    <w:rsid w:val="00B41E6D"/>
    <w:rsid w:val="00B41EF6"/>
    <w:rsid w:val="00B42102"/>
    <w:rsid w:val="00B421D0"/>
    <w:rsid w:val="00B43266"/>
    <w:rsid w:val="00B43531"/>
    <w:rsid w:val="00B43AEE"/>
    <w:rsid w:val="00B43AF4"/>
    <w:rsid w:val="00B43B4A"/>
    <w:rsid w:val="00B43E03"/>
    <w:rsid w:val="00B43E8A"/>
    <w:rsid w:val="00B43EAB"/>
    <w:rsid w:val="00B43EC4"/>
    <w:rsid w:val="00B44193"/>
    <w:rsid w:val="00B4436C"/>
    <w:rsid w:val="00B4467B"/>
    <w:rsid w:val="00B44841"/>
    <w:rsid w:val="00B449CA"/>
    <w:rsid w:val="00B44AF4"/>
    <w:rsid w:val="00B44B35"/>
    <w:rsid w:val="00B44F96"/>
    <w:rsid w:val="00B44FF0"/>
    <w:rsid w:val="00B459C9"/>
    <w:rsid w:val="00B45B9D"/>
    <w:rsid w:val="00B45BC9"/>
    <w:rsid w:val="00B45BCF"/>
    <w:rsid w:val="00B469DF"/>
    <w:rsid w:val="00B46C08"/>
    <w:rsid w:val="00B46C19"/>
    <w:rsid w:val="00B46D2D"/>
    <w:rsid w:val="00B46FDE"/>
    <w:rsid w:val="00B4701A"/>
    <w:rsid w:val="00B4703C"/>
    <w:rsid w:val="00B471C4"/>
    <w:rsid w:val="00B47C47"/>
    <w:rsid w:val="00B47FAB"/>
    <w:rsid w:val="00B5075C"/>
    <w:rsid w:val="00B50A26"/>
    <w:rsid w:val="00B50CCE"/>
    <w:rsid w:val="00B50DF0"/>
    <w:rsid w:val="00B50F6F"/>
    <w:rsid w:val="00B511BD"/>
    <w:rsid w:val="00B517AB"/>
    <w:rsid w:val="00B518D2"/>
    <w:rsid w:val="00B5191E"/>
    <w:rsid w:val="00B519A5"/>
    <w:rsid w:val="00B51B3A"/>
    <w:rsid w:val="00B51FDE"/>
    <w:rsid w:val="00B52193"/>
    <w:rsid w:val="00B52286"/>
    <w:rsid w:val="00B5258E"/>
    <w:rsid w:val="00B525AB"/>
    <w:rsid w:val="00B52A56"/>
    <w:rsid w:val="00B52D5F"/>
    <w:rsid w:val="00B535D0"/>
    <w:rsid w:val="00B53604"/>
    <w:rsid w:val="00B53818"/>
    <w:rsid w:val="00B539A5"/>
    <w:rsid w:val="00B53EFF"/>
    <w:rsid w:val="00B540D9"/>
    <w:rsid w:val="00B548ED"/>
    <w:rsid w:val="00B5557E"/>
    <w:rsid w:val="00B55DE2"/>
    <w:rsid w:val="00B55E8E"/>
    <w:rsid w:val="00B561E5"/>
    <w:rsid w:val="00B5677F"/>
    <w:rsid w:val="00B56CB3"/>
    <w:rsid w:val="00B56D98"/>
    <w:rsid w:val="00B57977"/>
    <w:rsid w:val="00B57BA9"/>
    <w:rsid w:val="00B57BD9"/>
    <w:rsid w:val="00B57F38"/>
    <w:rsid w:val="00B60172"/>
    <w:rsid w:val="00B60177"/>
    <w:rsid w:val="00B6035D"/>
    <w:rsid w:val="00B6052F"/>
    <w:rsid w:val="00B607D1"/>
    <w:rsid w:val="00B60C24"/>
    <w:rsid w:val="00B60CE6"/>
    <w:rsid w:val="00B60D56"/>
    <w:rsid w:val="00B60D94"/>
    <w:rsid w:val="00B60F0F"/>
    <w:rsid w:val="00B60FC6"/>
    <w:rsid w:val="00B61433"/>
    <w:rsid w:val="00B6181C"/>
    <w:rsid w:val="00B61A71"/>
    <w:rsid w:val="00B61CDC"/>
    <w:rsid w:val="00B61CF5"/>
    <w:rsid w:val="00B61D53"/>
    <w:rsid w:val="00B623A3"/>
    <w:rsid w:val="00B62790"/>
    <w:rsid w:val="00B629C1"/>
    <w:rsid w:val="00B62AFF"/>
    <w:rsid w:val="00B62F5D"/>
    <w:rsid w:val="00B62FEA"/>
    <w:rsid w:val="00B6378F"/>
    <w:rsid w:val="00B639EC"/>
    <w:rsid w:val="00B63B86"/>
    <w:rsid w:val="00B63BAA"/>
    <w:rsid w:val="00B63C0C"/>
    <w:rsid w:val="00B63F28"/>
    <w:rsid w:val="00B64337"/>
    <w:rsid w:val="00B64A60"/>
    <w:rsid w:val="00B64CA8"/>
    <w:rsid w:val="00B64F99"/>
    <w:rsid w:val="00B64FFA"/>
    <w:rsid w:val="00B650EE"/>
    <w:rsid w:val="00B6545A"/>
    <w:rsid w:val="00B6583D"/>
    <w:rsid w:val="00B65852"/>
    <w:rsid w:val="00B65904"/>
    <w:rsid w:val="00B65917"/>
    <w:rsid w:val="00B659FA"/>
    <w:rsid w:val="00B65C1F"/>
    <w:rsid w:val="00B65DC2"/>
    <w:rsid w:val="00B65FDB"/>
    <w:rsid w:val="00B6613D"/>
    <w:rsid w:val="00B661C2"/>
    <w:rsid w:val="00B662EA"/>
    <w:rsid w:val="00B6639A"/>
    <w:rsid w:val="00B66599"/>
    <w:rsid w:val="00B66679"/>
    <w:rsid w:val="00B66967"/>
    <w:rsid w:val="00B669EB"/>
    <w:rsid w:val="00B66A6C"/>
    <w:rsid w:val="00B66A8F"/>
    <w:rsid w:val="00B66B19"/>
    <w:rsid w:val="00B66C56"/>
    <w:rsid w:val="00B66EA8"/>
    <w:rsid w:val="00B66F62"/>
    <w:rsid w:val="00B66F9D"/>
    <w:rsid w:val="00B67347"/>
    <w:rsid w:val="00B6734C"/>
    <w:rsid w:val="00B6747E"/>
    <w:rsid w:val="00B677AB"/>
    <w:rsid w:val="00B678DA"/>
    <w:rsid w:val="00B67A7F"/>
    <w:rsid w:val="00B67BE9"/>
    <w:rsid w:val="00B67DD8"/>
    <w:rsid w:val="00B70113"/>
    <w:rsid w:val="00B70438"/>
    <w:rsid w:val="00B70572"/>
    <w:rsid w:val="00B7097B"/>
    <w:rsid w:val="00B70AED"/>
    <w:rsid w:val="00B70B00"/>
    <w:rsid w:val="00B70CDB"/>
    <w:rsid w:val="00B71059"/>
    <w:rsid w:val="00B714AC"/>
    <w:rsid w:val="00B715C0"/>
    <w:rsid w:val="00B71879"/>
    <w:rsid w:val="00B71C0B"/>
    <w:rsid w:val="00B71DE7"/>
    <w:rsid w:val="00B72636"/>
    <w:rsid w:val="00B72A0F"/>
    <w:rsid w:val="00B72BC8"/>
    <w:rsid w:val="00B72C28"/>
    <w:rsid w:val="00B735C9"/>
    <w:rsid w:val="00B73867"/>
    <w:rsid w:val="00B73A3F"/>
    <w:rsid w:val="00B7462D"/>
    <w:rsid w:val="00B7466E"/>
    <w:rsid w:val="00B74898"/>
    <w:rsid w:val="00B74BB9"/>
    <w:rsid w:val="00B74BEC"/>
    <w:rsid w:val="00B74D2D"/>
    <w:rsid w:val="00B7536C"/>
    <w:rsid w:val="00B75662"/>
    <w:rsid w:val="00B757A3"/>
    <w:rsid w:val="00B75B86"/>
    <w:rsid w:val="00B75C75"/>
    <w:rsid w:val="00B75F16"/>
    <w:rsid w:val="00B75F29"/>
    <w:rsid w:val="00B75FEE"/>
    <w:rsid w:val="00B765C8"/>
    <w:rsid w:val="00B76731"/>
    <w:rsid w:val="00B7675B"/>
    <w:rsid w:val="00B76864"/>
    <w:rsid w:val="00B76870"/>
    <w:rsid w:val="00B7687D"/>
    <w:rsid w:val="00B7690A"/>
    <w:rsid w:val="00B76BEE"/>
    <w:rsid w:val="00B76CB2"/>
    <w:rsid w:val="00B76F5D"/>
    <w:rsid w:val="00B76FCF"/>
    <w:rsid w:val="00B77012"/>
    <w:rsid w:val="00B77036"/>
    <w:rsid w:val="00B7756A"/>
    <w:rsid w:val="00B77797"/>
    <w:rsid w:val="00B77E07"/>
    <w:rsid w:val="00B77E72"/>
    <w:rsid w:val="00B77E78"/>
    <w:rsid w:val="00B80532"/>
    <w:rsid w:val="00B80580"/>
    <w:rsid w:val="00B807DF"/>
    <w:rsid w:val="00B80BBE"/>
    <w:rsid w:val="00B80C7F"/>
    <w:rsid w:val="00B81554"/>
    <w:rsid w:val="00B81990"/>
    <w:rsid w:val="00B81ED5"/>
    <w:rsid w:val="00B821FE"/>
    <w:rsid w:val="00B8269A"/>
    <w:rsid w:val="00B8294B"/>
    <w:rsid w:val="00B82B2D"/>
    <w:rsid w:val="00B82C6A"/>
    <w:rsid w:val="00B82D24"/>
    <w:rsid w:val="00B82D7A"/>
    <w:rsid w:val="00B830CF"/>
    <w:rsid w:val="00B83580"/>
    <w:rsid w:val="00B837E5"/>
    <w:rsid w:val="00B83820"/>
    <w:rsid w:val="00B83830"/>
    <w:rsid w:val="00B83D47"/>
    <w:rsid w:val="00B83EEC"/>
    <w:rsid w:val="00B83FCB"/>
    <w:rsid w:val="00B8402A"/>
    <w:rsid w:val="00B840EF"/>
    <w:rsid w:val="00B84603"/>
    <w:rsid w:val="00B84BBE"/>
    <w:rsid w:val="00B84DBD"/>
    <w:rsid w:val="00B84FA7"/>
    <w:rsid w:val="00B85014"/>
    <w:rsid w:val="00B850A5"/>
    <w:rsid w:val="00B85336"/>
    <w:rsid w:val="00B854A0"/>
    <w:rsid w:val="00B8563C"/>
    <w:rsid w:val="00B8580F"/>
    <w:rsid w:val="00B858DE"/>
    <w:rsid w:val="00B859F0"/>
    <w:rsid w:val="00B85FB0"/>
    <w:rsid w:val="00B8617D"/>
    <w:rsid w:val="00B863BA"/>
    <w:rsid w:val="00B865BB"/>
    <w:rsid w:val="00B868F3"/>
    <w:rsid w:val="00B869B5"/>
    <w:rsid w:val="00B86A29"/>
    <w:rsid w:val="00B86E46"/>
    <w:rsid w:val="00B86EA7"/>
    <w:rsid w:val="00B86EEA"/>
    <w:rsid w:val="00B870CE"/>
    <w:rsid w:val="00B87460"/>
    <w:rsid w:val="00B8755F"/>
    <w:rsid w:val="00B87CD9"/>
    <w:rsid w:val="00B87CEB"/>
    <w:rsid w:val="00B90177"/>
    <w:rsid w:val="00B902F0"/>
    <w:rsid w:val="00B90342"/>
    <w:rsid w:val="00B9060C"/>
    <w:rsid w:val="00B90611"/>
    <w:rsid w:val="00B90631"/>
    <w:rsid w:val="00B908B2"/>
    <w:rsid w:val="00B9091D"/>
    <w:rsid w:val="00B90A2D"/>
    <w:rsid w:val="00B90ACB"/>
    <w:rsid w:val="00B90C7D"/>
    <w:rsid w:val="00B90F5A"/>
    <w:rsid w:val="00B90F5B"/>
    <w:rsid w:val="00B90F7A"/>
    <w:rsid w:val="00B90FD9"/>
    <w:rsid w:val="00B9165D"/>
    <w:rsid w:val="00B91672"/>
    <w:rsid w:val="00B9171D"/>
    <w:rsid w:val="00B919DF"/>
    <w:rsid w:val="00B91BA2"/>
    <w:rsid w:val="00B9201E"/>
    <w:rsid w:val="00B921E4"/>
    <w:rsid w:val="00B92347"/>
    <w:rsid w:val="00B92357"/>
    <w:rsid w:val="00B923E1"/>
    <w:rsid w:val="00B92576"/>
    <w:rsid w:val="00B92609"/>
    <w:rsid w:val="00B9279A"/>
    <w:rsid w:val="00B931BB"/>
    <w:rsid w:val="00B93BDC"/>
    <w:rsid w:val="00B93C8C"/>
    <w:rsid w:val="00B940C3"/>
    <w:rsid w:val="00B940E2"/>
    <w:rsid w:val="00B94127"/>
    <w:rsid w:val="00B9446A"/>
    <w:rsid w:val="00B9446E"/>
    <w:rsid w:val="00B9448A"/>
    <w:rsid w:val="00B9461E"/>
    <w:rsid w:val="00B9469F"/>
    <w:rsid w:val="00B949B4"/>
    <w:rsid w:val="00B94E9C"/>
    <w:rsid w:val="00B950B2"/>
    <w:rsid w:val="00B95100"/>
    <w:rsid w:val="00B95157"/>
    <w:rsid w:val="00B9537C"/>
    <w:rsid w:val="00B953A3"/>
    <w:rsid w:val="00B9567A"/>
    <w:rsid w:val="00B9585E"/>
    <w:rsid w:val="00B95886"/>
    <w:rsid w:val="00B959FE"/>
    <w:rsid w:val="00B95A1B"/>
    <w:rsid w:val="00B95B0A"/>
    <w:rsid w:val="00B95C98"/>
    <w:rsid w:val="00B95CE9"/>
    <w:rsid w:val="00B95F5C"/>
    <w:rsid w:val="00B96138"/>
    <w:rsid w:val="00B965C3"/>
    <w:rsid w:val="00B96BED"/>
    <w:rsid w:val="00B96D19"/>
    <w:rsid w:val="00B96E26"/>
    <w:rsid w:val="00B96EEB"/>
    <w:rsid w:val="00B96F58"/>
    <w:rsid w:val="00B970A3"/>
    <w:rsid w:val="00B97422"/>
    <w:rsid w:val="00B9748C"/>
    <w:rsid w:val="00B974BC"/>
    <w:rsid w:val="00B97901"/>
    <w:rsid w:val="00B97C24"/>
    <w:rsid w:val="00BA0073"/>
    <w:rsid w:val="00BA077F"/>
    <w:rsid w:val="00BA094E"/>
    <w:rsid w:val="00BA0DE8"/>
    <w:rsid w:val="00BA0F3E"/>
    <w:rsid w:val="00BA105B"/>
    <w:rsid w:val="00BA10ED"/>
    <w:rsid w:val="00BA161F"/>
    <w:rsid w:val="00BA170D"/>
    <w:rsid w:val="00BA1722"/>
    <w:rsid w:val="00BA1891"/>
    <w:rsid w:val="00BA192B"/>
    <w:rsid w:val="00BA1A5A"/>
    <w:rsid w:val="00BA1C3A"/>
    <w:rsid w:val="00BA1F6B"/>
    <w:rsid w:val="00BA1FF8"/>
    <w:rsid w:val="00BA21FC"/>
    <w:rsid w:val="00BA228D"/>
    <w:rsid w:val="00BA27E0"/>
    <w:rsid w:val="00BA2827"/>
    <w:rsid w:val="00BA2919"/>
    <w:rsid w:val="00BA29C1"/>
    <w:rsid w:val="00BA2A35"/>
    <w:rsid w:val="00BA2DE8"/>
    <w:rsid w:val="00BA2F11"/>
    <w:rsid w:val="00BA30E1"/>
    <w:rsid w:val="00BA32E7"/>
    <w:rsid w:val="00BA3A6A"/>
    <w:rsid w:val="00BA3C9D"/>
    <w:rsid w:val="00BA3CD5"/>
    <w:rsid w:val="00BA3D79"/>
    <w:rsid w:val="00BA4366"/>
    <w:rsid w:val="00BA44ED"/>
    <w:rsid w:val="00BA4744"/>
    <w:rsid w:val="00BA4945"/>
    <w:rsid w:val="00BA4B95"/>
    <w:rsid w:val="00BA4C10"/>
    <w:rsid w:val="00BA4E97"/>
    <w:rsid w:val="00BA51EA"/>
    <w:rsid w:val="00BA5226"/>
    <w:rsid w:val="00BA52AA"/>
    <w:rsid w:val="00BA55D8"/>
    <w:rsid w:val="00BA5882"/>
    <w:rsid w:val="00BA5B5F"/>
    <w:rsid w:val="00BA5FFC"/>
    <w:rsid w:val="00BA622A"/>
    <w:rsid w:val="00BA6351"/>
    <w:rsid w:val="00BA68D6"/>
    <w:rsid w:val="00BA6AB2"/>
    <w:rsid w:val="00BA6AF7"/>
    <w:rsid w:val="00BA6B98"/>
    <w:rsid w:val="00BA6D37"/>
    <w:rsid w:val="00BA6E1A"/>
    <w:rsid w:val="00BA6E95"/>
    <w:rsid w:val="00BA6FEF"/>
    <w:rsid w:val="00BA7606"/>
    <w:rsid w:val="00BA772C"/>
    <w:rsid w:val="00BA78DF"/>
    <w:rsid w:val="00BA793F"/>
    <w:rsid w:val="00BA7D04"/>
    <w:rsid w:val="00BA7E90"/>
    <w:rsid w:val="00BB01BE"/>
    <w:rsid w:val="00BB067B"/>
    <w:rsid w:val="00BB080D"/>
    <w:rsid w:val="00BB1055"/>
    <w:rsid w:val="00BB109A"/>
    <w:rsid w:val="00BB14D4"/>
    <w:rsid w:val="00BB157F"/>
    <w:rsid w:val="00BB187F"/>
    <w:rsid w:val="00BB1AEF"/>
    <w:rsid w:val="00BB1C94"/>
    <w:rsid w:val="00BB1F52"/>
    <w:rsid w:val="00BB23E2"/>
    <w:rsid w:val="00BB24B1"/>
    <w:rsid w:val="00BB26D9"/>
    <w:rsid w:val="00BB27A3"/>
    <w:rsid w:val="00BB281E"/>
    <w:rsid w:val="00BB2825"/>
    <w:rsid w:val="00BB28A3"/>
    <w:rsid w:val="00BB29C5"/>
    <w:rsid w:val="00BB2D66"/>
    <w:rsid w:val="00BB2DCD"/>
    <w:rsid w:val="00BB3360"/>
    <w:rsid w:val="00BB34FA"/>
    <w:rsid w:val="00BB36A8"/>
    <w:rsid w:val="00BB3857"/>
    <w:rsid w:val="00BB38ED"/>
    <w:rsid w:val="00BB3960"/>
    <w:rsid w:val="00BB3C60"/>
    <w:rsid w:val="00BB3D67"/>
    <w:rsid w:val="00BB3ED2"/>
    <w:rsid w:val="00BB4116"/>
    <w:rsid w:val="00BB4184"/>
    <w:rsid w:val="00BB41D1"/>
    <w:rsid w:val="00BB4229"/>
    <w:rsid w:val="00BB571C"/>
    <w:rsid w:val="00BB5A8F"/>
    <w:rsid w:val="00BB5C7A"/>
    <w:rsid w:val="00BB5CD0"/>
    <w:rsid w:val="00BB5DB3"/>
    <w:rsid w:val="00BB64FA"/>
    <w:rsid w:val="00BB67AD"/>
    <w:rsid w:val="00BB6B64"/>
    <w:rsid w:val="00BB70EB"/>
    <w:rsid w:val="00BB7309"/>
    <w:rsid w:val="00BB742B"/>
    <w:rsid w:val="00BB7507"/>
    <w:rsid w:val="00BB7623"/>
    <w:rsid w:val="00BB7734"/>
    <w:rsid w:val="00BB7765"/>
    <w:rsid w:val="00BB790F"/>
    <w:rsid w:val="00BB7E5D"/>
    <w:rsid w:val="00BB7F18"/>
    <w:rsid w:val="00BC00F4"/>
    <w:rsid w:val="00BC0155"/>
    <w:rsid w:val="00BC02B6"/>
    <w:rsid w:val="00BC117A"/>
    <w:rsid w:val="00BC119E"/>
    <w:rsid w:val="00BC11B0"/>
    <w:rsid w:val="00BC1403"/>
    <w:rsid w:val="00BC1542"/>
    <w:rsid w:val="00BC1881"/>
    <w:rsid w:val="00BC1F45"/>
    <w:rsid w:val="00BC2017"/>
    <w:rsid w:val="00BC2021"/>
    <w:rsid w:val="00BC221F"/>
    <w:rsid w:val="00BC23E0"/>
    <w:rsid w:val="00BC24C2"/>
    <w:rsid w:val="00BC278B"/>
    <w:rsid w:val="00BC2872"/>
    <w:rsid w:val="00BC2AEC"/>
    <w:rsid w:val="00BC31A1"/>
    <w:rsid w:val="00BC31DB"/>
    <w:rsid w:val="00BC3221"/>
    <w:rsid w:val="00BC33AC"/>
    <w:rsid w:val="00BC38C9"/>
    <w:rsid w:val="00BC393C"/>
    <w:rsid w:val="00BC3EF6"/>
    <w:rsid w:val="00BC3F9C"/>
    <w:rsid w:val="00BC3FC8"/>
    <w:rsid w:val="00BC434B"/>
    <w:rsid w:val="00BC4866"/>
    <w:rsid w:val="00BC4A05"/>
    <w:rsid w:val="00BC4A4E"/>
    <w:rsid w:val="00BC4B63"/>
    <w:rsid w:val="00BC4D23"/>
    <w:rsid w:val="00BC4E30"/>
    <w:rsid w:val="00BC4EBC"/>
    <w:rsid w:val="00BC50B0"/>
    <w:rsid w:val="00BC5364"/>
    <w:rsid w:val="00BC5507"/>
    <w:rsid w:val="00BC55D4"/>
    <w:rsid w:val="00BC56C5"/>
    <w:rsid w:val="00BC5CA0"/>
    <w:rsid w:val="00BC5D17"/>
    <w:rsid w:val="00BC5D38"/>
    <w:rsid w:val="00BC5D89"/>
    <w:rsid w:val="00BC5EAF"/>
    <w:rsid w:val="00BC60E5"/>
    <w:rsid w:val="00BC64B8"/>
    <w:rsid w:val="00BC6818"/>
    <w:rsid w:val="00BC68B6"/>
    <w:rsid w:val="00BC6943"/>
    <w:rsid w:val="00BC6D64"/>
    <w:rsid w:val="00BC72D5"/>
    <w:rsid w:val="00BC79BD"/>
    <w:rsid w:val="00BC7B16"/>
    <w:rsid w:val="00BC7FBB"/>
    <w:rsid w:val="00BD010A"/>
    <w:rsid w:val="00BD0188"/>
    <w:rsid w:val="00BD01FB"/>
    <w:rsid w:val="00BD03D5"/>
    <w:rsid w:val="00BD05A0"/>
    <w:rsid w:val="00BD090F"/>
    <w:rsid w:val="00BD093E"/>
    <w:rsid w:val="00BD0B37"/>
    <w:rsid w:val="00BD127E"/>
    <w:rsid w:val="00BD1652"/>
    <w:rsid w:val="00BD17E8"/>
    <w:rsid w:val="00BD1961"/>
    <w:rsid w:val="00BD1EBE"/>
    <w:rsid w:val="00BD204E"/>
    <w:rsid w:val="00BD219C"/>
    <w:rsid w:val="00BD21DF"/>
    <w:rsid w:val="00BD229C"/>
    <w:rsid w:val="00BD3048"/>
    <w:rsid w:val="00BD3160"/>
    <w:rsid w:val="00BD3372"/>
    <w:rsid w:val="00BD3589"/>
    <w:rsid w:val="00BD39DC"/>
    <w:rsid w:val="00BD3C2A"/>
    <w:rsid w:val="00BD4013"/>
    <w:rsid w:val="00BD4308"/>
    <w:rsid w:val="00BD4955"/>
    <w:rsid w:val="00BD496B"/>
    <w:rsid w:val="00BD4B37"/>
    <w:rsid w:val="00BD52BF"/>
    <w:rsid w:val="00BD5315"/>
    <w:rsid w:val="00BD5495"/>
    <w:rsid w:val="00BD57B2"/>
    <w:rsid w:val="00BD5AAB"/>
    <w:rsid w:val="00BD5AB3"/>
    <w:rsid w:val="00BD5D12"/>
    <w:rsid w:val="00BD6014"/>
    <w:rsid w:val="00BD65DB"/>
    <w:rsid w:val="00BD6765"/>
    <w:rsid w:val="00BD6811"/>
    <w:rsid w:val="00BD6C0C"/>
    <w:rsid w:val="00BD6F63"/>
    <w:rsid w:val="00BD7336"/>
    <w:rsid w:val="00BD7487"/>
    <w:rsid w:val="00BD7560"/>
    <w:rsid w:val="00BD76B6"/>
    <w:rsid w:val="00BD7C05"/>
    <w:rsid w:val="00BD7D3A"/>
    <w:rsid w:val="00BE011F"/>
    <w:rsid w:val="00BE01E9"/>
    <w:rsid w:val="00BE02D5"/>
    <w:rsid w:val="00BE0435"/>
    <w:rsid w:val="00BE0440"/>
    <w:rsid w:val="00BE0488"/>
    <w:rsid w:val="00BE056E"/>
    <w:rsid w:val="00BE099A"/>
    <w:rsid w:val="00BE0A75"/>
    <w:rsid w:val="00BE0A97"/>
    <w:rsid w:val="00BE0E6C"/>
    <w:rsid w:val="00BE0FDE"/>
    <w:rsid w:val="00BE12B8"/>
    <w:rsid w:val="00BE13AD"/>
    <w:rsid w:val="00BE147F"/>
    <w:rsid w:val="00BE15B4"/>
    <w:rsid w:val="00BE1A5A"/>
    <w:rsid w:val="00BE1AD5"/>
    <w:rsid w:val="00BE1C3D"/>
    <w:rsid w:val="00BE1E18"/>
    <w:rsid w:val="00BE1E34"/>
    <w:rsid w:val="00BE1E89"/>
    <w:rsid w:val="00BE1F77"/>
    <w:rsid w:val="00BE209A"/>
    <w:rsid w:val="00BE2180"/>
    <w:rsid w:val="00BE24D1"/>
    <w:rsid w:val="00BE251A"/>
    <w:rsid w:val="00BE25C7"/>
    <w:rsid w:val="00BE2968"/>
    <w:rsid w:val="00BE2B54"/>
    <w:rsid w:val="00BE2D2B"/>
    <w:rsid w:val="00BE31D6"/>
    <w:rsid w:val="00BE3359"/>
    <w:rsid w:val="00BE34E5"/>
    <w:rsid w:val="00BE35EA"/>
    <w:rsid w:val="00BE389C"/>
    <w:rsid w:val="00BE428B"/>
    <w:rsid w:val="00BE46C7"/>
    <w:rsid w:val="00BE4770"/>
    <w:rsid w:val="00BE52AA"/>
    <w:rsid w:val="00BE53E3"/>
    <w:rsid w:val="00BE54EB"/>
    <w:rsid w:val="00BE562D"/>
    <w:rsid w:val="00BE5779"/>
    <w:rsid w:val="00BE5C74"/>
    <w:rsid w:val="00BE683E"/>
    <w:rsid w:val="00BE68B1"/>
    <w:rsid w:val="00BE68C3"/>
    <w:rsid w:val="00BE6C90"/>
    <w:rsid w:val="00BE6E31"/>
    <w:rsid w:val="00BE6E4A"/>
    <w:rsid w:val="00BE7475"/>
    <w:rsid w:val="00BE75C7"/>
    <w:rsid w:val="00BE7FEB"/>
    <w:rsid w:val="00BE7FF2"/>
    <w:rsid w:val="00BF0433"/>
    <w:rsid w:val="00BF0AAB"/>
    <w:rsid w:val="00BF10D2"/>
    <w:rsid w:val="00BF13A4"/>
    <w:rsid w:val="00BF180E"/>
    <w:rsid w:val="00BF1B20"/>
    <w:rsid w:val="00BF21B8"/>
    <w:rsid w:val="00BF25B4"/>
    <w:rsid w:val="00BF270C"/>
    <w:rsid w:val="00BF2762"/>
    <w:rsid w:val="00BF2A0C"/>
    <w:rsid w:val="00BF2AC3"/>
    <w:rsid w:val="00BF2BE4"/>
    <w:rsid w:val="00BF2DC8"/>
    <w:rsid w:val="00BF2F8A"/>
    <w:rsid w:val="00BF318A"/>
    <w:rsid w:val="00BF3520"/>
    <w:rsid w:val="00BF3628"/>
    <w:rsid w:val="00BF3737"/>
    <w:rsid w:val="00BF386C"/>
    <w:rsid w:val="00BF39F6"/>
    <w:rsid w:val="00BF3CEA"/>
    <w:rsid w:val="00BF4305"/>
    <w:rsid w:val="00BF451C"/>
    <w:rsid w:val="00BF4999"/>
    <w:rsid w:val="00BF4B83"/>
    <w:rsid w:val="00BF4BB5"/>
    <w:rsid w:val="00BF4D6C"/>
    <w:rsid w:val="00BF4F42"/>
    <w:rsid w:val="00BF507C"/>
    <w:rsid w:val="00BF50BE"/>
    <w:rsid w:val="00BF525B"/>
    <w:rsid w:val="00BF5404"/>
    <w:rsid w:val="00BF542E"/>
    <w:rsid w:val="00BF5438"/>
    <w:rsid w:val="00BF54CD"/>
    <w:rsid w:val="00BF5517"/>
    <w:rsid w:val="00BF59A9"/>
    <w:rsid w:val="00BF5A44"/>
    <w:rsid w:val="00BF5A52"/>
    <w:rsid w:val="00BF5D60"/>
    <w:rsid w:val="00BF5DD4"/>
    <w:rsid w:val="00BF6970"/>
    <w:rsid w:val="00BF6A83"/>
    <w:rsid w:val="00BF6AEE"/>
    <w:rsid w:val="00BF7085"/>
    <w:rsid w:val="00BF7A13"/>
    <w:rsid w:val="00BF7ECA"/>
    <w:rsid w:val="00C003FE"/>
    <w:rsid w:val="00C00459"/>
    <w:rsid w:val="00C00669"/>
    <w:rsid w:val="00C007CE"/>
    <w:rsid w:val="00C008B1"/>
    <w:rsid w:val="00C008D7"/>
    <w:rsid w:val="00C0095E"/>
    <w:rsid w:val="00C00B69"/>
    <w:rsid w:val="00C00D1D"/>
    <w:rsid w:val="00C00D98"/>
    <w:rsid w:val="00C00E85"/>
    <w:rsid w:val="00C00EF7"/>
    <w:rsid w:val="00C00F7F"/>
    <w:rsid w:val="00C0100B"/>
    <w:rsid w:val="00C010C7"/>
    <w:rsid w:val="00C011D5"/>
    <w:rsid w:val="00C0152B"/>
    <w:rsid w:val="00C0187C"/>
    <w:rsid w:val="00C01A79"/>
    <w:rsid w:val="00C01C3D"/>
    <w:rsid w:val="00C01C6C"/>
    <w:rsid w:val="00C01F5C"/>
    <w:rsid w:val="00C02004"/>
    <w:rsid w:val="00C022DE"/>
    <w:rsid w:val="00C02404"/>
    <w:rsid w:val="00C025E6"/>
    <w:rsid w:val="00C0260A"/>
    <w:rsid w:val="00C029AA"/>
    <w:rsid w:val="00C02CF9"/>
    <w:rsid w:val="00C02D6E"/>
    <w:rsid w:val="00C03184"/>
    <w:rsid w:val="00C03231"/>
    <w:rsid w:val="00C032F8"/>
    <w:rsid w:val="00C0357D"/>
    <w:rsid w:val="00C03AC4"/>
    <w:rsid w:val="00C03DA4"/>
    <w:rsid w:val="00C03EFD"/>
    <w:rsid w:val="00C046B3"/>
    <w:rsid w:val="00C0482F"/>
    <w:rsid w:val="00C04A89"/>
    <w:rsid w:val="00C04DC3"/>
    <w:rsid w:val="00C04EE0"/>
    <w:rsid w:val="00C05298"/>
    <w:rsid w:val="00C0556D"/>
    <w:rsid w:val="00C05821"/>
    <w:rsid w:val="00C0597E"/>
    <w:rsid w:val="00C05A6B"/>
    <w:rsid w:val="00C05F04"/>
    <w:rsid w:val="00C0609D"/>
    <w:rsid w:val="00C066A2"/>
    <w:rsid w:val="00C069EE"/>
    <w:rsid w:val="00C06A18"/>
    <w:rsid w:val="00C06C51"/>
    <w:rsid w:val="00C06D0F"/>
    <w:rsid w:val="00C06D38"/>
    <w:rsid w:val="00C07070"/>
    <w:rsid w:val="00C0717C"/>
    <w:rsid w:val="00C07777"/>
    <w:rsid w:val="00C07781"/>
    <w:rsid w:val="00C0799A"/>
    <w:rsid w:val="00C105CF"/>
    <w:rsid w:val="00C1086D"/>
    <w:rsid w:val="00C10970"/>
    <w:rsid w:val="00C10A47"/>
    <w:rsid w:val="00C10CBE"/>
    <w:rsid w:val="00C11A16"/>
    <w:rsid w:val="00C11BCF"/>
    <w:rsid w:val="00C1220A"/>
    <w:rsid w:val="00C12380"/>
    <w:rsid w:val="00C123A3"/>
    <w:rsid w:val="00C1257A"/>
    <w:rsid w:val="00C125EE"/>
    <w:rsid w:val="00C12A58"/>
    <w:rsid w:val="00C12DBB"/>
    <w:rsid w:val="00C12E3B"/>
    <w:rsid w:val="00C12F6F"/>
    <w:rsid w:val="00C13095"/>
    <w:rsid w:val="00C131FA"/>
    <w:rsid w:val="00C133C6"/>
    <w:rsid w:val="00C13859"/>
    <w:rsid w:val="00C1391A"/>
    <w:rsid w:val="00C13BEA"/>
    <w:rsid w:val="00C13C85"/>
    <w:rsid w:val="00C13F97"/>
    <w:rsid w:val="00C141B9"/>
    <w:rsid w:val="00C1472B"/>
    <w:rsid w:val="00C14A31"/>
    <w:rsid w:val="00C14FDE"/>
    <w:rsid w:val="00C15031"/>
    <w:rsid w:val="00C150B8"/>
    <w:rsid w:val="00C15617"/>
    <w:rsid w:val="00C15704"/>
    <w:rsid w:val="00C15A94"/>
    <w:rsid w:val="00C15DF6"/>
    <w:rsid w:val="00C1686E"/>
    <w:rsid w:val="00C16D83"/>
    <w:rsid w:val="00C1732E"/>
    <w:rsid w:val="00C176C6"/>
    <w:rsid w:val="00C1771E"/>
    <w:rsid w:val="00C17D28"/>
    <w:rsid w:val="00C17D40"/>
    <w:rsid w:val="00C17D4A"/>
    <w:rsid w:val="00C17EA8"/>
    <w:rsid w:val="00C200FA"/>
    <w:rsid w:val="00C2073F"/>
    <w:rsid w:val="00C21071"/>
    <w:rsid w:val="00C211B8"/>
    <w:rsid w:val="00C2125F"/>
    <w:rsid w:val="00C215AC"/>
    <w:rsid w:val="00C21992"/>
    <w:rsid w:val="00C21A27"/>
    <w:rsid w:val="00C21B3E"/>
    <w:rsid w:val="00C21B94"/>
    <w:rsid w:val="00C21BD4"/>
    <w:rsid w:val="00C21DD9"/>
    <w:rsid w:val="00C21F4F"/>
    <w:rsid w:val="00C22240"/>
    <w:rsid w:val="00C2225E"/>
    <w:rsid w:val="00C22295"/>
    <w:rsid w:val="00C22523"/>
    <w:rsid w:val="00C22857"/>
    <w:rsid w:val="00C22D76"/>
    <w:rsid w:val="00C22F24"/>
    <w:rsid w:val="00C231B7"/>
    <w:rsid w:val="00C23249"/>
    <w:rsid w:val="00C2352B"/>
    <w:rsid w:val="00C23896"/>
    <w:rsid w:val="00C23D88"/>
    <w:rsid w:val="00C2447C"/>
    <w:rsid w:val="00C24C58"/>
    <w:rsid w:val="00C24CE2"/>
    <w:rsid w:val="00C24E07"/>
    <w:rsid w:val="00C24F3D"/>
    <w:rsid w:val="00C24F66"/>
    <w:rsid w:val="00C250D5"/>
    <w:rsid w:val="00C2513F"/>
    <w:rsid w:val="00C25169"/>
    <w:rsid w:val="00C25346"/>
    <w:rsid w:val="00C25358"/>
    <w:rsid w:val="00C253D4"/>
    <w:rsid w:val="00C25631"/>
    <w:rsid w:val="00C25720"/>
    <w:rsid w:val="00C25B67"/>
    <w:rsid w:val="00C25BB6"/>
    <w:rsid w:val="00C25E56"/>
    <w:rsid w:val="00C261EA"/>
    <w:rsid w:val="00C2629B"/>
    <w:rsid w:val="00C264BB"/>
    <w:rsid w:val="00C265A6"/>
    <w:rsid w:val="00C266C0"/>
    <w:rsid w:val="00C26A81"/>
    <w:rsid w:val="00C26AE8"/>
    <w:rsid w:val="00C272AA"/>
    <w:rsid w:val="00C273BF"/>
    <w:rsid w:val="00C2746F"/>
    <w:rsid w:val="00C275D8"/>
    <w:rsid w:val="00C2763C"/>
    <w:rsid w:val="00C27997"/>
    <w:rsid w:val="00C27CB9"/>
    <w:rsid w:val="00C309C2"/>
    <w:rsid w:val="00C30C7F"/>
    <w:rsid w:val="00C30D36"/>
    <w:rsid w:val="00C30E8B"/>
    <w:rsid w:val="00C30FF0"/>
    <w:rsid w:val="00C31462"/>
    <w:rsid w:val="00C31739"/>
    <w:rsid w:val="00C31868"/>
    <w:rsid w:val="00C318B9"/>
    <w:rsid w:val="00C31942"/>
    <w:rsid w:val="00C319D2"/>
    <w:rsid w:val="00C319F5"/>
    <w:rsid w:val="00C31E1A"/>
    <w:rsid w:val="00C31EA6"/>
    <w:rsid w:val="00C32674"/>
    <w:rsid w:val="00C32697"/>
    <w:rsid w:val="00C326FE"/>
    <w:rsid w:val="00C3310B"/>
    <w:rsid w:val="00C33193"/>
    <w:rsid w:val="00C336AC"/>
    <w:rsid w:val="00C33BEF"/>
    <w:rsid w:val="00C34728"/>
    <w:rsid w:val="00C349BF"/>
    <w:rsid w:val="00C34A05"/>
    <w:rsid w:val="00C34A28"/>
    <w:rsid w:val="00C34F99"/>
    <w:rsid w:val="00C350E1"/>
    <w:rsid w:val="00C3543F"/>
    <w:rsid w:val="00C356A5"/>
    <w:rsid w:val="00C356B6"/>
    <w:rsid w:val="00C35D40"/>
    <w:rsid w:val="00C35DB9"/>
    <w:rsid w:val="00C365E5"/>
    <w:rsid w:val="00C36A59"/>
    <w:rsid w:val="00C36BA9"/>
    <w:rsid w:val="00C37424"/>
    <w:rsid w:val="00C37956"/>
    <w:rsid w:val="00C37994"/>
    <w:rsid w:val="00C379FC"/>
    <w:rsid w:val="00C37BB2"/>
    <w:rsid w:val="00C37D28"/>
    <w:rsid w:val="00C37FA6"/>
    <w:rsid w:val="00C401A1"/>
    <w:rsid w:val="00C405D2"/>
    <w:rsid w:val="00C40879"/>
    <w:rsid w:val="00C40908"/>
    <w:rsid w:val="00C40A26"/>
    <w:rsid w:val="00C40AD6"/>
    <w:rsid w:val="00C40E57"/>
    <w:rsid w:val="00C4118A"/>
    <w:rsid w:val="00C414FA"/>
    <w:rsid w:val="00C4176E"/>
    <w:rsid w:val="00C41845"/>
    <w:rsid w:val="00C41925"/>
    <w:rsid w:val="00C41977"/>
    <w:rsid w:val="00C422A5"/>
    <w:rsid w:val="00C423C9"/>
    <w:rsid w:val="00C427D2"/>
    <w:rsid w:val="00C42839"/>
    <w:rsid w:val="00C429DE"/>
    <w:rsid w:val="00C42ADB"/>
    <w:rsid w:val="00C42E45"/>
    <w:rsid w:val="00C42EF9"/>
    <w:rsid w:val="00C43209"/>
    <w:rsid w:val="00C433F4"/>
    <w:rsid w:val="00C438A4"/>
    <w:rsid w:val="00C438D1"/>
    <w:rsid w:val="00C43A06"/>
    <w:rsid w:val="00C43F43"/>
    <w:rsid w:val="00C43FE7"/>
    <w:rsid w:val="00C4408F"/>
    <w:rsid w:val="00C441A1"/>
    <w:rsid w:val="00C44338"/>
    <w:rsid w:val="00C443E9"/>
    <w:rsid w:val="00C44980"/>
    <w:rsid w:val="00C44C8B"/>
    <w:rsid w:val="00C44CC2"/>
    <w:rsid w:val="00C44D78"/>
    <w:rsid w:val="00C44F15"/>
    <w:rsid w:val="00C450C1"/>
    <w:rsid w:val="00C453C3"/>
    <w:rsid w:val="00C45624"/>
    <w:rsid w:val="00C45733"/>
    <w:rsid w:val="00C45B49"/>
    <w:rsid w:val="00C45C09"/>
    <w:rsid w:val="00C46355"/>
    <w:rsid w:val="00C46394"/>
    <w:rsid w:val="00C464FB"/>
    <w:rsid w:val="00C466F5"/>
    <w:rsid w:val="00C46D99"/>
    <w:rsid w:val="00C46F55"/>
    <w:rsid w:val="00C46F59"/>
    <w:rsid w:val="00C470EC"/>
    <w:rsid w:val="00C4740A"/>
    <w:rsid w:val="00C4774B"/>
    <w:rsid w:val="00C477A4"/>
    <w:rsid w:val="00C479B8"/>
    <w:rsid w:val="00C47D34"/>
    <w:rsid w:val="00C50419"/>
    <w:rsid w:val="00C5083E"/>
    <w:rsid w:val="00C508BF"/>
    <w:rsid w:val="00C50C8B"/>
    <w:rsid w:val="00C50D62"/>
    <w:rsid w:val="00C5119B"/>
    <w:rsid w:val="00C51364"/>
    <w:rsid w:val="00C51597"/>
    <w:rsid w:val="00C516E8"/>
    <w:rsid w:val="00C51805"/>
    <w:rsid w:val="00C518B3"/>
    <w:rsid w:val="00C51C59"/>
    <w:rsid w:val="00C51CAE"/>
    <w:rsid w:val="00C51F12"/>
    <w:rsid w:val="00C51FC2"/>
    <w:rsid w:val="00C521E2"/>
    <w:rsid w:val="00C52686"/>
    <w:rsid w:val="00C52AC8"/>
    <w:rsid w:val="00C52C1B"/>
    <w:rsid w:val="00C52E05"/>
    <w:rsid w:val="00C53298"/>
    <w:rsid w:val="00C532F5"/>
    <w:rsid w:val="00C53B1C"/>
    <w:rsid w:val="00C5433B"/>
    <w:rsid w:val="00C543BE"/>
    <w:rsid w:val="00C5461D"/>
    <w:rsid w:val="00C54766"/>
    <w:rsid w:val="00C54B54"/>
    <w:rsid w:val="00C54BC6"/>
    <w:rsid w:val="00C54C22"/>
    <w:rsid w:val="00C54F86"/>
    <w:rsid w:val="00C54F95"/>
    <w:rsid w:val="00C54FA1"/>
    <w:rsid w:val="00C55200"/>
    <w:rsid w:val="00C553CB"/>
    <w:rsid w:val="00C55438"/>
    <w:rsid w:val="00C55499"/>
    <w:rsid w:val="00C5567A"/>
    <w:rsid w:val="00C558C4"/>
    <w:rsid w:val="00C55AE4"/>
    <w:rsid w:val="00C56E16"/>
    <w:rsid w:val="00C56F52"/>
    <w:rsid w:val="00C576DD"/>
    <w:rsid w:val="00C579E2"/>
    <w:rsid w:val="00C57A33"/>
    <w:rsid w:val="00C57E86"/>
    <w:rsid w:val="00C60110"/>
    <w:rsid w:val="00C60141"/>
    <w:rsid w:val="00C601D0"/>
    <w:rsid w:val="00C6024E"/>
    <w:rsid w:val="00C6029D"/>
    <w:rsid w:val="00C608D2"/>
    <w:rsid w:val="00C60F34"/>
    <w:rsid w:val="00C6104D"/>
    <w:rsid w:val="00C6119C"/>
    <w:rsid w:val="00C61292"/>
    <w:rsid w:val="00C613CE"/>
    <w:rsid w:val="00C61629"/>
    <w:rsid w:val="00C61734"/>
    <w:rsid w:val="00C618E3"/>
    <w:rsid w:val="00C620A6"/>
    <w:rsid w:val="00C62288"/>
    <w:rsid w:val="00C6244E"/>
    <w:rsid w:val="00C62744"/>
    <w:rsid w:val="00C628D8"/>
    <w:rsid w:val="00C62B27"/>
    <w:rsid w:val="00C62B45"/>
    <w:rsid w:val="00C62D3E"/>
    <w:rsid w:val="00C62EE3"/>
    <w:rsid w:val="00C63032"/>
    <w:rsid w:val="00C63375"/>
    <w:rsid w:val="00C63688"/>
    <w:rsid w:val="00C63A1B"/>
    <w:rsid w:val="00C63BB0"/>
    <w:rsid w:val="00C64303"/>
    <w:rsid w:val="00C643FA"/>
    <w:rsid w:val="00C648F2"/>
    <w:rsid w:val="00C64A6E"/>
    <w:rsid w:val="00C64DB7"/>
    <w:rsid w:val="00C651EB"/>
    <w:rsid w:val="00C6544C"/>
    <w:rsid w:val="00C656BB"/>
    <w:rsid w:val="00C65785"/>
    <w:rsid w:val="00C65796"/>
    <w:rsid w:val="00C65F12"/>
    <w:rsid w:val="00C66044"/>
    <w:rsid w:val="00C66343"/>
    <w:rsid w:val="00C66481"/>
    <w:rsid w:val="00C66525"/>
    <w:rsid w:val="00C66B31"/>
    <w:rsid w:val="00C66CF8"/>
    <w:rsid w:val="00C67036"/>
    <w:rsid w:val="00C671E6"/>
    <w:rsid w:val="00C675DA"/>
    <w:rsid w:val="00C67768"/>
    <w:rsid w:val="00C6783A"/>
    <w:rsid w:val="00C67B14"/>
    <w:rsid w:val="00C67D1B"/>
    <w:rsid w:val="00C67D2C"/>
    <w:rsid w:val="00C67D3A"/>
    <w:rsid w:val="00C67F5D"/>
    <w:rsid w:val="00C704FE"/>
    <w:rsid w:val="00C70534"/>
    <w:rsid w:val="00C70603"/>
    <w:rsid w:val="00C7064C"/>
    <w:rsid w:val="00C707E3"/>
    <w:rsid w:val="00C708BF"/>
    <w:rsid w:val="00C708E8"/>
    <w:rsid w:val="00C709C6"/>
    <w:rsid w:val="00C70EC3"/>
    <w:rsid w:val="00C7158D"/>
    <w:rsid w:val="00C7162D"/>
    <w:rsid w:val="00C718BB"/>
    <w:rsid w:val="00C71917"/>
    <w:rsid w:val="00C72263"/>
    <w:rsid w:val="00C72352"/>
    <w:rsid w:val="00C7252E"/>
    <w:rsid w:val="00C7259C"/>
    <w:rsid w:val="00C727B6"/>
    <w:rsid w:val="00C72968"/>
    <w:rsid w:val="00C72B0C"/>
    <w:rsid w:val="00C72B8D"/>
    <w:rsid w:val="00C7317D"/>
    <w:rsid w:val="00C73256"/>
    <w:rsid w:val="00C73270"/>
    <w:rsid w:val="00C7334E"/>
    <w:rsid w:val="00C73477"/>
    <w:rsid w:val="00C7350C"/>
    <w:rsid w:val="00C7351E"/>
    <w:rsid w:val="00C738DF"/>
    <w:rsid w:val="00C73A6F"/>
    <w:rsid w:val="00C73D70"/>
    <w:rsid w:val="00C73DA4"/>
    <w:rsid w:val="00C74023"/>
    <w:rsid w:val="00C74077"/>
    <w:rsid w:val="00C741F3"/>
    <w:rsid w:val="00C746B6"/>
    <w:rsid w:val="00C748AC"/>
    <w:rsid w:val="00C748CF"/>
    <w:rsid w:val="00C749B1"/>
    <w:rsid w:val="00C74ADA"/>
    <w:rsid w:val="00C75388"/>
    <w:rsid w:val="00C75538"/>
    <w:rsid w:val="00C75905"/>
    <w:rsid w:val="00C75A33"/>
    <w:rsid w:val="00C75B12"/>
    <w:rsid w:val="00C75E5D"/>
    <w:rsid w:val="00C76141"/>
    <w:rsid w:val="00C761F7"/>
    <w:rsid w:val="00C763B9"/>
    <w:rsid w:val="00C765E9"/>
    <w:rsid w:val="00C766D8"/>
    <w:rsid w:val="00C7679A"/>
    <w:rsid w:val="00C767DC"/>
    <w:rsid w:val="00C769A7"/>
    <w:rsid w:val="00C76A8D"/>
    <w:rsid w:val="00C76BA1"/>
    <w:rsid w:val="00C76F70"/>
    <w:rsid w:val="00C77337"/>
    <w:rsid w:val="00C77506"/>
    <w:rsid w:val="00C778FC"/>
    <w:rsid w:val="00C77CEC"/>
    <w:rsid w:val="00C77D5B"/>
    <w:rsid w:val="00C77E81"/>
    <w:rsid w:val="00C77F0E"/>
    <w:rsid w:val="00C80324"/>
    <w:rsid w:val="00C8047D"/>
    <w:rsid w:val="00C804AC"/>
    <w:rsid w:val="00C808D3"/>
    <w:rsid w:val="00C80AF6"/>
    <w:rsid w:val="00C80AFC"/>
    <w:rsid w:val="00C80C16"/>
    <w:rsid w:val="00C81033"/>
    <w:rsid w:val="00C81309"/>
    <w:rsid w:val="00C81D1E"/>
    <w:rsid w:val="00C81E97"/>
    <w:rsid w:val="00C8227A"/>
    <w:rsid w:val="00C82B65"/>
    <w:rsid w:val="00C82FCA"/>
    <w:rsid w:val="00C83023"/>
    <w:rsid w:val="00C8332E"/>
    <w:rsid w:val="00C835BD"/>
    <w:rsid w:val="00C83704"/>
    <w:rsid w:val="00C83946"/>
    <w:rsid w:val="00C83C48"/>
    <w:rsid w:val="00C83E29"/>
    <w:rsid w:val="00C840C0"/>
    <w:rsid w:val="00C84210"/>
    <w:rsid w:val="00C8430B"/>
    <w:rsid w:val="00C84503"/>
    <w:rsid w:val="00C845A4"/>
    <w:rsid w:val="00C84F44"/>
    <w:rsid w:val="00C850AA"/>
    <w:rsid w:val="00C851CE"/>
    <w:rsid w:val="00C85395"/>
    <w:rsid w:val="00C85792"/>
    <w:rsid w:val="00C857FF"/>
    <w:rsid w:val="00C85895"/>
    <w:rsid w:val="00C86058"/>
    <w:rsid w:val="00C86075"/>
    <w:rsid w:val="00C8607A"/>
    <w:rsid w:val="00C8623E"/>
    <w:rsid w:val="00C86375"/>
    <w:rsid w:val="00C86630"/>
    <w:rsid w:val="00C868AA"/>
    <w:rsid w:val="00C86A72"/>
    <w:rsid w:val="00C86C7B"/>
    <w:rsid w:val="00C86CEB"/>
    <w:rsid w:val="00C86D75"/>
    <w:rsid w:val="00C86E5F"/>
    <w:rsid w:val="00C86F4A"/>
    <w:rsid w:val="00C870A0"/>
    <w:rsid w:val="00C870DE"/>
    <w:rsid w:val="00C871D2"/>
    <w:rsid w:val="00C873AE"/>
    <w:rsid w:val="00C87442"/>
    <w:rsid w:val="00C879E2"/>
    <w:rsid w:val="00C87A2E"/>
    <w:rsid w:val="00C87C47"/>
    <w:rsid w:val="00C87E36"/>
    <w:rsid w:val="00C903BE"/>
    <w:rsid w:val="00C9046A"/>
    <w:rsid w:val="00C905A4"/>
    <w:rsid w:val="00C909AC"/>
    <w:rsid w:val="00C909D2"/>
    <w:rsid w:val="00C90ACD"/>
    <w:rsid w:val="00C90DD7"/>
    <w:rsid w:val="00C90EEE"/>
    <w:rsid w:val="00C90F72"/>
    <w:rsid w:val="00C91106"/>
    <w:rsid w:val="00C91207"/>
    <w:rsid w:val="00C913AC"/>
    <w:rsid w:val="00C914EE"/>
    <w:rsid w:val="00C91536"/>
    <w:rsid w:val="00C91986"/>
    <w:rsid w:val="00C919FD"/>
    <w:rsid w:val="00C91BB1"/>
    <w:rsid w:val="00C91C9F"/>
    <w:rsid w:val="00C91D04"/>
    <w:rsid w:val="00C91EA5"/>
    <w:rsid w:val="00C9219E"/>
    <w:rsid w:val="00C9227B"/>
    <w:rsid w:val="00C92536"/>
    <w:rsid w:val="00C9288B"/>
    <w:rsid w:val="00C92919"/>
    <w:rsid w:val="00C92A31"/>
    <w:rsid w:val="00C92C93"/>
    <w:rsid w:val="00C9353D"/>
    <w:rsid w:val="00C93C93"/>
    <w:rsid w:val="00C93F4F"/>
    <w:rsid w:val="00C94408"/>
    <w:rsid w:val="00C9473F"/>
    <w:rsid w:val="00C949C9"/>
    <w:rsid w:val="00C94A8C"/>
    <w:rsid w:val="00C95256"/>
    <w:rsid w:val="00C952C3"/>
    <w:rsid w:val="00C95409"/>
    <w:rsid w:val="00C96493"/>
    <w:rsid w:val="00C964AD"/>
    <w:rsid w:val="00C96CF1"/>
    <w:rsid w:val="00C96DF7"/>
    <w:rsid w:val="00C96E63"/>
    <w:rsid w:val="00C9729B"/>
    <w:rsid w:val="00C97623"/>
    <w:rsid w:val="00C977F1"/>
    <w:rsid w:val="00C978A9"/>
    <w:rsid w:val="00C97E85"/>
    <w:rsid w:val="00C97FF6"/>
    <w:rsid w:val="00CA00AB"/>
    <w:rsid w:val="00CA039A"/>
    <w:rsid w:val="00CA0804"/>
    <w:rsid w:val="00CA0C3D"/>
    <w:rsid w:val="00CA0C91"/>
    <w:rsid w:val="00CA0DDA"/>
    <w:rsid w:val="00CA0EAC"/>
    <w:rsid w:val="00CA0F65"/>
    <w:rsid w:val="00CA1056"/>
    <w:rsid w:val="00CA15E2"/>
    <w:rsid w:val="00CA179D"/>
    <w:rsid w:val="00CA1DCE"/>
    <w:rsid w:val="00CA2615"/>
    <w:rsid w:val="00CA2638"/>
    <w:rsid w:val="00CA2725"/>
    <w:rsid w:val="00CA2831"/>
    <w:rsid w:val="00CA2861"/>
    <w:rsid w:val="00CA2A65"/>
    <w:rsid w:val="00CA2A99"/>
    <w:rsid w:val="00CA2DF0"/>
    <w:rsid w:val="00CA3044"/>
    <w:rsid w:val="00CA3D14"/>
    <w:rsid w:val="00CA3EB5"/>
    <w:rsid w:val="00CA3FF4"/>
    <w:rsid w:val="00CA4086"/>
    <w:rsid w:val="00CA44C7"/>
    <w:rsid w:val="00CA45D2"/>
    <w:rsid w:val="00CA4778"/>
    <w:rsid w:val="00CA52C1"/>
    <w:rsid w:val="00CA5363"/>
    <w:rsid w:val="00CA5427"/>
    <w:rsid w:val="00CA58F5"/>
    <w:rsid w:val="00CA5A04"/>
    <w:rsid w:val="00CA5AE5"/>
    <w:rsid w:val="00CA5BC0"/>
    <w:rsid w:val="00CA6171"/>
    <w:rsid w:val="00CA62BE"/>
    <w:rsid w:val="00CA6391"/>
    <w:rsid w:val="00CA63EA"/>
    <w:rsid w:val="00CA648B"/>
    <w:rsid w:val="00CA6A62"/>
    <w:rsid w:val="00CA6FE0"/>
    <w:rsid w:val="00CA79DE"/>
    <w:rsid w:val="00CA7D8B"/>
    <w:rsid w:val="00CB027B"/>
    <w:rsid w:val="00CB0301"/>
    <w:rsid w:val="00CB07BB"/>
    <w:rsid w:val="00CB094D"/>
    <w:rsid w:val="00CB09D3"/>
    <w:rsid w:val="00CB0A44"/>
    <w:rsid w:val="00CB0B30"/>
    <w:rsid w:val="00CB0C2A"/>
    <w:rsid w:val="00CB0EAF"/>
    <w:rsid w:val="00CB1183"/>
    <w:rsid w:val="00CB11FF"/>
    <w:rsid w:val="00CB158F"/>
    <w:rsid w:val="00CB17B0"/>
    <w:rsid w:val="00CB1989"/>
    <w:rsid w:val="00CB1C59"/>
    <w:rsid w:val="00CB25B2"/>
    <w:rsid w:val="00CB26DD"/>
    <w:rsid w:val="00CB26FE"/>
    <w:rsid w:val="00CB276E"/>
    <w:rsid w:val="00CB2AFF"/>
    <w:rsid w:val="00CB2C0A"/>
    <w:rsid w:val="00CB2DE0"/>
    <w:rsid w:val="00CB2F28"/>
    <w:rsid w:val="00CB2FFA"/>
    <w:rsid w:val="00CB3023"/>
    <w:rsid w:val="00CB3531"/>
    <w:rsid w:val="00CB3DBC"/>
    <w:rsid w:val="00CB409F"/>
    <w:rsid w:val="00CB4479"/>
    <w:rsid w:val="00CB46F4"/>
    <w:rsid w:val="00CB4A51"/>
    <w:rsid w:val="00CB4C47"/>
    <w:rsid w:val="00CB4CB0"/>
    <w:rsid w:val="00CB4CB5"/>
    <w:rsid w:val="00CB4E83"/>
    <w:rsid w:val="00CB511D"/>
    <w:rsid w:val="00CB530D"/>
    <w:rsid w:val="00CB5558"/>
    <w:rsid w:val="00CB5785"/>
    <w:rsid w:val="00CB5E75"/>
    <w:rsid w:val="00CB5EF5"/>
    <w:rsid w:val="00CB60ED"/>
    <w:rsid w:val="00CB64C8"/>
    <w:rsid w:val="00CB6532"/>
    <w:rsid w:val="00CB6538"/>
    <w:rsid w:val="00CB661A"/>
    <w:rsid w:val="00CB6808"/>
    <w:rsid w:val="00CB695C"/>
    <w:rsid w:val="00CB6B68"/>
    <w:rsid w:val="00CB6C5C"/>
    <w:rsid w:val="00CB6CA5"/>
    <w:rsid w:val="00CB70C9"/>
    <w:rsid w:val="00CB70EB"/>
    <w:rsid w:val="00CB711B"/>
    <w:rsid w:val="00CB745B"/>
    <w:rsid w:val="00CB7AB6"/>
    <w:rsid w:val="00CB7BCF"/>
    <w:rsid w:val="00CB7D93"/>
    <w:rsid w:val="00CB7EAC"/>
    <w:rsid w:val="00CB7F2E"/>
    <w:rsid w:val="00CB7F87"/>
    <w:rsid w:val="00CC0149"/>
    <w:rsid w:val="00CC014B"/>
    <w:rsid w:val="00CC04C9"/>
    <w:rsid w:val="00CC0716"/>
    <w:rsid w:val="00CC0E42"/>
    <w:rsid w:val="00CC1061"/>
    <w:rsid w:val="00CC112F"/>
    <w:rsid w:val="00CC1221"/>
    <w:rsid w:val="00CC132B"/>
    <w:rsid w:val="00CC148B"/>
    <w:rsid w:val="00CC1626"/>
    <w:rsid w:val="00CC1D7B"/>
    <w:rsid w:val="00CC205B"/>
    <w:rsid w:val="00CC207D"/>
    <w:rsid w:val="00CC251F"/>
    <w:rsid w:val="00CC2688"/>
    <w:rsid w:val="00CC2AE7"/>
    <w:rsid w:val="00CC2DD1"/>
    <w:rsid w:val="00CC2DF3"/>
    <w:rsid w:val="00CC2E0C"/>
    <w:rsid w:val="00CC2E43"/>
    <w:rsid w:val="00CC2EF4"/>
    <w:rsid w:val="00CC31E9"/>
    <w:rsid w:val="00CC4203"/>
    <w:rsid w:val="00CC4209"/>
    <w:rsid w:val="00CC4383"/>
    <w:rsid w:val="00CC43B3"/>
    <w:rsid w:val="00CC4651"/>
    <w:rsid w:val="00CC488B"/>
    <w:rsid w:val="00CC4978"/>
    <w:rsid w:val="00CC4A99"/>
    <w:rsid w:val="00CC4BE4"/>
    <w:rsid w:val="00CC4BEE"/>
    <w:rsid w:val="00CC4CC9"/>
    <w:rsid w:val="00CC4D48"/>
    <w:rsid w:val="00CC4DEB"/>
    <w:rsid w:val="00CC4EE4"/>
    <w:rsid w:val="00CC502B"/>
    <w:rsid w:val="00CC50F6"/>
    <w:rsid w:val="00CC583E"/>
    <w:rsid w:val="00CC5AA2"/>
    <w:rsid w:val="00CC5D72"/>
    <w:rsid w:val="00CC5F1D"/>
    <w:rsid w:val="00CC5FDC"/>
    <w:rsid w:val="00CC62CB"/>
    <w:rsid w:val="00CC62DF"/>
    <w:rsid w:val="00CC6DD0"/>
    <w:rsid w:val="00CC6EF8"/>
    <w:rsid w:val="00CC6F21"/>
    <w:rsid w:val="00CC6FE5"/>
    <w:rsid w:val="00CC72E6"/>
    <w:rsid w:val="00CC74CF"/>
    <w:rsid w:val="00CC7A89"/>
    <w:rsid w:val="00CC7B69"/>
    <w:rsid w:val="00CC7C82"/>
    <w:rsid w:val="00CC7F65"/>
    <w:rsid w:val="00CD0112"/>
    <w:rsid w:val="00CD0446"/>
    <w:rsid w:val="00CD0515"/>
    <w:rsid w:val="00CD099D"/>
    <w:rsid w:val="00CD0B5D"/>
    <w:rsid w:val="00CD0C95"/>
    <w:rsid w:val="00CD0D12"/>
    <w:rsid w:val="00CD1619"/>
    <w:rsid w:val="00CD19FC"/>
    <w:rsid w:val="00CD1AE9"/>
    <w:rsid w:val="00CD2067"/>
    <w:rsid w:val="00CD27B1"/>
    <w:rsid w:val="00CD2C8F"/>
    <w:rsid w:val="00CD340D"/>
    <w:rsid w:val="00CD358E"/>
    <w:rsid w:val="00CD3686"/>
    <w:rsid w:val="00CD3981"/>
    <w:rsid w:val="00CD39DE"/>
    <w:rsid w:val="00CD3A4E"/>
    <w:rsid w:val="00CD3ABF"/>
    <w:rsid w:val="00CD3D04"/>
    <w:rsid w:val="00CD405F"/>
    <w:rsid w:val="00CD4062"/>
    <w:rsid w:val="00CD4409"/>
    <w:rsid w:val="00CD4518"/>
    <w:rsid w:val="00CD4B3C"/>
    <w:rsid w:val="00CD4D40"/>
    <w:rsid w:val="00CD4E95"/>
    <w:rsid w:val="00CD5236"/>
    <w:rsid w:val="00CD540D"/>
    <w:rsid w:val="00CD571C"/>
    <w:rsid w:val="00CD5814"/>
    <w:rsid w:val="00CD5834"/>
    <w:rsid w:val="00CD5DB9"/>
    <w:rsid w:val="00CD5E87"/>
    <w:rsid w:val="00CD5EDB"/>
    <w:rsid w:val="00CD5FC9"/>
    <w:rsid w:val="00CD6077"/>
    <w:rsid w:val="00CD66E9"/>
    <w:rsid w:val="00CD6905"/>
    <w:rsid w:val="00CD6DE8"/>
    <w:rsid w:val="00CD6F31"/>
    <w:rsid w:val="00CD6FF3"/>
    <w:rsid w:val="00CD751F"/>
    <w:rsid w:val="00CD76C6"/>
    <w:rsid w:val="00CD7852"/>
    <w:rsid w:val="00CD78BA"/>
    <w:rsid w:val="00CD7A8B"/>
    <w:rsid w:val="00CD7AB2"/>
    <w:rsid w:val="00CD7CA2"/>
    <w:rsid w:val="00CD7D24"/>
    <w:rsid w:val="00CD7DEC"/>
    <w:rsid w:val="00CE02C9"/>
    <w:rsid w:val="00CE03B3"/>
    <w:rsid w:val="00CE0413"/>
    <w:rsid w:val="00CE050B"/>
    <w:rsid w:val="00CE0928"/>
    <w:rsid w:val="00CE0A77"/>
    <w:rsid w:val="00CE0C15"/>
    <w:rsid w:val="00CE0F9F"/>
    <w:rsid w:val="00CE0FDB"/>
    <w:rsid w:val="00CE132C"/>
    <w:rsid w:val="00CE1A4A"/>
    <w:rsid w:val="00CE1B41"/>
    <w:rsid w:val="00CE1D57"/>
    <w:rsid w:val="00CE2039"/>
    <w:rsid w:val="00CE20BF"/>
    <w:rsid w:val="00CE27BD"/>
    <w:rsid w:val="00CE27CD"/>
    <w:rsid w:val="00CE2F81"/>
    <w:rsid w:val="00CE30BD"/>
    <w:rsid w:val="00CE3135"/>
    <w:rsid w:val="00CE327B"/>
    <w:rsid w:val="00CE3422"/>
    <w:rsid w:val="00CE354F"/>
    <w:rsid w:val="00CE369D"/>
    <w:rsid w:val="00CE3718"/>
    <w:rsid w:val="00CE3C93"/>
    <w:rsid w:val="00CE3CEA"/>
    <w:rsid w:val="00CE4376"/>
    <w:rsid w:val="00CE43C5"/>
    <w:rsid w:val="00CE4B2E"/>
    <w:rsid w:val="00CE4C15"/>
    <w:rsid w:val="00CE512B"/>
    <w:rsid w:val="00CE522C"/>
    <w:rsid w:val="00CE52B5"/>
    <w:rsid w:val="00CE5454"/>
    <w:rsid w:val="00CE58D9"/>
    <w:rsid w:val="00CE5985"/>
    <w:rsid w:val="00CE5AAE"/>
    <w:rsid w:val="00CE5D51"/>
    <w:rsid w:val="00CE5DA7"/>
    <w:rsid w:val="00CE5F8D"/>
    <w:rsid w:val="00CE64C5"/>
    <w:rsid w:val="00CE6510"/>
    <w:rsid w:val="00CE659E"/>
    <w:rsid w:val="00CE66A4"/>
    <w:rsid w:val="00CE6A1D"/>
    <w:rsid w:val="00CE6A49"/>
    <w:rsid w:val="00CE6D28"/>
    <w:rsid w:val="00CE6E0D"/>
    <w:rsid w:val="00CE6F22"/>
    <w:rsid w:val="00CE715B"/>
    <w:rsid w:val="00CE71C6"/>
    <w:rsid w:val="00CE79F0"/>
    <w:rsid w:val="00CE7E8C"/>
    <w:rsid w:val="00CF003A"/>
    <w:rsid w:val="00CF0319"/>
    <w:rsid w:val="00CF05C4"/>
    <w:rsid w:val="00CF0737"/>
    <w:rsid w:val="00CF08E3"/>
    <w:rsid w:val="00CF0B4C"/>
    <w:rsid w:val="00CF0BD6"/>
    <w:rsid w:val="00CF0E2D"/>
    <w:rsid w:val="00CF0EF5"/>
    <w:rsid w:val="00CF0F57"/>
    <w:rsid w:val="00CF108D"/>
    <w:rsid w:val="00CF11E5"/>
    <w:rsid w:val="00CF14FA"/>
    <w:rsid w:val="00CF156B"/>
    <w:rsid w:val="00CF1572"/>
    <w:rsid w:val="00CF1637"/>
    <w:rsid w:val="00CF196A"/>
    <w:rsid w:val="00CF1AC4"/>
    <w:rsid w:val="00CF1BBB"/>
    <w:rsid w:val="00CF1CB5"/>
    <w:rsid w:val="00CF1DC3"/>
    <w:rsid w:val="00CF1F5D"/>
    <w:rsid w:val="00CF2118"/>
    <w:rsid w:val="00CF22EB"/>
    <w:rsid w:val="00CF23AC"/>
    <w:rsid w:val="00CF24C0"/>
    <w:rsid w:val="00CF25E3"/>
    <w:rsid w:val="00CF276C"/>
    <w:rsid w:val="00CF2CAE"/>
    <w:rsid w:val="00CF2EDD"/>
    <w:rsid w:val="00CF2F72"/>
    <w:rsid w:val="00CF317D"/>
    <w:rsid w:val="00CF32B1"/>
    <w:rsid w:val="00CF3514"/>
    <w:rsid w:val="00CF3800"/>
    <w:rsid w:val="00CF3AE3"/>
    <w:rsid w:val="00CF3F01"/>
    <w:rsid w:val="00CF4075"/>
    <w:rsid w:val="00CF444D"/>
    <w:rsid w:val="00CF4454"/>
    <w:rsid w:val="00CF4478"/>
    <w:rsid w:val="00CF469C"/>
    <w:rsid w:val="00CF506A"/>
    <w:rsid w:val="00CF50B5"/>
    <w:rsid w:val="00CF5841"/>
    <w:rsid w:val="00CF5901"/>
    <w:rsid w:val="00CF59F5"/>
    <w:rsid w:val="00CF5B4C"/>
    <w:rsid w:val="00CF5D1F"/>
    <w:rsid w:val="00CF5ED1"/>
    <w:rsid w:val="00CF5F5D"/>
    <w:rsid w:val="00CF5F6E"/>
    <w:rsid w:val="00CF6144"/>
    <w:rsid w:val="00CF654D"/>
    <w:rsid w:val="00CF69E1"/>
    <w:rsid w:val="00CF733E"/>
    <w:rsid w:val="00CF752A"/>
    <w:rsid w:val="00CF754D"/>
    <w:rsid w:val="00CF781D"/>
    <w:rsid w:val="00CF788C"/>
    <w:rsid w:val="00CF7CD3"/>
    <w:rsid w:val="00CF7D14"/>
    <w:rsid w:val="00CF7DCF"/>
    <w:rsid w:val="00CF7F5E"/>
    <w:rsid w:val="00CF7F80"/>
    <w:rsid w:val="00D0008E"/>
    <w:rsid w:val="00D0014B"/>
    <w:rsid w:val="00D003AE"/>
    <w:rsid w:val="00D0059A"/>
    <w:rsid w:val="00D0062F"/>
    <w:rsid w:val="00D00637"/>
    <w:rsid w:val="00D0077A"/>
    <w:rsid w:val="00D0082D"/>
    <w:rsid w:val="00D009CB"/>
    <w:rsid w:val="00D00D55"/>
    <w:rsid w:val="00D012AA"/>
    <w:rsid w:val="00D012D7"/>
    <w:rsid w:val="00D0135F"/>
    <w:rsid w:val="00D01658"/>
    <w:rsid w:val="00D0165A"/>
    <w:rsid w:val="00D01685"/>
    <w:rsid w:val="00D016F2"/>
    <w:rsid w:val="00D016FD"/>
    <w:rsid w:val="00D01D82"/>
    <w:rsid w:val="00D01E20"/>
    <w:rsid w:val="00D02027"/>
    <w:rsid w:val="00D0255A"/>
    <w:rsid w:val="00D031A5"/>
    <w:rsid w:val="00D03410"/>
    <w:rsid w:val="00D037CC"/>
    <w:rsid w:val="00D03879"/>
    <w:rsid w:val="00D039EC"/>
    <w:rsid w:val="00D03D40"/>
    <w:rsid w:val="00D03D7C"/>
    <w:rsid w:val="00D03D9E"/>
    <w:rsid w:val="00D04643"/>
    <w:rsid w:val="00D0466B"/>
    <w:rsid w:val="00D0482A"/>
    <w:rsid w:val="00D04C4A"/>
    <w:rsid w:val="00D04F22"/>
    <w:rsid w:val="00D05001"/>
    <w:rsid w:val="00D0546C"/>
    <w:rsid w:val="00D054AE"/>
    <w:rsid w:val="00D058C8"/>
    <w:rsid w:val="00D059BB"/>
    <w:rsid w:val="00D059F8"/>
    <w:rsid w:val="00D05AD1"/>
    <w:rsid w:val="00D05CAF"/>
    <w:rsid w:val="00D05DF9"/>
    <w:rsid w:val="00D05FF4"/>
    <w:rsid w:val="00D060B9"/>
    <w:rsid w:val="00D06559"/>
    <w:rsid w:val="00D0657A"/>
    <w:rsid w:val="00D0763F"/>
    <w:rsid w:val="00D07972"/>
    <w:rsid w:val="00D07C6A"/>
    <w:rsid w:val="00D07ED8"/>
    <w:rsid w:val="00D103D7"/>
    <w:rsid w:val="00D1097B"/>
    <w:rsid w:val="00D10B9E"/>
    <w:rsid w:val="00D10DCD"/>
    <w:rsid w:val="00D10DEF"/>
    <w:rsid w:val="00D10E03"/>
    <w:rsid w:val="00D10E37"/>
    <w:rsid w:val="00D10E80"/>
    <w:rsid w:val="00D1105A"/>
    <w:rsid w:val="00D11293"/>
    <w:rsid w:val="00D118B8"/>
    <w:rsid w:val="00D11D73"/>
    <w:rsid w:val="00D11DD3"/>
    <w:rsid w:val="00D11EAC"/>
    <w:rsid w:val="00D120DD"/>
    <w:rsid w:val="00D12131"/>
    <w:rsid w:val="00D12216"/>
    <w:rsid w:val="00D127D9"/>
    <w:rsid w:val="00D12812"/>
    <w:rsid w:val="00D129D6"/>
    <w:rsid w:val="00D12B35"/>
    <w:rsid w:val="00D12F0D"/>
    <w:rsid w:val="00D12FE3"/>
    <w:rsid w:val="00D1313E"/>
    <w:rsid w:val="00D13144"/>
    <w:rsid w:val="00D1362A"/>
    <w:rsid w:val="00D13A16"/>
    <w:rsid w:val="00D13B90"/>
    <w:rsid w:val="00D13BD4"/>
    <w:rsid w:val="00D13C28"/>
    <w:rsid w:val="00D13D67"/>
    <w:rsid w:val="00D13F66"/>
    <w:rsid w:val="00D1422F"/>
    <w:rsid w:val="00D14278"/>
    <w:rsid w:val="00D146F2"/>
    <w:rsid w:val="00D1494A"/>
    <w:rsid w:val="00D14AB0"/>
    <w:rsid w:val="00D152C6"/>
    <w:rsid w:val="00D154BE"/>
    <w:rsid w:val="00D158B5"/>
    <w:rsid w:val="00D15A73"/>
    <w:rsid w:val="00D15A98"/>
    <w:rsid w:val="00D161D6"/>
    <w:rsid w:val="00D16232"/>
    <w:rsid w:val="00D16257"/>
    <w:rsid w:val="00D1637C"/>
    <w:rsid w:val="00D1654F"/>
    <w:rsid w:val="00D165F6"/>
    <w:rsid w:val="00D16732"/>
    <w:rsid w:val="00D16BE3"/>
    <w:rsid w:val="00D16D23"/>
    <w:rsid w:val="00D17336"/>
    <w:rsid w:val="00D17A3E"/>
    <w:rsid w:val="00D17B3A"/>
    <w:rsid w:val="00D17C04"/>
    <w:rsid w:val="00D17CB2"/>
    <w:rsid w:val="00D17CFD"/>
    <w:rsid w:val="00D17D8C"/>
    <w:rsid w:val="00D20086"/>
    <w:rsid w:val="00D205EE"/>
    <w:rsid w:val="00D20BA6"/>
    <w:rsid w:val="00D20DDC"/>
    <w:rsid w:val="00D20E6F"/>
    <w:rsid w:val="00D20EFE"/>
    <w:rsid w:val="00D20FDE"/>
    <w:rsid w:val="00D21294"/>
    <w:rsid w:val="00D21B8B"/>
    <w:rsid w:val="00D21F95"/>
    <w:rsid w:val="00D221F7"/>
    <w:rsid w:val="00D222D3"/>
    <w:rsid w:val="00D22337"/>
    <w:rsid w:val="00D223E5"/>
    <w:rsid w:val="00D2287C"/>
    <w:rsid w:val="00D2301A"/>
    <w:rsid w:val="00D23379"/>
    <w:rsid w:val="00D23390"/>
    <w:rsid w:val="00D23986"/>
    <w:rsid w:val="00D23BE0"/>
    <w:rsid w:val="00D23C1A"/>
    <w:rsid w:val="00D23E38"/>
    <w:rsid w:val="00D23FD0"/>
    <w:rsid w:val="00D24434"/>
    <w:rsid w:val="00D24508"/>
    <w:rsid w:val="00D24940"/>
    <w:rsid w:val="00D24BEC"/>
    <w:rsid w:val="00D24CBE"/>
    <w:rsid w:val="00D24DE8"/>
    <w:rsid w:val="00D24EB2"/>
    <w:rsid w:val="00D25114"/>
    <w:rsid w:val="00D251C6"/>
    <w:rsid w:val="00D2521E"/>
    <w:rsid w:val="00D25336"/>
    <w:rsid w:val="00D253A1"/>
    <w:rsid w:val="00D25754"/>
    <w:rsid w:val="00D25839"/>
    <w:rsid w:val="00D25B72"/>
    <w:rsid w:val="00D25EA3"/>
    <w:rsid w:val="00D266B9"/>
    <w:rsid w:val="00D267CA"/>
    <w:rsid w:val="00D267FE"/>
    <w:rsid w:val="00D26810"/>
    <w:rsid w:val="00D269A1"/>
    <w:rsid w:val="00D26BEB"/>
    <w:rsid w:val="00D26ED7"/>
    <w:rsid w:val="00D27082"/>
    <w:rsid w:val="00D271C8"/>
    <w:rsid w:val="00D27658"/>
    <w:rsid w:val="00D277A3"/>
    <w:rsid w:val="00D27994"/>
    <w:rsid w:val="00D30357"/>
    <w:rsid w:val="00D303D6"/>
    <w:rsid w:val="00D30B01"/>
    <w:rsid w:val="00D31225"/>
    <w:rsid w:val="00D315E7"/>
    <w:rsid w:val="00D3162E"/>
    <w:rsid w:val="00D31792"/>
    <w:rsid w:val="00D31B90"/>
    <w:rsid w:val="00D31C41"/>
    <w:rsid w:val="00D31D95"/>
    <w:rsid w:val="00D31FAF"/>
    <w:rsid w:val="00D3214A"/>
    <w:rsid w:val="00D32233"/>
    <w:rsid w:val="00D322AD"/>
    <w:rsid w:val="00D322EB"/>
    <w:rsid w:val="00D323B5"/>
    <w:rsid w:val="00D32524"/>
    <w:rsid w:val="00D32626"/>
    <w:rsid w:val="00D326C1"/>
    <w:rsid w:val="00D3274F"/>
    <w:rsid w:val="00D32796"/>
    <w:rsid w:val="00D3298D"/>
    <w:rsid w:val="00D32D05"/>
    <w:rsid w:val="00D32D8A"/>
    <w:rsid w:val="00D332A8"/>
    <w:rsid w:val="00D33410"/>
    <w:rsid w:val="00D33946"/>
    <w:rsid w:val="00D33A07"/>
    <w:rsid w:val="00D33CDA"/>
    <w:rsid w:val="00D33FB4"/>
    <w:rsid w:val="00D34017"/>
    <w:rsid w:val="00D34341"/>
    <w:rsid w:val="00D352AC"/>
    <w:rsid w:val="00D352D4"/>
    <w:rsid w:val="00D35408"/>
    <w:rsid w:val="00D3548F"/>
    <w:rsid w:val="00D35583"/>
    <w:rsid w:val="00D35851"/>
    <w:rsid w:val="00D35C04"/>
    <w:rsid w:val="00D35EAE"/>
    <w:rsid w:val="00D35F87"/>
    <w:rsid w:val="00D3618F"/>
    <w:rsid w:val="00D3659F"/>
    <w:rsid w:val="00D36631"/>
    <w:rsid w:val="00D367CB"/>
    <w:rsid w:val="00D36DDC"/>
    <w:rsid w:val="00D37453"/>
    <w:rsid w:val="00D37A12"/>
    <w:rsid w:val="00D37E6A"/>
    <w:rsid w:val="00D37F09"/>
    <w:rsid w:val="00D4020D"/>
    <w:rsid w:val="00D402E1"/>
    <w:rsid w:val="00D4064B"/>
    <w:rsid w:val="00D406BA"/>
    <w:rsid w:val="00D40D00"/>
    <w:rsid w:val="00D411B6"/>
    <w:rsid w:val="00D41339"/>
    <w:rsid w:val="00D41421"/>
    <w:rsid w:val="00D4176E"/>
    <w:rsid w:val="00D41A8E"/>
    <w:rsid w:val="00D41E8C"/>
    <w:rsid w:val="00D41F28"/>
    <w:rsid w:val="00D4219E"/>
    <w:rsid w:val="00D42321"/>
    <w:rsid w:val="00D42560"/>
    <w:rsid w:val="00D4267B"/>
    <w:rsid w:val="00D42980"/>
    <w:rsid w:val="00D42AFF"/>
    <w:rsid w:val="00D42C82"/>
    <w:rsid w:val="00D42E89"/>
    <w:rsid w:val="00D42ECD"/>
    <w:rsid w:val="00D4322B"/>
    <w:rsid w:val="00D43348"/>
    <w:rsid w:val="00D43634"/>
    <w:rsid w:val="00D43746"/>
    <w:rsid w:val="00D4392F"/>
    <w:rsid w:val="00D43A04"/>
    <w:rsid w:val="00D43CEE"/>
    <w:rsid w:val="00D440AE"/>
    <w:rsid w:val="00D4425C"/>
    <w:rsid w:val="00D4436C"/>
    <w:rsid w:val="00D44677"/>
    <w:rsid w:val="00D44A5D"/>
    <w:rsid w:val="00D44AD9"/>
    <w:rsid w:val="00D44AED"/>
    <w:rsid w:val="00D44B7D"/>
    <w:rsid w:val="00D44C4F"/>
    <w:rsid w:val="00D44C6D"/>
    <w:rsid w:val="00D44CC2"/>
    <w:rsid w:val="00D44D6E"/>
    <w:rsid w:val="00D44FBC"/>
    <w:rsid w:val="00D45882"/>
    <w:rsid w:val="00D45A31"/>
    <w:rsid w:val="00D45A38"/>
    <w:rsid w:val="00D45BF8"/>
    <w:rsid w:val="00D45C2F"/>
    <w:rsid w:val="00D45C79"/>
    <w:rsid w:val="00D45CB0"/>
    <w:rsid w:val="00D45CEA"/>
    <w:rsid w:val="00D461DE"/>
    <w:rsid w:val="00D462DC"/>
    <w:rsid w:val="00D4684F"/>
    <w:rsid w:val="00D46B6D"/>
    <w:rsid w:val="00D46EC3"/>
    <w:rsid w:val="00D478C6"/>
    <w:rsid w:val="00D478FB"/>
    <w:rsid w:val="00D478FE"/>
    <w:rsid w:val="00D47A3F"/>
    <w:rsid w:val="00D47ABE"/>
    <w:rsid w:val="00D47C3C"/>
    <w:rsid w:val="00D5067D"/>
    <w:rsid w:val="00D50A3F"/>
    <w:rsid w:val="00D50DDD"/>
    <w:rsid w:val="00D5107E"/>
    <w:rsid w:val="00D51181"/>
    <w:rsid w:val="00D512B6"/>
    <w:rsid w:val="00D514D3"/>
    <w:rsid w:val="00D514F9"/>
    <w:rsid w:val="00D51B91"/>
    <w:rsid w:val="00D51CED"/>
    <w:rsid w:val="00D5221C"/>
    <w:rsid w:val="00D52362"/>
    <w:rsid w:val="00D52683"/>
    <w:rsid w:val="00D52CE2"/>
    <w:rsid w:val="00D52E0C"/>
    <w:rsid w:val="00D52F6D"/>
    <w:rsid w:val="00D53000"/>
    <w:rsid w:val="00D532ED"/>
    <w:rsid w:val="00D5348A"/>
    <w:rsid w:val="00D5359D"/>
    <w:rsid w:val="00D536CE"/>
    <w:rsid w:val="00D53878"/>
    <w:rsid w:val="00D5398E"/>
    <w:rsid w:val="00D53A4F"/>
    <w:rsid w:val="00D53CE1"/>
    <w:rsid w:val="00D54007"/>
    <w:rsid w:val="00D549EC"/>
    <w:rsid w:val="00D54B9A"/>
    <w:rsid w:val="00D54C77"/>
    <w:rsid w:val="00D5513D"/>
    <w:rsid w:val="00D55202"/>
    <w:rsid w:val="00D55264"/>
    <w:rsid w:val="00D552EE"/>
    <w:rsid w:val="00D55828"/>
    <w:rsid w:val="00D559E0"/>
    <w:rsid w:val="00D55CC8"/>
    <w:rsid w:val="00D55DE3"/>
    <w:rsid w:val="00D563C0"/>
    <w:rsid w:val="00D565A5"/>
    <w:rsid w:val="00D567CA"/>
    <w:rsid w:val="00D56CF1"/>
    <w:rsid w:val="00D56E0B"/>
    <w:rsid w:val="00D56FC6"/>
    <w:rsid w:val="00D570B1"/>
    <w:rsid w:val="00D572DD"/>
    <w:rsid w:val="00D57422"/>
    <w:rsid w:val="00D5783D"/>
    <w:rsid w:val="00D57D6B"/>
    <w:rsid w:val="00D60078"/>
    <w:rsid w:val="00D6026E"/>
    <w:rsid w:val="00D60E42"/>
    <w:rsid w:val="00D60FFC"/>
    <w:rsid w:val="00D61075"/>
    <w:rsid w:val="00D613D8"/>
    <w:rsid w:val="00D617CF"/>
    <w:rsid w:val="00D62580"/>
    <w:rsid w:val="00D626FF"/>
    <w:rsid w:val="00D627A6"/>
    <w:rsid w:val="00D62845"/>
    <w:rsid w:val="00D62F18"/>
    <w:rsid w:val="00D6328A"/>
    <w:rsid w:val="00D6354C"/>
    <w:rsid w:val="00D637D1"/>
    <w:rsid w:val="00D63994"/>
    <w:rsid w:val="00D639D4"/>
    <w:rsid w:val="00D63C09"/>
    <w:rsid w:val="00D63CD4"/>
    <w:rsid w:val="00D63D6E"/>
    <w:rsid w:val="00D63DFB"/>
    <w:rsid w:val="00D63E30"/>
    <w:rsid w:val="00D63FD8"/>
    <w:rsid w:val="00D640E8"/>
    <w:rsid w:val="00D64734"/>
    <w:rsid w:val="00D648D5"/>
    <w:rsid w:val="00D648DD"/>
    <w:rsid w:val="00D6496E"/>
    <w:rsid w:val="00D64D5A"/>
    <w:rsid w:val="00D64EF4"/>
    <w:rsid w:val="00D650C8"/>
    <w:rsid w:val="00D6526B"/>
    <w:rsid w:val="00D65369"/>
    <w:rsid w:val="00D655B3"/>
    <w:rsid w:val="00D6564F"/>
    <w:rsid w:val="00D65AAB"/>
    <w:rsid w:val="00D65AB4"/>
    <w:rsid w:val="00D65AF6"/>
    <w:rsid w:val="00D65D74"/>
    <w:rsid w:val="00D65E46"/>
    <w:rsid w:val="00D66262"/>
    <w:rsid w:val="00D668A7"/>
    <w:rsid w:val="00D66A52"/>
    <w:rsid w:val="00D66D06"/>
    <w:rsid w:val="00D66FBE"/>
    <w:rsid w:val="00D671A5"/>
    <w:rsid w:val="00D6735E"/>
    <w:rsid w:val="00D706FE"/>
    <w:rsid w:val="00D70986"/>
    <w:rsid w:val="00D70A86"/>
    <w:rsid w:val="00D70AB8"/>
    <w:rsid w:val="00D70AFF"/>
    <w:rsid w:val="00D70C2C"/>
    <w:rsid w:val="00D70FE0"/>
    <w:rsid w:val="00D710BB"/>
    <w:rsid w:val="00D71164"/>
    <w:rsid w:val="00D713A0"/>
    <w:rsid w:val="00D715F8"/>
    <w:rsid w:val="00D71637"/>
    <w:rsid w:val="00D716D8"/>
    <w:rsid w:val="00D719F8"/>
    <w:rsid w:val="00D71C3E"/>
    <w:rsid w:val="00D71DD9"/>
    <w:rsid w:val="00D71FDC"/>
    <w:rsid w:val="00D7206A"/>
    <w:rsid w:val="00D7280C"/>
    <w:rsid w:val="00D72A98"/>
    <w:rsid w:val="00D72C69"/>
    <w:rsid w:val="00D72D84"/>
    <w:rsid w:val="00D730C4"/>
    <w:rsid w:val="00D7316D"/>
    <w:rsid w:val="00D73715"/>
    <w:rsid w:val="00D737D1"/>
    <w:rsid w:val="00D73D7F"/>
    <w:rsid w:val="00D73DD2"/>
    <w:rsid w:val="00D73E9E"/>
    <w:rsid w:val="00D7439C"/>
    <w:rsid w:val="00D74513"/>
    <w:rsid w:val="00D74B8F"/>
    <w:rsid w:val="00D74CD7"/>
    <w:rsid w:val="00D74E8A"/>
    <w:rsid w:val="00D74F38"/>
    <w:rsid w:val="00D75090"/>
    <w:rsid w:val="00D7529C"/>
    <w:rsid w:val="00D752D5"/>
    <w:rsid w:val="00D75964"/>
    <w:rsid w:val="00D759A8"/>
    <w:rsid w:val="00D75A4C"/>
    <w:rsid w:val="00D761E8"/>
    <w:rsid w:val="00D762A8"/>
    <w:rsid w:val="00D76401"/>
    <w:rsid w:val="00D7653C"/>
    <w:rsid w:val="00D765F5"/>
    <w:rsid w:val="00D76E25"/>
    <w:rsid w:val="00D76FFC"/>
    <w:rsid w:val="00D771B7"/>
    <w:rsid w:val="00D771C2"/>
    <w:rsid w:val="00D77312"/>
    <w:rsid w:val="00D77351"/>
    <w:rsid w:val="00D774BE"/>
    <w:rsid w:val="00D77567"/>
    <w:rsid w:val="00D77589"/>
    <w:rsid w:val="00D77A07"/>
    <w:rsid w:val="00D77B5B"/>
    <w:rsid w:val="00D77CCF"/>
    <w:rsid w:val="00D77D41"/>
    <w:rsid w:val="00D77EB5"/>
    <w:rsid w:val="00D80006"/>
    <w:rsid w:val="00D80323"/>
    <w:rsid w:val="00D8082B"/>
    <w:rsid w:val="00D80C48"/>
    <w:rsid w:val="00D811F3"/>
    <w:rsid w:val="00D819B2"/>
    <w:rsid w:val="00D81A83"/>
    <w:rsid w:val="00D81C38"/>
    <w:rsid w:val="00D81C6F"/>
    <w:rsid w:val="00D81E0C"/>
    <w:rsid w:val="00D81ECD"/>
    <w:rsid w:val="00D82105"/>
    <w:rsid w:val="00D8237F"/>
    <w:rsid w:val="00D8251D"/>
    <w:rsid w:val="00D8255E"/>
    <w:rsid w:val="00D82BF5"/>
    <w:rsid w:val="00D838BB"/>
    <w:rsid w:val="00D83C37"/>
    <w:rsid w:val="00D83D06"/>
    <w:rsid w:val="00D84063"/>
    <w:rsid w:val="00D8410F"/>
    <w:rsid w:val="00D84317"/>
    <w:rsid w:val="00D843E4"/>
    <w:rsid w:val="00D8469F"/>
    <w:rsid w:val="00D84D81"/>
    <w:rsid w:val="00D84EE5"/>
    <w:rsid w:val="00D84F8E"/>
    <w:rsid w:val="00D84F9F"/>
    <w:rsid w:val="00D85050"/>
    <w:rsid w:val="00D851F2"/>
    <w:rsid w:val="00D85264"/>
    <w:rsid w:val="00D853E0"/>
    <w:rsid w:val="00D8576C"/>
    <w:rsid w:val="00D85896"/>
    <w:rsid w:val="00D85A05"/>
    <w:rsid w:val="00D85AA1"/>
    <w:rsid w:val="00D85F1A"/>
    <w:rsid w:val="00D8617A"/>
    <w:rsid w:val="00D86430"/>
    <w:rsid w:val="00D8651A"/>
    <w:rsid w:val="00D866D5"/>
    <w:rsid w:val="00D86899"/>
    <w:rsid w:val="00D86CE5"/>
    <w:rsid w:val="00D8702A"/>
    <w:rsid w:val="00D8702F"/>
    <w:rsid w:val="00D87153"/>
    <w:rsid w:val="00D872E1"/>
    <w:rsid w:val="00D87454"/>
    <w:rsid w:val="00D87660"/>
    <w:rsid w:val="00D876C7"/>
    <w:rsid w:val="00D877A2"/>
    <w:rsid w:val="00D87985"/>
    <w:rsid w:val="00D87AD3"/>
    <w:rsid w:val="00D87D2F"/>
    <w:rsid w:val="00D90309"/>
    <w:rsid w:val="00D903B8"/>
    <w:rsid w:val="00D903F1"/>
    <w:rsid w:val="00D907C6"/>
    <w:rsid w:val="00D90D7A"/>
    <w:rsid w:val="00D90E96"/>
    <w:rsid w:val="00D91187"/>
    <w:rsid w:val="00D91351"/>
    <w:rsid w:val="00D91493"/>
    <w:rsid w:val="00D9175B"/>
    <w:rsid w:val="00D918FD"/>
    <w:rsid w:val="00D91964"/>
    <w:rsid w:val="00D91995"/>
    <w:rsid w:val="00D919BD"/>
    <w:rsid w:val="00D91A05"/>
    <w:rsid w:val="00D91CFD"/>
    <w:rsid w:val="00D91FCC"/>
    <w:rsid w:val="00D920FD"/>
    <w:rsid w:val="00D920FF"/>
    <w:rsid w:val="00D9292A"/>
    <w:rsid w:val="00D92DA5"/>
    <w:rsid w:val="00D9306D"/>
    <w:rsid w:val="00D9347D"/>
    <w:rsid w:val="00D934DD"/>
    <w:rsid w:val="00D936CB"/>
    <w:rsid w:val="00D939FD"/>
    <w:rsid w:val="00D93A98"/>
    <w:rsid w:val="00D93DA9"/>
    <w:rsid w:val="00D943A5"/>
    <w:rsid w:val="00D943F6"/>
    <w:rsid w:val="00D944AE"/>
    <w:rsid w:val="00D94607"/>
    <w:rsid w:val="00D94A34"/>
    <w:rsid w:val="00D94A3D"/>
    <w:rsid w:val="00D9508E"/>
    <w:rsid w:val="00D95396"/>
    <w:rsid w:val="00D95E1E"/>
    <w:rsid w:val="00D96403"/>
    <w:rsid w:val="00D965AE"/>
    <w:rsid w:val="00D9665B"/>
    <w:rsid w:val="00D966E4"/>
    <w:rsid w:val="00D96A0A"/>
    <w:rsid w:val="00D96FBB"/>
    <w:rsid w:val="00D977A4"/>
    <w:rsid w:val="00D977F8"/>
    <w:rsid w:val="00D9790D"/>
    <w:rsid w:val="00D97B31"/>
    <w:rsid w:val="00D97C8D"/>
    <w:rsid w:val="00D97D5D"/>
    <w:rsid w:val="00D97FDA"/>
    <w:rsid w:val="00DA01F0"/>
    <w:rsid w:val="00DA0257"/>
    <w:rsid w:val="00DA08A2"/>
    <w:rsid w:val="00DA0A60"/>
    <w:rsid w:val="00DA0A8D"/>
    <w:rsid w:val="00DA0F55"/>
    <w:rsid w:val="00DA1050"/>
    <w:rsid w:val="00DA10C6"/>
    <w:rsid w:val="00DA133C"/>
    <w:rsid w:val="00DA17F9"/>
    <w:rsid w:val="00DA1ABB"/>
    <w:rsid w:val="00DA1C01"/>
    <w:rsid w:val="00DA1DBA"/>
    <w:rsid w:val="00DA1DF3"/>
    <w:rsid w:val="00DA1F09"/>
    <w:rsid w:val="00DA21DD"/>
    <w:rsid w:val="00DA221C"/>
    <w:rsid w:val="00DA2784"/>
    <w:rsid w:val="00DA2915"/>
    <w:rsid w:val="00DA2AFC"/>
    <w:rsid w:val="00DA2BB9"/>
    <w:rsid w:val="00DA2E41"/>
    <w:rsid w:val="00DA2FB9"/>
    <w:rsid w:val="00DA3905"/>
    <w:rsid w:val="00DA39B2"/>
    <w:rsid w:val="00DA3AEA"/>
    <w:rsid w:val="00DA3FA5"/>
    <w:rsid w:val="00DA4041"/>
    <w:rsid w:val="00DA4060"/>
    <w:rsid w:val="00DA40DB"/>
    <w:rsid w:val="00DA431E"/>
    <w:rsid w:val="00DA4536"/>
    <w:rsid w:val="00DA4696"/>
    <w:rsid w:val="00DA4B4A"/>
    <w:rsid w:val="00DA4F7B"/>
    <w:rsid w:val="00DA4FFC"/>
    <w:rsid w:val="00DA521F"/>
    <w:rsid w:val="00DA59EA"/>
    <w:rsid w:val="00DA5B96"/>
    <w:rsid w:val="00DA5C4A"/>
    <w:rsid w:val="00DA5D4F"/>
    <w:rsid w:val="00DA5D80"/>
    <w:rsid w:val="00DA5D92"/>
    <w:rsid w:val="00DA5E5D"/>
    <w:rsid w:val="00DA5E8C"/>
    <w:rsid w:val="00DA60B8"/>
    <w:rsid w:val="00DA6126"/>
    <w:rsid w:val="00DA63A0"/>
    <w:rsid w:val="00DA668C"/>
    <w:rsid w:val="00DA67DD"/>
    <w:rsid w:val="00DA69EF"/>
    <w:rsid w:val="00DA6A8A"/>
    <w:rsid w:val="00DA715E"/>
    <w:rsid w:val="00DA71D2"/>
    <w:rsid w:val="00DA7887"/>
    <w:rsid w:val="00DA78F0"/>
    <w:rsid w:val="00DA7A44"/>
    <w:rsid w:val="00DA7BC3"/>
    <w:rsid w:val="00DA7D9C"/>
    <w:rsid w:val="00DA7DD0"/>
    <w:rsid w:val="00DA7E33"/>
    <w:rsid w:val="00DA7EAD"/>
    <w:rsid w:val="00DB029B"/>
    <w:rsid w:val="00DB02BF"/>
    <w:rsid w:val="00DB03AD"/>
    <w:rsid w:val="00DB05E2"/>
    <w:rsid w:val="00DB0AF2"/>
    <w:rsid w:val="00DB0B7B"/>
    <w:rsid w:val="00DB0EC9"/>
    <w:rsid w:val="00DB112F"/>
    <w:rsid w:val="00DB1264"/>
    <w:rsid w:val="00DB1405"/>
    <w:rsid w:val="00DB15EA"/>
    <w:rsid w:val="00DB1828"/>
    <w:rsid w:val="00DB1B1C"/>
    <w:rsid w:val="00DB1C28"/>
    <w:rsid w:val="00DB1ED9"/>
    <w:rsid w:val="00DB1FBE"/>
    <w:rsid w:val="00DB23F6"/>
    <w:rsid w:val="00DB2772"/>
    <w:rsid w:val="00DB2D01"/>
    <w:rsid w:val="00DB2DC0"/>
    <w:rsid w:val="00DB3049"/>
    <w:rsid w:val="00DB3083"/>
    <w:rsid w:val="00DB3219"/>
    <w:rsid w:val="00DB40E8"/>
    <w:rsid w:val="00DB450D"/>
    <w:rsid w:val="00DB4D5B"/>
    <w:rsid w:val="00DB4E72"/>
    <w:rsid w:val="00DB4EDA"/>
    <w:rsid w:val="00DB4F57"/>
    <w:rsid w:val="00DB4FD8"/>
    <w:rsid w:val="00DB5069"/>
    <w:rsid w:val="00DB522F"/>
    <w:rsid w:val="00DB5248"/>
    <w:rsid w:val="00DB5562"/>
    <w:rsid w:val="00DB587C"/>
    <w:rsid w:val="00DB5B91"/>
    <w:rsid w:val="00DB5F8D"/>
    <w:rsid w:val="00DB61FA"/>
    <w:rsid w:val="00DB65E9"/>
    <w:rsid w:val="00DB65FD"/>
    <w:rsid w:val="00DB6A7A"/>
    <w:rsid w:val="00DB6E59"/>
    <w:rsid w:val="00DB6F99"/>
    <w:rsid w:val="00DB6FFA"/>
    <w:rsid w:val="00DB7060"/>
    <w:rsid w:val="00DB7209"/>
    <w:rsid w:val="00DB726A"/>
    <w:rsid w:val="00DB7272"/>
    <w:rsid w:val="00DB73EA"/>
    <w:rsid w:val="00DB7712"/>
    <w:rsid w:val="00DB7940"/>
    <w:rsid w:val="00DB7FEE"/>
    <w:rsid w:val="00DC00EC"/>
    <w:rsid w:val="00DC06B3"/>
    <w:rsid w:val="00DC11B3"/>
    <w:rsid w:val="00DC1921"/>
    <w:rsid w:val="00DC1925"/>
    <w:rsid w:val="00DC19AD"/>
    <w:rsid w:val="00DC1C65"/>
    <w:rsid w:val="00DC1D3B"/>
    <w:rsid w:val="00DC1FB3"/>
    <w:rsid w:val="00DC21D6"/>
    <w:rsid w:val="00DC2469"/>
    <w:rsid w:val="00DC25B3"/>
    <w:rsid w:val="00DC2ABF"/>
    <w:rsid w:val="00DC3230"/>
    <w:rsid w:val="00DC388F"/>
    <w:rsid w:val="00DC3A83"/>
    <w:rsid w:val="00DC3B4B"/>
    <w:rsid w:val="00DC3C1C"/>
    <w:rsid w:val="00DC3C26"/>
    <w:rsid w:val="00DC3EA5"/>
    <w:rsid w:val="00DC3F86"/>
    <w:rsid w:val="00DC406C"/>
    <w:rsid w:val="00DC4122"/>
    <w:rsid w:val="00DC41CB"/>
    <w:rsid w:val="00DC46F2"/>
    <w:rsid w:val="00DC4AC6"/>
    <w:rsid w:val="00DC4D5C"/>
    <w:rsid w:val="00DC4DA1"/>
    <w:rsid w:val="00DC4E09"/>
    <w:rsid w:val="00DC4ED1"/>
    <w:rsid w:val="00DC5169"/>
    <w:rsid w:val="00DC566E"/>
    <w:rsid w:val="00DC593F"/>
    <w:rsid w:val="00DC5E72"/>
    <w:rsid w:val="00DC67A5"/>
    <w:rsid w:val="00DC687B"/>
    <w:rsid w:val="00DC6F78"/>
    <w:rsid w:val="00DC70E0"/>
    <w:rsid w:val="00DC72BD"/>
    <w:rsid w:val="00DC74F1"/>
    <w:rsid w:val="00DC758A"/>
    <w:rsid w:val="00DC77BA"/>
    <w:rsid w:val="00DC77D7"/>
    <w:rsid w:val="00DC7A26"/>
    <w:rsid w:val="00DC7B18"/>
    <w:rsid w:val="00DC7DA5"/>
    <w:rsid w:val="00DC7E70"/>
    <w:rsid w:val="00DD00F7"/>
    <w:rsid w:val="00DD0338"/>
    <w:rsid w:val="00DD0600"/>
    <w:rsid w:val="00DD0939"/>
    <w:rsid w:val="00DD0A9B"/>
    <w:rsid w:val="00DD0FF1"/>
    <w:rsid w:val="00DD14D1"/>
    <w:rsid w:val="00DD152D"/>
    <w:rsid w:val="00DD1680"/>
    <w:rsid w:val="00DD1769"/>
    <w:rsid w:val="00DD1A86"/>
    <w:rsid w:val="00DD1AC8"/>
    <w:rsid w:val="00DD1CF7"/>
    <w:rsid w:val="00DD1ECB"/>
    <w:rsid w:val="00DD1F94"/>
    <w:rsid w:val="00DD2293"/>
    <w:rsid w:val="00DD22C6"/>
    <w:rsid w:val="00DD24E8"/>
    <w:rsid w:val="00DD2BA6"/>
    <w:rsid w:val="00DD2BD0"/>
    <w:rsid w:val="00DD37BC"/>
    <w:rsid w:val="00DD3951"/>
    <w:rsid w:val="00DD39AA"/>
    <w:rsid w:val="00DD3A31"/>
    <w:rsid w:val="00DD3A63"/>
    <w:rsid w:val="00DD3F53"/>
    <w:rsid w:val="00DD40E4"/>
    <w:rsid w:val="00DD4178"/>
    <w:rsid w:val="00DD418C"/>
    <w:rsid w:val="00DD4299"/>
    <w:rsid w:val="00DD44A5"/>
    <w:rsid w:val="00DD475A"/>
    <w:rsid w:val="00DD4AF3"/>
    <w:rsid w:val="00DD4D9C"/>
    <w:rsid w:val="00DD4DF5"/>
    <w:rsid w:val="00DD4FEB"/>
    <w:rsid w:val="00DD52BE"/>
    <w:rsid w:val="00DD535B"/>
    <w:rsid w:val="00DD5479"/>
    <w:rsid w:val="00DD558A"/>
    <w:rsid w:val="00DD55AD"/>
    <w:rsid w:val="00DD5B77"/>
    <w:rsid w:val="00DD5C4C"/>
    <w:rsid w:val="00DD5CB1"/>
    <w:rsid w:val="00DD6650"/>
    <w:rsid w:val="00DD6D79"/>
    <w:rsid w:val="00DD702F"/>
    <w:rsid w:val="00DD7095"/>
    <w:rsid w:val="00DD7214"/>
    <w:rsid w:val="00DD73A9"/>
    <w:rsid w:val="00DD73D6"/>
    <w:rsid w:val="00DD757B"/>
    <w:rsid w:val="00DD7631"/>
    <w:rsid w:val="00DD7681"/>
    <w:rsid w:val="00DD779C"/>
    <w:rsid w:val="00DD7E54"/>
    <w:rsid w:val="00DD7F74"/>
    <w:rsid w:val="00DE03E7"/>
    <w:rsid w:val="00DE0424"/>
    <w:rsid w:val="00DE06C4"/>
    <w:rsid w:val="00DE0955"/>
    <w:rsid w:val="00DE11E9"/>
    <w:rsid w:val="00DE13E1"/>
    <w:rsid w:val="00DE147F"/>
    <w:rsid w:val="00DE14DA"/>
    <w:rsid w:val="00DE170A"/>
    <w:rsid w:val="00DE178D"/>
    <w:rsid w:val="00DE19E9"/>
    <w:rsid w:val="00DE1A87"/>
    <w:rsid w:val="00DE2519"/>
    <w:rsid w:val="00DE255F"/>
    <w:rsid w:val="00DE2A49"/>
    <w:rsid w:val="00DE2CDE"/>
    <w:rsid w:val="00DE346F"/>
    <w:rsid w:val="00DE3524"/>
    <w:rsid w:val="00DE3CBB"/>
    <w:rsid w:val="00DE3E3D"/>
    <w:rsid w:val="00DE4027"/>
    <w:rsid w:val="00DE42F6"/>
    <w:rsid w:val="00DE43AE"/>
    <w:rsid w:val="00DE43E3"/>
    <w:rsid w:val="00DE440B"/>
    <w:rsid w:val="00DE47E0"/>
    <w:rsid w:val="00DE4B9F"/>
    <w:rsid w:val="00DE4D8F"/>
    <w:rsid w:val="00DE4F61"/>
    <w:rsid w:val="00DE50EA"/>
    <w:rsid w:val="00DE5642"/>
    <w:rsid w:val="00DE5896"/>
    <w:rsid w:val="00DE597C"/>
    <w:rsid w:val="00DE59B5"/>
    <w:rsid w:val="00DE5CCE"/>
    <w:rsid w:val="00DE5CD6"/>
    <w:rsid w:val="00DE5D0D"/>
    <w:rsid w:val="00DE5EA6"/>
    <w:rsid w:val="00DE64FE"/>
    <w:rsid w:val="00DE68AE"/>
    <w:rsid w:val="00DE6ED2"/>
    <w:rsid w:val="00DE6FB4"/>
    <w:rsid w:val="00DE719A"/>
    <w:rsid w:val="00DE71E1"/>
    <w:rsid w:val="00DE73C6"/>
    <w:rsid w:val="00DE7747"/>
    <w:rsid w:val="00DE7ABA"/>
    <w:rsid w:val="00DE7CCF"/>
    <w:rsid w:val="00DE7FA7"/>
    <w:rsid w:val="00DF051E"/>
    <w:rsid w:val="00DF06B8"/>
    <w:rsid w:val="00DF0744"/>
    <w:rsid w:val="00DF089C"/>
    <w:rsid w:val="00DF0951"/>
    <w:rsid w:val="00DF09BB"/>
    <w:rsid w:val="00DF0A5F"/>
    <w:rsid w:val="00DF0CBA"/>
    <w:rsid w:val="00DF0E26"/>
    <w:rsid w:val="00DF0FA7"/>
    <w:rsid w:val="00DF0FAB"/>
    <w:rsid w:val="00DF102B"/>
    <w:rsid w:val="00DF10A0"/>
    <w:rsid w:val="00DF124A"/>
    <w:rsid w:val="00DF153B"/>
    <w:rsid w:val="00DF162E"/>
    <w:rsid w:val="00DF194D"/>
    <w:rsid w:val="00DF19B4"/>
    <w:rsid w:val="00DF1A15"/>
    <w:rsid w:val="00DF20CC"/>
    <w:rsid w:val="00DF212A"/>
    <w:rsid w:val="00DF25F1"/>
    <w:rsid w:val="00DF2A8C"/>
    <w:rsid w:val="00DF2AF0"/>
    <w:rsid w:val="00DF30D3"/>
    <w:rsid w:val="00DF3186"/>
    <w:rsid w:val="00DF33A7"/>
    <w:rsid w:val="00DF3854"/>
    <w:rsid w:val="00DF3D8A"/>
    <w:rsid w:val="00DF4443"/>
    <w:rsid w:val="00DF44AC"/>
    <w:rsid w:val="00DF45D4"/>
    <w:rsid w:val="00DF48C7"/>
    <w:rsid w:val="00DF48D3"/>
    <w:rsid w:val="00DF4DC8"/>
    <w:rsid w:val="00DF4DF4"/>
    <w:rsid w:val="00DF4F52"/>
    <w:rsid w:val="00DF50C4"/>
    <w:rsid w:val="00DF51CD"/>
    <w:rsid w:val="00DF52C2"/>
    <w:rsid w:val="00DF5A82"/>
    <w:rsid w:val="00DF5BB6"/>
    <w:rsid w:val="00DF5CB1"/>
    <w:rsid w:val="00DF5E4E"/>
    <w:rsid w:val="00DF67B6"/>
    <w:rsid w:val="00DF6ADD"/>
    <w:rsid w:val="00DF6B58"/>
    <w:rsid w:val="00DF6EB3"/>
    <w:rsid w:val="00DF6ED2"/>
    <w:rsid w:val="00DF7675"/>
    <w:rsid w:val="00DF767C"/>
    <w:rsid w:val="00DF78A8"/>
    <w:rsid w:val="00DF7D91"/>
    <w:rsid w:val="00E001D5"/>
    <w:rsid w:val="00E00235"/>
    <w:rsid w:val="00E003F8"/>
    <w:rsid w:val="00E0062D"/>
    <w:rsid w:val="00E007FA"/>
    <w:rsid w:val="00E00979"/>
    <w:rsid w:val="00E00C14"/>
    <w:rsid w:val="00E00D5D"/>
    <w:rsid w:val="00E0124F"/>
    <w:rsid w:val="00E014FF"/>
    <w:rsid w:val="00E01820"/>
    <w:rsid w:val="00E01933"/>
    <w:rsid w:val="00E01BDA"/>
    <w:rsid w:val="00E01CBC"/>
    <w:rsid w:val="00E02462"/>
    <w:rsid w:val="00E02700"/>
    <w:rsid w:val="00E02CAC"/>
    <w:rsid w:val="00E02E20"/>
    <w:rsid w:val="00E0305D"/>
    <w:rsid w:val="00E031CA"/>
    <w:rsid w:val="00E0326A"/>
    <w:rsid w:val="00E03501"/>
    <w:rsid w:val="00E035E2"/>
    <w:rsid w:val="00E03702"/>
    <w:rsid w:val="00E03C03"/>
    <w:rsid w:val="00E03D03"/>
    <w:rsid w:val="00E03D8A"/>
    <w:rsid w:val="00E03EF6"/>
    <w:rsid w:val="00E04013"/>
    <w:rsid w:val="00E040FB"/>
    <w:rsid w:val="00E04709"/>
    <w:rsid w:val="00E047DD"/>
    <w:rsid w:val="00E048D2"/>
    <w:rsid w:val="00E0492D"/>
    <w:rsid w:val="00E0497A"/>
    <w:rsid w:val="00E04B1B"/>
    <w:rsid w:val="00E04C48"/>
    <w:rsid w:val="00E05029"/>
    <w:rsid w:val="00E051CE"/>
    <w:rsid w:val="00E057B3"/>
    <w:rsid w:val="00E057D2"/>
    <w:rsid w:val="00E05B25"/>
    <w:rsid w:val="00E05BC9"/>
    <w:rsid w:val="00E05DA3"/>
    <w:rsid w:val="00E05F83"/>
    <w:rsid w:val="00E06271"/>
    <w:rsid w:val="00E063B4"/>
    <w:rsid w:val="00E06463"/>
    <w:rsid w:val="00E064C7"/>
    <w:rsid w:val="00E065A3"/>
    <w:rsid w:val="00E06792"/>
    <w:rsid w:val="00E0680A"/>
    <w:rsid w:val="00E06885"/>
    <w:rsid w:val="00E068D8"/>
    <w:rsid w:val="00E06BA4"/>
    <w:rsid w:val="00E06EBA"/>
    <w:rsid w:val="00E0703E"/>
    <w:rsid w:val="00E071E8"/>
    <w:rsid w:val="00E07215"/>
    <w:rsid w:val="00E07245"/>
    <w:rsid w:val="00E07630"/>
    <w:rsid w:val="00E079C1"/>
    <w:rsid w:val="00E07A73"/>
    <w:rsid w:val="00E07C5F"/>
    <w:rsid w:val="00E10151"/>
    <w:rsid w:val="00E1015B"/>
    <w:rsid w:val="00E10259"/>
    <w:rsid w:val="00E104EC"/>
    <w:rsid w:val="00E10570"/>
    <w:rsid w:val="00E10652"/>
    <w:rsid w:val="00E10668"/>
    <w:rsid w:val="00E10727"/>
    <w:rsid w:val="00E107E7"/>
    <w:rsid w:val="00E10834"/>
    <w:rsid w:val="00E109EA"/>
    <w:rsid w:val="00E10AA1"/>
    <w:rsid w:val="00E10B1F"/>
    <w:rsid w:val="00E10E3D"/>
    <w:rsid w:val="00E114D2"/>
    <w:rsid w:val="00E116B4"/>
    <w:rsid w:val="00E1189E"/>
    <w:rsid w:val="00E11EF5"/>
    <w:rsid w:val="00E1212A"/>
    <w:rsid w:val="00E12599"/>
    <w:rsid w:val="00E1279B"/>
    <w:rsid w:val="00E12819"/>
    <w:rsid w:val="00E12DDE"/>
    <w:rsid w:val="00E13830"/>
    <w:rsid w:val="00E138F2"/>
    <w:rsid w:val="00E1396C"/>
    <w:rsid w:val="00E13A0D"/>
    <w:rsid w:val="00E13AD4"/>
    <w:rsid w:val="00E13C5D"/>
    <w:rsid w:val="00E14008"/>
    <w:rsid w:val="00E140FD"/>
    <w:rsid w:val="00E14423"/>
    <w:rsid w:val="00E146B1"/>
    <w:rsid w:val="00E147C7"/>
    <w:rsid w:val="00E147CF"/>
    <w:rsid w:val="00E14A15"/>
    <w:rsid w:val="00E14B74"/>
    <w:rsid w:val="00E14C06"/>
    <w:rsid w:val="00E14E67"/>
    <w:rsid w:val="00E14FE1"/>
    <w:rsid w:val="00E15282"/>
    <w:rsid w:val="00E15333"/>
    <w:rsid w:val="00E1576F"/>
    <w:rsid w:val="00E15AC7"/>
    <w:rsid w:val="00E15E7F"/>
    <w:rsid w:val="00E15F91"/>
    <w:rsid w:val="00E16334"/>
    <w:rsid w:val="00E163CA"/>
    <w:rsid w:val="00E16C43"/>
    <w:rsid w:val="00E16F41"/>
    <w:rsid w:val="00E17FA7"/>
    <w:rsid w:val="00E2038D"/>
    <w:rsid w:val="00E2048D"/>
    <w:rsid w:val="00E205E9"/>
    <w:rsid w:val="00E20734"/>
    <w:rsid w:val="00E207CB"/>
    <w:rsid w:val="00E20872"/>
    <w:rsid w:val="00E20894"/>
    <w:rsid w:val="00E209FF"/>
    <w:rsid w:val="00E20A24"/>
    <w:rsid w:val="00E20CC0"/>
    <w:rsid w:val="00E20E2C"/>
    <w:rsid w:val="00E20EEF"/>
    <w:rsid w:val="00E20F0C"/>
    <w:rsid w:val="00E20FFB"/>
    <w:rsid w:val="00E21135"/>
    <w:rsid w:val="00E21206"/>
    <w:rsid w:val="00E2129A"/>
    <w:rsid w:val="00E2194F"/>
    <w:rsid w:val="00E21A95"/>
    <w:rsid w:val="00E21C2C"/>
    <w:rsid w:val="00E21CA0"/>
    <w:rsid w:val="00E21ED0"/>
    <w:rsid w:val="00E21F05"/>
    <w:rsid w:val="00E21FD5"/>
    <w:rsid w:val="00E22134"/>
    <w:rsid w:val="00E22778"/>
    <w:rsid w:val="00E22BF5"/>
    <w:rsid w:val="00E22E4F"/>
    <w:rsid w:val="00E22F04"/>
    <w:rsid w:val="00E232DE"/>
    <w:rsid w:val="00E233A1"/>
    <w:rsid w:val="00E235CB"/>
    <w:rsid w:val="00E237DF"/>
    <w:rsid w:val="00E237E5"/>
    <w:rsid w:val="00E23AFC"/>
    <w:rsid w:val="00E23E46"/>
    <w:rsid w:val="00E23E4B"/>
    <w:rsid w:val="00E242DC"/>
    <w:rsid w:val="00E24583"/>
    <w:rsid w:val="00E245BC"/>
    <w:rsid w:val="00E24701"/>
    <w:rsid w:val="00E248E6"/>
    <w:rsid w:val="00E24D2B"/>
    <w:rsid w:val="00E24DE4"/>
    <w:rsid w:val="00E24F83"/>
    <w:rsid w:val="00E2502C"/>
    <w:rsid w:val="00E250BA"/>
    <w:rsid w:val="00E2510B"/>
    <w:rsid w:val="00E251A8"/>
    <w:rsid w:val="00E25204"/>
    <w:rsid w:val="00E252AE"/>
    <w:rsid w:val="00E25441"/>
    <w:rsid w:val="00E2589E"/>
    <w:rsid w:val="00E258B5"/>
    <w:rsid w:val="00E25919"/>
    <w:rsid w:val="00E25D11"/>
    <w:rsid w:val="00E25E89"/>
    <w:rsid w:val="00E26053"/>
    <w:rsid w:val="00E26324"/>
    <w:rsid w:val="00E265D7"/>
    <w:rsid w:val="00E26DFC"/>
    <w:rsid w:val="00E26E4A"/>
    <w:rsid w:val="00E26F84"/>
    <w:rsid w:val="00E271B9"/>
    <w:rsid w:val="00E27402"/>
    <w:rsid w:val="00E276C7"/>
    <w:rsid w:val="00E27757"/>
    <w:rsid w:val="00E277B5"/>
    <w:rsid w:val="00E27A30"/>
    <w:rsid w:val="00E300EB"/>
    <w:rsid w:val="00E304B9"/>
    <w:rsid w:val="00E30514"/>
    <w:rsid w:val="00E30BBF"/>
    <w:rsid w:val="00E30F8F"/>
    <w:rsid w:val="00E30FF2"/>
    <w:rsid w:val="00E31127"/>
    <w:rsid w:val="00E31186"/>
    <w:rsid w:val="00E31593"/>
    <w:rsid w:val="00E319D6"/>
    <w:rsid w:val="00E31B2F"/>
    <w:rsid w:val="00E32229"/>
    <w:rsid w:val="00E32428"/>
    <w:rsid w:val="00E325C7"/>
    <w:rsid w:val="00E3280C"/>
    <w:rsid w:val="00E32BBB"/>
    <w:rsid w:val="00E33161"/>
    <w:rsid w:val="00E331DB"/>
    <w:rsid w:val="00E3335E"/>
    <w:rsid w:val="00E33565"/>
    <w:rsid w:val="00E335B7"/>
    <w:rsid w:val="00E3377E"/>
    <w:rsid w:val="00E33C37"/>
    <w:rsid w:val="00E33C77"/>
    <w:rsid w:val="00E33C99"/>
    <w:rsid w:val="00E33CA6"/>
    <w:rsid w:val="00E33D6F"/>
    <w:rsid w:val="00E341BC"/>
    <w:rsid w:val="00E341D2"/>
    <w:rsid w:val="00E342BE"/>
    <w:rsid w:val="00E346B2"/>
    <w:rsid w:val="00E348D0"/>
    <w:rsid w:val="00E34A11"/>
    <w:rsid w:val="00E34A4B"/>
    <w:rsid w:val="00E34E31"/>
    <w:rsid w:val="00E3500F"/>
    <w:rsid w:val="00E35360"/>
    <w:rsid w:val="00E35386"/>
    <w:rsid w:val="00E35421"/>
    <w:rsid w:val="00E3544B"/>
    <w:rsid w:val="00E354E2"/>
    <w:rsid w:val="00E35500"/>
    <w:rsid w:val="00E355CC"/>
    <w:rsid w:val="00E356A9"/>
    <w:rsid w:val="00E35E49"/>
    <w:rsid w:val="00E35E6D"/>
    <w:rsid w:val="00E35E95"/>
    <w:rsid w:val="00E36087"/>
    <w:rsid w:val="00E366C1"/>
    <w:rsid w:val="00E368B0"/>
    <w:rsid w:val="00E36A62"/>
    <w:rsid w:val="00E36A96"/>
    <w:rsid w:val="00E36BB8"/>
    <w:rsid w:val="00E36D1C"/>
    <w:rsid w:val="00E36E6C"/>
    <w:rsid w:val="00E36F58"/>
    <w:rsid w:val="00E36FD0"/>
    <w:rsid w:val="00E37024"/>
    <w:rsid w:val="00E3718A"/>
    <w:rsid w:val="00E37262"/>
    <w:rsid w:val="00E37294"/>
    <w:rsid w:val="00E372BC"/>
    <w:rsid w:val="00E37411"/>
    <w:rsid w:val="00E3744B"/>
    <w:rsid w:val="00E37ED7"/>
    <w:rsid w:val="00E4004C"/>
    <w:rsid w:val="00E405EF"/>
    <w:rsid w:val="00E40790"/>
    <w:rsid w:val="00E407FA"/>
    <w:rsid w:val="00E408A1"/>
    <w:rsid w:val="00E40931"/>
    <w:rsid w:val="00E40D42"/>
    <w:rsid w:val="00E41184"/>
    <w:rsid w:val="00E41480"/>
    <w:rsid w:val="00E41954"/>
    <w:rsid w:val="00E4236D"/>
    <w:rsid w:val="00E424BB"/>
    <w:rsid w:val="00E42734"/>
    <w:rsid w:val="00E427B8"/>
    <w:rsid w:val="00E42E62"/>
    <w:rsid w:val="00E42EB7"/>
    <w:rsid w:val="00E4319B"/>
    <w:rsid w:val="00E43398"/>
    <w:rsid w:val="00E4342B"/>
    <w:rsid w:val="00E434A5"/>
    <w:rsid w:val="00E436CF"/>
    <w:rsid w:val="00E43902"/>
    <w:rsid w:val="00E43B9C"/>
    <w:rsid w:val="00E43E4D"/>
    <w:rsid w:val="00E4492B"/>
    <w:rsid w:val="00E449A6"/>
    <w:rsid w:val="00E449D4"/>
    <w:rsid w:val="00E44AE3"/>
    <w:rsid w:val="00E458A7"/>
    <w:rsid w:val="00E45A38"/>
    <w:rsid w:val="00E45C44"/>
    <w:rsid w:val="00E45F17"/>
    <w:rsid w:val="00E465AF"/>
    <w:rsid w:val="00E466C8"/>
    <w:rsid w:val="00E46A59"/>
    <w:rsid w:val="00E46D40"/>
    <w:rsid w:val="00E47464"/>
    <w:rsid w:val="00E475E2"/>
    <w:rsid w:val="00E47774"/>
    <w:rsid w:val="00E4779A"/>
    <w:rsid w:val="00E47803"/>
    <w:rsid w:val="00E47859"/>
    <w:rsid w:val="00E47A7C"/>
    <w:rsid w:val="00E47FFD"/>
    <w:rsid w:val="00E505D5"/>
    <w:rsid w:val="00E5068F"/>
    <w:rsid w:val="00E50971"/>
    <w:rsid w:val="00E50B7B"/>
    <w:rsid w:val="00E50EBB"/>
    <w:rsid w:val="00E510D3"/>
    <w:rsid w:val="00E517E5"/>
    <w:rsid w:val="00E51818"/>
    <w:rsid w:val="00E5199E"/>
    <w:rsid w:val="00E51AED"/>
    <w:rsid w:val="00E51D34"/>
    <w:rsid w:val="00E51ECB"/>
    <w:rsid w:val="00E527DD"/>
    <w:rsid w:val="00E52B8E"/>
    <w:rsid w:val="00E52DC3"/>
    <w:rsid w:val="00E53192"/>
    <w:rsid w:val="00E53555"/>
    <w:rsid w:val="00E53601"/>
    <w:rsid w:val="00E536BF"/>
    <w:rsid w:val="00E53A8B"/>
    <w:rsid w:val="00E53B64"/>
    <w:rsid w:val="00E53E77"/>
    <w:rsid w:val="00E53EA9"/>
    <w:rsid w:val="00E53FCF"/>
    <w:rsid w:val="00E5424E"/>
    <w:rsid w:val="00E5428C"/>
    <w:rsid w:val="00E5439E"/>
    <w:rsid w:val="00E5455F"/>
    <w:rsid w:val="00E546C4"/>
    <w:rsid w:val="00E5476D"/>
    <w:rsid w:val="00E549E4"/>
    <w:rsid w:val="00E54A06"/>
    <w:rsid w:val="00E54AA6"/>
    <w:rsid w:val="00E54FF6"/>
    <w:rsid w:val="00E55727"/>
    <w:rsid w:val="00E55778"/>
    <w:rsid w:val="00E55922"/>
    <w:rsid w:val="00E55BEC"/>
    <w:rsid w:val="00E55D8D"/>
    <w:rsid w:val="00E560E7"/>
    <w:rsid w:val="00E56111"/>
    <w:rsid w:val="00E561B1"/>
    <w:rsid w:val="00E561B2"/>
    <w:rsid w:val="00E565A8"/>
    <w:rsid w:val="00E565E8"/>
    <w:rsid w:val="00E56724"/>
    <w:rsid w:val="00E5697C"/>
    <w:rsid w:val="00E56F66"/>
    <w:rsid w:val="00E57117"/>
    <w:rsid w:val="00E572E6"/>
    <w:rsid w:val="00E575EB"/>
    <w:rsid w:val="00E57ADA"/>
    <w:rsid w:val="00E57F0C"/>
    <w:rsid w:val="00E6001B"/>
    <w:rsid w:val="00E6041E"/>
    <w:rsid w:val="00E6053E"/>
    <w:rsid w:val="00E60C8C"/>
    <w:rsid w:val="00E60CE0"/>
    <w:rsid w:val="00E60EFF"/>
    <w:rsid w:val="00E61184"/>
    <w:rsid w:val="00E6162D"/>
    <w:rsid w:val="00E61656"/>
    <w:rsid w:val="00E616E4"/>
    <w:rsid w:val="00E6177D"/>
    <w:rsid w:val="00E618D2"/>
    <w:rsid w:val="00E61ADD"/>
    <w:rsid w:val="00E6223B"/>
    <w:rsid w:val="00E62290"/>
    <w:rsid w:val="00E622BA"/>
    <w:rsid w:val="00E62501"/>
    <w:rsid w:val="00E62B36"/>
    <w:rsid w:val="00E62BAB"/>
    <w:rsid w:val="00E62BBC"/>
    <w:rsid w:val="00E62C35"/>
    <w:rsid w:val="00E62C43"/>
    <w:rsid w:val="00E6324C"/>
    <w:rsid w:val="00E63603"/>
    <w:rsid w:val="00E63906"/>
    <w:rsid w:val="00E63AD4"/>
    <w:rsid w:val="00E642DE"/>
    <w:rsid w:val="00E64316"/>
    <w:rsid w:val="00E6467F"/>
    <w:rsid w:val="00E6471A"/>
    <w:rsid w:val="00E64830"/>
    <w:rsid w:val="00E64C2B"/>
    <w:rsid w:val="00E64C75"/>
    <w:rsid w:val="00E64DEB"/>
    <w:rsid w:val="00E65053"/>
    <w:rsid w:val="00E6509D"/>
    <w:rsid w:val="00E652B8"/>
    <w:rsid w:val="00E653D0"/>
    <w:rsid w:val="00E65D2D"/>
    <w:rsid w:val="00E65DB6"/>
    <w:rsid w:val="00E65EAE"/>
    <w:rsid w:val="00E6604B"/>
    <w:rsid w:val="00E6640F"/>
    <w:rsid w:val="00E669BF"/>
    <w:rsid w:val="00E66A26"/>
    <w:rsid w:val="00E66D72"/>
    <w:rsid w:val="00E6721F"/>
    <w:rsid w:val="00E6736A"/>
    <w:rsid w:val="00E675E1"/>
    <w:rsid w:val="00E67981"/>
    <w:rsid w:val="00E67A3A"/>
    <w:rsid w:val="00E67A3C"/>
    <w:rsid w:val="00E67D8A"/>
    <w:rsid w:val="00E67EF3"/>
    <w:rsid w:val="00E67F7F"/>
    <w:rsid w:val="00E67F83"/>
    <w:rsid w:val="00E67F92"/>
    <w:rsid w:val="00E70077"/>
    <w:rsid w:val="00E7026C"/>
    <w:rsid w:val="00E7049B"/>
    <w:rsid w:val="00E707B1"/>
    <w:rsid w:val="00E7083E"/>
    <w:rsid w:val="00E7090A"/>
    <w:rsid w:val="00E70B72"/>
    <w:rsid w:val="00E7146B"/>
    <w:rsid w:val="00E71488"/>
    <w:rsid w:val="00E71512"/>
    <w:rsid w:val="00E71A06"/>
    <w:rsid w:val="00E71C36"/>
    <w:rsid w:val="00E71C42"/>
    <w:rsid w:val="00E71E13"/>
    <w:rsid w:val="00E71F3F"/>
    <w:rsid w:val="00E71FA6"/>
    <w:rsid w:val="00E71FCE"/>
    <w:rsid w:val="00E7239A"/>
    <w:rsid w:val="00E723AE"/>
    <w:rsid w:val="00E7257B"/>
    <w:rsid w:val="00E72619"/>
    <w:rsid w:val="00E7288E"/>
    <w:rsid w:val="00E72932"/>
    <w:rsid w:val="00E7304B"/>
    <w:rsid w:val="00E73091"/>
    <w:rsid w:val="00E73180"/>
    <w:rsid w:val="00E7319E"/>
    <w:rsid w:val="00E731AA"/>
    <w:rsid w:val="00E735C8"/>
    <w:rsid w:val="00E73663"/>
    <w:rsid w:val="00E737DF"/>
    <w:rsid w:val="00E7391C"/>
    <w:rsid w:val="00E7396C"/>
    <w:rsid w:val="00E73B59"/>
    <w:rsid w:val="00E73BB2"/>
    <w:rsid w:val="00E73C2E"/>
    <w:rsid w:val="00E73CEE"/>
    <w:rsid w:val="00E73DFC"/>
    <w:rsid w:val="00E73E98"/>
    <w:rsid w:val="00E73FEA"/>
    <w:rsid w:val="00E74385"/>
    <w:rsid w:val="00E743A8"/>
    <w:rsid w:val="00E747A7"/>
    <w:rsid w:val="00E74B34"/>
    <w:rsid w:val="00E74EA6"/>
    <w:rsid w:val="00E74F40"/>
    <w:rsid w:val="00E75070"/>
    <w:rsid w:val="00E75195"/>
    <w:rsid w:val="00E75D57"/>
    <w:rsid w:val="00E75DAA"/>
    <w:rsid w:val="00E763A9"/>
    <w:rsid w:val="00E76480"/>
    <w:rsid w:val="00E76D5E"/>
    <w:rsid w:val="00E77097"/>
    <w:rsid w:val="00E770F7"/>
    <w:rsid w:val="00E77194"/>
    <w:rsid w:val="00E7745C"/>
    <w:rsid w:val="00E7770F"/>
    <w:rsid w:val="00E7793F"/>
    <w:rsid w:val="00E77D83"/>
    <w:rsid w:val="00E77E04"/>
    <w:rsid w:val="00E80023"/>
    <w:rsid w:val="00E8042D"/>
    <w:rsid w:val="00E8067F"/>
    <w:rsid w:val="00E808AF"/>
    <w:rsid w:val="00E80AD5"/>
    <w:rsid w:val="00E80DD3"/>
    <w:rsid w:val="00E80E95"/>
    <w:rsid w:val="00E80ED8"/>
    <w:rsid w:val="00E80F6A"/>
    <w:rsid w:val="00E8105C"/>
    <w:rsid w:val="00E8140D"/>
    <w:rsid w:val="00E8158E"/>
    <w:rsid w:val="00E815B5"/>
    <w:rsid w:val="00E81621"/>
    <w:rsid w:val="00E816C1"/>
    <w:rsid w:val="00E81A8B"/>
    <w:rsid w:val="00E81BC4"/>
    <w:rsid w:val="00E81FAC"/>
    <w:rsid w:val="00E8206D"/>
    <w:rsid w:val="00E821E5"/>
    <w:rsid w:val="00E8221D"/>
    <w:rsid w:val="00E82403"/>
    <w:rsid w:val="00E82417"/>
    <w:rsid w:val="00E82635"/>
    <w:rsid w:val="00E829A4"/>
    <w:rsid w:val="00E82A43"/>
    <w:rsid w:val="00E82B61"/>
    <w:rsid w:val="00E82C0A"/>
    <w:rsid w:val="00E82F88"/>
    <w:rsid w:val="00E82F9C"/>
    <w:rsid w:val="00E8331B"/>
    <w:rsid w:val="00E8337D"/>
    <w:rsid w:val="00E8340B"/>
    <w:rsid w:val="00E83624"/>
    <w:rsid w:val="00E83BE8"/>
    <w:rsid w:val="00E83FA2"/>
    <w:rsid w:val="00E84099"/>
    <w:rsid w:val="00E84194"/>
    <w:rsid w:val="00E842DC"/>
    <w:rsid w:val="00E843BE"/>
    <w:rsid w:val="00E8459F"/>
    <w:rsid w:val="00E84CB4"/>
    <w:rsid w:val="00E84CB6"/>
    <w:rsid w:val="00E84E09"/>
    <w:rsid w:val="00E84E4A"/>
    <w:rsid w:val="00E850A5"/>
    <w:rsid w:val="00E851DD"/>
    <w:rsid w:val="00E855B0"/>
    <w:rsid w:val="00E8562F"/>
    <w:rsid w:val="00E85A3E"/>
    <w:rsid w:val="00E85DD2"/>
    <w:rsid w:val="00E85E63"/>
    <w:rsid w:val="00E85E78"/>
    <w:rsid w:val="00E86274"/>
    <w:rsid w:val="00E867E2"/>
    <w:rsid w:val="00E8684A"/>
    <w:rsid w:val="00E87000"/>
    <w:rsid w:val="00E8717A"/>
    <w:rsid w:val="00E87300"/>
    <w:rsid w:val="00E876C7"/>
    <w:rsid w:val="00E8783B"/>
    <w:rsid w:val="00E87D28"/>
    <w:rsid w:val="00E9009F"/>
    <w:rsid w:val="00E901B2"/>
    <w:rsid w:val="00E908A9"/>
    <w:rsid w:val="00E90906"/>
    <w:rsid w:val="00E9096B"/>
    <w:rsid w:val="00E9099C"/>
    <w:rsid w:val="00E909F4"/>
    <w:rsid w:val="00E90B06"/>
    <w:rsid w:val="00E90B42"/>
    <w:rsid w:val="00E90D59"/>
    <w:rsid w:val="00E90EEF"/>
    <w:rsid w:val="00E90EFC"/>
    <w:rsid w:val="00E90F7C"/>
    <w:rsid w:val="00E91117"/>
    <w:rsid w:val="00E91585"/>
    <w:rsid w:val="00E91ADB"/>
    <w:rsid w:val="00E91B9D"/>
    <w:rsid w:val="00E91EA0"/>
    <w:rsid w:val="00E92192"/>
    <w:rsid w:val="00E9221E"/>
    <w:rsid w:val="00E922BF"/>
    <w:rsid w:val="00E9237A"/>
    <w:rsid w:val="00E9264B"/>
    <w:rsid w:val="00E92B3B"/>
    <w:rsid w:val="00E92CE8"/>
    <w:rsid w:val="00E92DD4"/>
    <w:rsid w:val="00E93210"/>
    <w:rsid w:val="00E9322D"/>
    <w:rsid w:val="00E9351E"/>
    <w:rsid w:val="00E9373B"/>
    <w:rsid w:val="00E93A22"/>
    <w:rsid w:val="00E93A8A"/>
    <w:rsid w:val="00E93E7B"/>
    <w:rsid w:val="00E93F94"/>
    <w:rsid w:val="00E942C7"/>
    <w:rsid w:val="00E944A1"/>
    <w:rsid w:val="00E94A05"/>
    <w:rsid w:val="00E94BB5"/>
    <w:rsid w:val="00E94F59"/>
    <w:rsid w:val="00E950BF"/>
    <w:rsid w:val="00E95155"/>
    <w:rsid w:val="00E953A6"/>
    <w:rsid w:val="00E953DC"/>
    <w:rsid w:val="00E953FF"/>
    <w:rsid w:val="00E9548A"/>
    <w:rsid w:val="00E956E1"/>
    <w:rsid w:val="00E958A2"/>
    <w:rsid w:val="00E959D8"/>
    <w:rsid w:val="00E95D32"/>
    <w:rsid w:val="00E95D7D"/>
    <w:rsid w:val="00E96081"/>
    <w:rsid w:val="00E9613B"/>
    <w:rsid w:val="00E965F9"/>
    <w:rsid w:val="00E96D16"/>
    <w:rsid w:val="00E96D4C"/>
    <w:rsid w:val="00E96E4C"/>
    <w:rsid w:val="00E96E62"/>
    <w:rsid w:val="00E97268"/>
    <w:rsid w:val="00E973C0"/>
    <w:rsid w:val="00E9744D"/>
    <w:rsid w:val="00E975D7"/>
    <w:rsid w:val="00E97758"/>
    <w:rsid w:val="00EA05C8"/>
    <w:rsid w:val="00EA06DE"/>
    <w:rsid w:val="00EA0721"/>
    <w:rsid w:val="00EA0956"/>
    <w:rsid w:val="00EA09D8"/>
    <w:rsid w:val="00EA0C3C"/>
    <w:rsid w:val="00EA0D91"/>
    <w:rsid w:val="00EA1117"/>
    <w:rsid w:val="00EA1397"/>
    <w:rsid w:val="00EA149B"/>
    <w:rsid w:val="00EA152B"/>
    <w:rsid w:val="00EA1726"/>
    <w:rsid w:val="00EA183C"/>
    <w:rsid w:val="00EA1BB2"/>
    <w:rsid w:val="00EA1F4F"/>
    <w:rsid w:val="00EA2029"/>
    <w:rsid w:val="00EA2069"/>
    <w:rsid w:val="00EA2456"/>
    <w:rsid w:val="00EA2718"/>
    <w:rsid w:val="00EA274C"/>
    <w:rsid w:val="00EA27F6"/>
    <w:rsid w:val="00EA2E77"/>
    <w:rsid w:val="00EA331F"/>
    <w:rsid w:val="00EA3607"/>
    <w:rsid w:val="00EA3CA4"/>
    <w:rsid w:val="00EA3FF0"/>
    <w:rsid w:val="00EA4400"/>
    <w:rsid w:val="00EA4574"/>
    <w:rsid w:val="00EA4674"/>
    <w:rsid w:val="00EA4784"/>
    <w:rsid w:val="00EA47B9"/>
    <w:rsid w:val="00EA48A7"/>
    <w:rsid w:val="00EA4924"/>
    <w:rsid w:val="00EA49E4"/>
    <w:rsid w:val="00EA4BC2"/>
    <w:rsid w:val="00EA4DFD"/>
    <w:rsid w:val="00EA4E11"/>
    <w:rsid w:val="00EA4E2E"/>
    <w:rsid w:val="00EA4ED2"/>
    <w:rsid w:val="00EA4FA4"/>
    <w:rsid w:val="00EA5337"/>
    <w:rsid w:val="00EA53C9"/>
    <w:rsid w:val="00EA549D"/>
    <w:rsid w:val="00EA5715"/>
    <w:rsid w:val="00EA5900"/>
    <w:rsid w:val="00EA5978"/>
    <w:rsid w:val="00EA5AE0"/>
    <w:rsid w:val="00EA5D46"/>
    <w:rsid w:val="00EA5D91"/>
    <w:rsid w:val="00EA5E47"/>
    <w:rsid w:val="00EA662F"/>
    <w:rsid w:val="00EA671F"/>
    <w:rsid w:val="00EA6725"/>
    <w:rsid w:val="00EA679A"/>
    <w:rsid w:val="00EA6875"/>
    <w:rsid w:val="00EA6922"/>
    <w:rsid w:val="00EA6986"/>
    <w:rsid w:val="00EA6A6D"/>
    <w:rsid w:val="00EA6A92"/>
    <w:rsid w:val="00EA6DDA"/>
    <w:rsid w:val="00EA6E88"/>
    <w:rsid w:val="00EA6FD0"/>
    <w:rsid w:val="00EA7087"/>
    <w:rsid w:val="00EA7165"/>
    <w:rsid w:val="00EA71F7"/>
    <w:rsid w:val="00EA7333"/>
    <w:rsid w:val="00EA7595"/>
    <w:rsid w:val="00EA7A02"/>
    <w:rsid w:val="00EA7A82"/>
    <w:rsid w:val="00EA7B6D"/>
    <w:rsid w:val="00EA7B6E"/>
    <w:rsid w:val="00EA7E01"/>
    <w:rsid w:val="00EA7FBC"/>
    <w:rsid w:val="00EB0B33"/>
    <w:rsid w:val="00EB0BB8"/>
    <w:rsid w:val="00EB19F0"/>
    <w:rsid w:val="00EB1C29"/>
    <w:rsid w:val="00EB1CF0"/>
    <w:rsid w:val="00EB223D"/>
    <w:rsid w:val="00EB24F5"/>
    <w:rsid w:val="00EB28CA"/>
    <w:rsid w:val="00EB29A4"/>
    <w:rsid w:val="00EB2B2E"/>
    <w:rsid w:val="00EB3103"/>
    <w:rsid w:val="00EB3518"/>
    <w:rsid w:val="00EB3855"/>
    <w:rsid w:val="00EB388C"/>
    <w:rsid w:val="00EB39B2"/>
    <w:rsid w:val="00EB3AEB"/>
    <w:rsid w:val="00EB3CB4"/>
    <w:rsid w:val="00EB3EAF"/>
    <w:rsid w:val="00EB4B2A"/>
    <w:rsid w:val="00EB4E01"/>
    <w:rsid w:val="00EB50A5"/>
    <w:rsid w:val="00EB5232"/>
    <w:rsid w:val="00EB5553"/>
    <w:rsid w:val="00EB5A9A"/>
    <w:rsid w:val="00EB5BF5"/>
    <w:rsid w:val="00EB5E4D"/>
    <w:rsid w:val="00EB6126"/>
    <w:rsid w:val="00EB63FF"/>
    <w:rsid w:val="00EB66FB"/>
    <w:rsid w:val="00EB675F"/>
    <w:rsid w:val="00EB6C09"/>
    <w:rsid w:val="00EB7446"/>
    <w:rsid w:val="00EB7451"/>
    <w:rsid w:val="00EB7DDD"/>
    <w:rsid w:val="00EC0591"/>
    <w:rsid w:val="00EC082C"/>
    <w:rsid w:val="00EC0B20"/>
    <w:rsid w:val="00EC0B9E"/>
    <w:rsid w:val="00EC0F8D"/>
    <w:rsid w:val="00EC10FC"/>
    <w:rsid w:val="00EC130D"/>
    <w:rsid w:val="00EC1662"/>
    <w:rsid w:val="00EC1826"/>
    <w:rsid w:val="00EC182A"/>
    <w:rsid w:val="00EC18D8"/>
    <w:rsid w:val="00EC1BAB"/>
    <w:rsid w:val="00EC1CDD"/>
    <w:rsid w:val="00EC1FBA"/>
    <w:rsid w:val="00EC2B63"/>
    <w:rsid w:val="00EC2D96"/>
    <w:rsid w:val="00EC2E25"/>
    <w:rsid w:val="00EC2E3B"/>
    <w:rsid w:val="00EC2EC7"/>
    <w:rsid w:val="00EC34FE"/>
    <w:rsid w:val="00EC3782"/>
    <w:rsid w:val="00EC38EB"/>
    <w:rsid w:val="00EC3BBC"/>
    <w:rsid w:val="00EC3D2B"/>
    <w:rsid w:val="00EC3FBC"/>
    <w:rsid w:val="00EC42F7"/>
    <w:rsid w:val="00EC431E"/>
    <w:rsid w:val="00EC453B"/>
    <w:rsid w:val="00EC4767"/>
    <w:rsid w:val="00EC47FA"/>
    <w:rsid w:val="00EC4B4B"/>
    <w:rsid w:val="00EC5026"/>
    <w:rsid w:val="00EC5566"/>
    <w:rsid w:val="00EC57FF"/>
    <w:rsid w:val="00EC58D4"/>
    <w:rsid w:val="00EC5ACF"/>
    <w:rsid w:val="00EC5B06"/>
    <w:rsid w:val="00EC5D1E"/>
    <w:rsid w:val="00EC5ED1"/>
    <w:rsid w:val="00EC5F7A"/>
    <w:rsid w:val="00EC60C0"/>
    <w:rsid w:val="00EC64B9"/>
    <w:rsid w:val="00EC6582"/>
    <w:rsid w:val="00EC6632"/>
    <w:rsid w:val="00EC6ADE"/>
    <w:rsid w:val="00EC6EED"/>
    <w:rsid w:val="00EC6F32"/>
    <w:rsid w:val="00EC701D"/>
    <w:rsid w:val="00EC713C"/>
    <w:rsid w:val="00EC7562"/>
    <w:rsid w:val="00EC7939"/>
    <w:rsid w:val="00EC795B"/>
    <w:rsid w:val="00EC7BA3"/>
    <w:rsid w:val="00ED0780"/>
    <w:rsid w:val="00ED091E"/>
    <w:rsid w:val="00ED102B"/>
    <w:rsid w:val="00ED1109"/>
    <w:rsid w:val="00ED119B"/>
    <w:rsid w:val="00ED15D6"/>
    <w:rsid w:val="00ED1730"/>
    <w:rsid w:val="00ED1BE8"/>
    <w:rsid w:val="00ED1CB0"/>
    <w:rsid w:val="00ED1D26"/>
    <w:rsid w:val="00ED2105"/>
    <w:rsid w:val="00ED2114"/>
    <w:rsid w:val="00ED21C3"/>
    <w:rsid w:val="00ED2404"/>
    <w:rsid w:val="00ED2661"/>
    <w:rsid w:val="00ED267F"/>
    <w:rsid w:val="00ED278D"/>
    <w:rsid w:val="00ED27F5"/>
    <w:rsid w:val="00ED28CC"/>
    <w:rsid w:val="00ED2C8F"/>
    <w:rsid w:val="00ED2DE1"/>
    <w:rsid w:val="00ED2E9B"/>
    <w:rsid w:val="00ED2E9C"/>
    <w:rsid w:val="00ED2EB6"/>
    <w:rsid w:val="00ED31AB"/>
    <w:rsid w:val="00ED3455"/>
    <w:rsid w:val="00ED365D"/>
    <w:rsid w:val="00ED3A54"/>
    <w:rsid w:val="00ED3B77"/>
    <w:rsid w:val="00ED3C1F"/>
    <w:rsid w:val="00ED451F"/>
    <w:rsid w:val="00ED4531"/>
    <w:rsid w:val="00ED4F0C"/>
    <w:rsid w:val="00ED50C2"/>
    <w:rsid w:val="00ED51DF"/>
    <w:rsid w:val="00ED5386"/>
    <w:rsid w:val="00ED5692"/>
    <w:rsid w:val="00ED5938"/>
    <w:rsid w:val="00ED5A4F"/>
    <w:rsid w:val="00ED5DA9"/>
    <w:rsid w:val="00ED5EF3"/>
    <w:rsid w:val="00ED619F"/>
    <w:rsid w:val="00ED652A"/>
    <w:rsid w:val="00ED6640"/>
    <w:rsid w:val="00ED686F"/>
    <w:rsid w:val="00ED6986"/>
    <w:rsid w:val="00ED6BCF"/>
    <w:rsid w:val="00ED6E98"/>
    <w:rsid w:val="00ED6ECE"/>
    <w:rsid w:val="00ED715A"/>
    <w:rsid w:val="00ED72CF"/>
    <w:rsid w:val="00ED7405"/>
    <w:rsid w:val="00ED7496"/>
    <w:rsid w:val="00ED7643"/>
    <w:rsid w:val="00ED7C1A"/>
    <w:rsid w:val="00EE037C"/>
    <w:rsid w:val="00EE0425"/>
    <w:rsid w:val="00EE04B1"/>
    <w:rsid w:val="00EE0543"/>
    <w:rsid w:val="00EE05FB"/>
    <w:rsid w:val="00EE08DC"/>
    <w:rsid w:val="00EE0C2B"/>
    <w:rsid w:val="00EE0EA7"/>
    <w:rsid w:val="00EE0F88"/>
    <w:rsid w:val="00EE1127"/>
    <w:rsid w:val="00EE1160"/>
    <w:rsid w:val="00EE117D"/>
    <w:rsid w:val="00EE1183"/>
    <w:rsid w:val="00EE123B"/>
    <w:rsid w:val="00EE12C0"/>
    <w:rsid w:val="00EE154F"/>
    <w:rsid w:val="00EE1671"/>
    <w:rsid w:val="00EE17DF"/>
    <w:rsid w:val="00EE1C90"/>
    <w:rsid w:val="00EE1EB4"/>
    <w:rsid w:val="00EE2266"/>
    <w:rsid w:val="00EE226A"/>
    <w:rsid w:val="00EE2455"/>
    <w:rsid w:val="00EE2463"/>
    <w:rsid w:val="00EE25D1"/>
    <w:rsid w:val="00EE26A4"/>
    <w:rsid w:val="00EE29A6"/>
    <w:rsid w:val="00EE2C65"/>
    <w:rsid w:val="00EE2DD8"/>
    <w:rsid w:val="00EE4005"/>
    <w:rsid w:val="00EE4443"/>
    <w:rsid w:val="00EE46B0"/>
    <w:rsid w:val="00EE499B"/>
    <w:rsid w:val="00EE4A93"/>
    <w:rsid w:val="00EE4D36"/>
    <w:rsid w:val="00EE4E3B"/>
    <w:rsid w:val="00EE517E"/>
    <w:rsid w:val="00EE51C0"/>
    <w:rsid w:val="00EE52C4"/>
    <w:rsid w:val="00EE5439"/>
    <w:rsid w:val="00EE596C"/>
    <w:rsid w:val="00EE5E87"/>
    <w:rsid w:val="00EE5F20"/>
    <w:rsid w:val="00EE5F38"/>
    <w:rsid w:val="00EE5FA9"/>
    <w:rsid w:val="00EE64BC"/>
    <w:rsid w:val="00EE6764"/>
    <w:rsid w:val="00EE67F3"/>
    <w:rsid w:val="00EE69AF"/>
    <w:rsid w:val="00EE6C3B"/>
    <w:rsid w:val="00EE7EF7"/>
    <w:rsid w:val="00EE7F50"/>
    <w:rsid w:val="00EF028E"/>
    <w:rsid w:val="00EF03AE"/>
    <w:rsid w:val="00EF047C"/>
    <w:rsid w:val="00EF0507"/>
    <w:rsid w:val="00EF07AE"/>
    <w:rsid w:val="00EF0AB1"/>
    <w:rsid w:val="00EF0ACA"/>
    <w:rsid w:val="00EF0B17"/>
    <w:rsid w:val="00EF0C30"/>
    <w:rsid w:val="00EF0CA8"/>
    <w:rsid w:val="00EF1027"/>
    <w:rsid w:val="00EF1427"/>
    <w:rsid w:val="00EF14E0"/>
    <w:rsid w:val="00EF1532"/>
    <w:rsid w:val="00EF15A2"/>
    <w:rsid w:val="00EF1740"/>
    <w:rsid w:val="00EF1837"/>
    <w:rsid w:val="00EF199D"/>
    <w:rsid w:val="00EF1A87"/>
    <w:rsid w:val="00EF1C62"/>
    <w:rsid w:val="00EF24A5"/>
    <w:rsid w:val="00EF25BA"/>
    <w:rsid w:val="00EF2658"/>
    <w:rsid w:val="00EF27B9"/>
    <w:rsid w:val="00EF2F9B"/>
    <w:rsid w:val="00EF3010"/>
    <w:rsid w:val="00EF3128"/>
    <w:rsid w:val="00EF312C"/>
    <w:rsid w:val="00EF3706"/>
    <w:rsid w:val="00EF3E71"/>
    <w:rsid w:val="00EF41E4"/>
    <w:rsid w:val="00EF44E2"/>
    <w:rsid w:val="00EF4A2C"/>
    <w:rsid w:val="00EF4AA1"/>
    <w:rsid w:val="00EF4E14"/>
    <w:rsid w:val="00EF4ECA"/>
    <w:rsid w:val="00EF5910"/>
    <w:rsid w:val="00EF5B24"/>
    <w:rsid w:val="00EF5BF7"/>
    <w:rsid w:val="00EF6092"/>
    <w:rsid w:val="00EF60BE"/>
    <w:rsid w:val="00EF626E"/>
    <w:rsid w:val="00EF631B"/>
    <w:rsid w:val="00EF6455"/>
    <w:rsid w:val="00EF65AC"/>
    <w:rsid w:val="00EF66A5"/>
    <w:rsid w:val="00EF6703"/>
    <w:rsid w:val="00EF67D3"/>
    <w:rsid w:val="00EF6803"/>
    <w:rsid w:val="00EF6832"/>
    <w:rsid w:val="00EF692F"/>
    <w:rsid w:val="00EF69FD"/>
    <w:rsid w:val="00EF6C65"/>
    <w:rsid w:val="00EF6E38"/>
    <w:rsid w:val="00EF6E97"/>
    <w:rsid w:val="00EF7138"/>
    <w:rsid w:val="00EF732D"/>
    <w:rsid w:val="00EF7AF9"/>
    <w:rsid w:val="00F0008B"/>
    <w:rsid w:val="00F00109"/>
    <w:rsid w:val="00F0035A"/>
    <w:rsid w:val="00F0043A"/>
    <w:rsid w:val="00F00561"/>
    <w:rsid w:val="00F006DE"/>
    <w:rsid w:val="00F00811"/>
    <w:rsid w:val="00F00C21"/>
    <w:rsid w:val="00F00DA9"/>
    <w:rsid w:val="00F010B2"/>
    <w:rsid w:val="00F01403"/>
    <w:rsid w:val="00F0165B"/>
    <w:rsid w:val="00F01818"/>
    <w:rsid w:val="00F01904"/>
    <w:rsid w:val="00F019C0"/>
    <w:rsid w:val="00F01EDA"/>
    <w:rsid w:val="00F01EF1"/>
    <w:rsid w:val="00F01F4C"/>
    <w:rsid w:val="00F01FF2"/>
    <w:rsid w:val="00F025CE"/>
    <w:rsid w:val="00F02926"/>
    <w:rsid w:val="00F02BE8"/>
    <w:rsid w:val="00F02EAD"/>
    <w:rsid w:val="00F03100"/>
    <w:rsid w:val="00F03261"/>
    <w:rsid w:val="00F03371"/>
    <w:rsid w:val="00F03480"/>
    <w:rsid w:val="00F036FF"/>
    <w:rsid w:val="00F0397C"/>
    <w:rsid w:val="00F03B52"/>
    <w:rsid w:val="00F03CD0"/>
    <w:rsid w:val="00F04213"/>
    <w:rsid w:val="00F045C0"/>
    <w:rsid w:val="00F04710"/>
    <w:rsid w:val="00F04C5E"/>
    <w:rsid w:val="00F04CCC"/>
    <w:rsid w:val="00F051A3"/>
    <w:rsid w:val="00F05470"/>
    <w:rsid w:val="00F0550A"/>
    <w:rsid w:val="00F05653"/>
    <w:rsid w:val="00F05702"/>
    <w:rsid w:val="00F057B3"/>
    <w:rsid w:val="00F05853"/>
    <w:rsid w:val="00F0594D"/>
    <w:rsid w:val="00F05A76"/>
    <w:rsid w:val="00F05D6C"/>
    <w:rsid w:val="00F05F61"/>
    <w:rsid w:val="00F05FFC"/>
    <w:rsid w:val="00F06946"/>
    <w:rsid w:val="00F070DA"/>
    <w:rsid w:val="00F07243"/>
    <w:rsid w:val="00F0729E"/>
    <w:rsid w:val="00F07304"/>
    <w:rsid w:val="00F075D9"/>
    <w:rsid w:val="00F076A0"/>
    <w:rsid w:val="00F0785C"/>
    <w:rsid w:val="00F07A08"/>
    <w:rsid w:val="00F07ACA"/>
    <w:rsid w:val="00F07B5F"/>
    <w:rsid w:val="00F07C02"/>
    <w:rsid w:val="00F10589"/>
    <w:rsid w:val="00F10631"/>
    <w:rsid w:val="00F106DF"/>
    <w:rsid w:val="00F106F7"/>
    <w:rsid w:val="00F10A78"/>
    <w:rsid w:val="00F10AD1"/>
    <w:rsid w:val="00F10ADB"/>
    <w:rsid w:val="00F10E98"/>
    <w:rsid w:val="00F1101C"/>
    <w:rsid w:val="00F112A9"/>
    <w:rsid w:val="00F1141E"/>
    <w:rsid w:val="00F1180F"/>
    <w:rsid w:val="00F11838"/>
    <w:rsid w:val="00F11988"/>
    <w:rsid w:val="00F11BF8"/>
    <w:rsid w:val="00F11D19"/>
    <w:rsid w:val="00F11E1D"/>
    <w:rsid w:val="00F12180"/>
    <w:rsid w:val="00F124CA"/>
    <w:rsid w:val="00F1255C"/>
    <w:rsid w:val="00F12CCE"/>
    <w:rsid w:val="00F12CFF"/>
    <w:rsid w:val="00F12D05"/>
    <w:rsid w:val="00F1302C"/>
    <w:rsid w:val="00F13109"/>
    <w:rsid w:val="00F13554"/>
    <w:rsid w:val="00F1386B"/>
    <w:rsid w:val="00F1398A"/>
    <w:rsid w:val="00F13A16"/>
    <w:rsid w:val="00F13B9D"/>
    <w:rsid w:val="00F140AB"/>
    <w:rsid w:val="00F142AF"/>
    <w:rsid w:val="00F1431C"/>
    <w:rsid w:val="00F14649"/>
    <w:rsid w:val="00F147AE"/>
    <w:rsid w:val="00F149CB"/>
    <w:rsid w:val="00F14C65"/>
    <w:rsid w:val="00F14E68"/>
    <w:rsid w:val="00F14FFE"/>
    <w:rsid w:val="00F15139"/>
    <w:rsid w:val="00F1527D"/>
    <w:rsid w:val="00F152A8"/>
    <w:rsid w:val="00F15686"/>
    <w:rsid w:val="00F15803"/>
    <w:rsid w:val="00F15CAB"/>
    <w:rsid w:val="00F164DD"/>
    <w:rsid w:val="00F16637"/>
    <w:rsid w:val="00F168E6"/>
    <w:rsid w:val="00F16AB5"/>
    <w:rsid w:val="00F16C91"/>
    <w:rsid w:val="00F16EC6"/>
    <w:rsid w:val="00F1753B"/>
    <w:rsid w:val="00F1790A"/>
    <w:rsid w:val="00F17B77"/>
    <w:rsid w:val="00F17D2C"/>
    <w:rsid w:val="00F17E55"/>
    <w:rsid w:val="00F17FCF"/>
    <w:rsid w:val="00F17FF7"/>
    <w:rsid w:val="00F2057C"/>
    <w:rsid w:val="00F20818"/>
    <w:rsid w:val="00F20B5B"/>
    <w:rsid w:val="00F20FA3"/>
    <w:rsid w:val="00F210B6"/>
    <w:rsid w:val="00F211D7"/>
    <w:rsid w:val="00F212EE"/>
    <w:rsid w:val="00F21639"/>
    <w:rsid w:val="00F21766"/>
    <w:rsid w:val="00F2180B"/>
    <w:rsid w:val="00F219C3"/>
    <w:rsid w:val="00F21B39"/>
    <w:rsid w:val="00F21BD6"/>
    <w:rsid w:val="00F21C2B"/>
    <w:rsid w:val="00F21D7B"/>
    <w:rsid w:val="00F21F4B"/>
    <w:rsid w:val="00F2215C"/>
    <w:rsid w:val="00F2221E"/>
    <w:rsid w:val="00F2256B"/>
    <w:rsid w:val="00F2276F"/>
    <w:rsid w:val="00F227A5"/>
    <w:rsid w:val="00F229B9"/>
    <w:rsid w:val="00F22B6F"/>
    <w:rsid w:val="00F22E2C"/>
    <w:rsid w:val="00F22EAF"/>
    <w:rsid w:val="00F22F8E"/>
    <w:rsid w:val="00F23009"/>
    <w:rsid w:val="00F2326C"/>
    <w:rsid w:val="00F23468"/>
    <w:rsid w:val="00F23CD6"/>
    <w:rsid w:val="00F23EF1"/>
    <w:rsid w:val="00F23F47"/>
    <w:rsid w:val="00F243A6"/>
    <w:rsid w:val="00F243DA"/>
    <w:rsid w:val="00F24667"/>
    <w:rsid w:val="00F247F0"/>
    <w:rsid w:val="00F24A39"/>
    <w:rsid w:val="00F24E8C"/>
    <w:rsid w:val="00F2513B"/>
    <w:rsid w:val="00F256D3"/>
    <w:rsid w:val="00F257A1"/>
    <w:rsid w:val="00F257AD"/>
    <w:rsid w:val="00F2588B"/>
    <w:rsid w:val="00F259B5"/>
    <w:rsid w:val="00F25C04"/>
    <w:rsid w:val="00F25D4E"/>
    <w:rsid w:val="00F25DC6"/>
    <w:rsid w:val="00F25E76"/>
    <w:rsid w:val="00F25EA7"/>
    <w:rsid w:val="00F26157"/>
    <w:rsid w:val="00F261A3"/>
    <w:rsid w:val="00F26284"/>
    <w:rsid w:val="00F26461"/>
    <w:rsid w:val="00F26731"/>
    <w:rsid w:val="00F2676F"/>
    <w:rsid w:val="00F2692F"/>
    <w:rsid w:val="00F26AFB"/>
    <w:rsid w:val="00F26EC3"/>
    <w:rsid w:val="00F27359"/>
    <w:rsid w:val="00F274D6"/>
    <w:rsid w:val="00F274DF"/>
    <w:rsid w:val="00F275A9"/>
    <w:rsid w:val="00F2799D"/>
    <w:rsid w:val="00F279A4"/>
    <w:rsid w:val="00F27A2A"/>
    <w:rsid w:val="00F27D29"/>
    <w:rsid w:val="00F27ED5"/>
    <w:rsid w:val="00F27EFE"/>
    <w:rsid w:val="00F27F18"/>
    <w:rsid w:val="00F30238"/>
    <w:rsid w:val="00F309F1"/>
    <w:rsid w:val="00F30BCA"/>
    <w:rsid w:val="00F30C87"/>
    <w:rsid w:val="00F30E3F"/>
    <w:rsid w:val="00F3146A"/>
    <w:rsid w:val="00F31E56"/>
    <w:rsid w:val="00F31EEB"/>
    <w:rsid w:val="00F31F36"/>
    <w:rsid w:val="00F324E1"/>
    <w:rsid w:val="00F327E6"/>
    <w:rsid w:val="00F32BD4"/>
    <w:rsid w:val="00F32DF8"/>
    <w:rsid w:val="00F32E1B"/>
    <w:rsid w:val="00F334CE"/>
    <w:rsid w:val="00F3380C"/>
    <w:rsid w:val="00F33811"/>
    <w:rsid w:val="00F33A1F"/>
    <w:rsid w:val="00F33AD3"/>
    <w:rsid w:val="00F34020"/>
    <w:rsid w:val="00F3404D"/>
    <w:rsid w:val="00F34070"/>
    <w:rsid w:val="00F342CC"/>
    <w:rsid w:val="00F3430D"/>
    <w:rsid w:val="00F346C8"/>
    <w:rsid w:val="00F34AE1"/>
    <w:rsid w:val="00F34C3D"/>
    <w:rsid w:val="00F34E17"/>
    <w:rsid w:val="00F34F44"/>
    <w:rsid w:val="00F3537F"/>
    <w:rsid w:val="00F357B0"/>
    <w:rsid w:val="00F35BFC"/>
    <w:rsid w:val="00F35F7B"/>
    <w:rsid w:val="00F365B4"/>
    <w:rsid w:val="00F36C48"/>
    <w:rsid w:val="00F36D2B"/>
    <w:rsid w:val="00F371B2"/>
    <w:rsid w:val="00F371B6"/>
    <w:rsid w:val="00F37720"/>
    <w:rsid w:val="00F37AEB"/>
    <w:rsid w:val="00F37B3A"/>
    <w:rsid w:val="00F400D3"/>
    <w:rsid w:val="00F40216"/>
    <w:rsid w:val="00F40278"/>
    <w:rsid w:val="00F40817"/>
    <w:rsid w:val="00F40A4B"/>
    <w:rsid w:val="00F40AFD"/>
    <w:rsid w:val="00F40D37"/>
    <w:rsid w:val="00F40E17"/>
    <w:rsid w:val="00F41470"/>
    <w:rsid w:val="00F417F8"/>
    <w:rsid w:val="00F41B63"/>
    <w:rsid w:val="00F41CE7"/>
    <w:rsid w:val="00F41E09"/>
    <w:rsid w:val="00F41E87"/>
    <w:rsid w:val="00F41F6D"/>
    <w:rsid w:val="00F41F97"/>
    <w:rsid w:val="00F4202C"/>
    <w:rsid w:val="00F420BC"/>
    <w:rsid w:val="00F425D1"/>
    <w:rsid w:val="00F427C7"/>
    <w:rsid w:val="00F42C69"/>
    <w:rsid w:val="00F433FC"/>
    <w:rsid w:val="00F4358A"/>
    <w:rsid w:val="00F438E0"/>
    <w:rsid w:val="00F43C33"/>
    <w:rsid w:val="00F43E70"/>
    <w:rsid w:val="00F43EBD"/>
    <w:rsid w:val="00F43ED2"/>
    <w:rsid w:val="00F44199"/>
    <w:rsid w:val="00F4434F"/>
    <w:rsid w:val="00F4445F"/>
    <w:rsid w:val="00F44665"/>
    <w:rsid w:val="00F4469C"/>
    <w:rsid w:val="00F447A9"/>
    <w:rsid w:val="00F448F9"/>
    <w:rsid w:val="00F44A09"/>
    <w:rsid w:val="00F44A38"/>
    <w:rsid w:val="00F44D41"/>
    <w:rsid w:val="00F44FD1"/>
    <w:rsid w:val="00F4525C"/>
    <w:rsid w:val="00F454F4"/>
    <w:rsid w:val="00F45A09"/>
    <w:rsid w:val="00F45B46"/>
    <w:rsid w:val="00F46076"/>
    <w:rsid w:val="00F4613C"/>
    <w:rsid w:val="00F46AC7"/>
    <w:rsid w:val="00F46C25"/>
    <w:rsid w:val="00F46C32"/>
    <w:rsid w:val="00F46F04"/>
    <w:rsid w:val="00F4704B"/>
    <w:rsid w:val="00F471D3"/>
    <w:rsid w:val="00F47204"/>
    <w:rsid w:val="00F472E3"/>
    <w:rsid w:val="00F47598"/>
    <w:rsid w:val="00F47645"/>
    <w:rsid w:val="00F47A28"/>
    <w:rsid w:val="00F47A3A"/>
    <w:rsid w:val="00F47C71"/>
    <w:rsid w:val="00F47E21"/>
    <w:rsid w:val="00F50170"/>
    <w:rsid w:val="00F50497"/>
    <w:rsid w:val="00F5061F"/>
    <w:rsid w:val="00F506FB"/>
    <w:rsid w:val="00F50827"/>
    <w:rsid w:val="00F5092E"/>
    <w:rsid w:val="00F50C75"/>
    <w:rsid w:val="00F5119A"/>
    <w:rsid w:val="00F511F7"/>
    <w:rsid w:val="00F512A5"/>
    <w:rsid w:val="00F51754"/>
    <w:rsid w:val="00F51759"/>
    <w:rsid w:val="00F51D65"/>
    <w:rsid w:val="00F5222E"/>
    <w:rsid w:val="00F52249"/>
    <w:rsid w:val="00F5271F"/>
    <w:rsid w:val="00F52B00"/>
    <w:rsid w:val="00F52F37"/>
    <w:rsid w:val="00F53336"/>
    <w:rsid w:val="00F5343E"/>
    <w:rsid w:val="00F536E0"/>
    <w:rsid w:val="00F538F0"/>
    <w:rsid w:val="00F539B0"/>
    <w:rsid w:val="00F54622"/>
    <w:rsid w:val="00F546E0"/>
    <w:rsid w:val="00F54790"/>
    <w:rsid w:val="00F548C3"/>
    <w:rsid w:val="00F548CD"/>
    <w:rsid w:val="00F54A70"/>
    <w:rsid w:val="00F55AC9"/>
    <w:rsid w:val="00F55B16"/>
    <w:rsid w:val="00F55D40"/>
    <w:rsid w:val="00F56147"/>
    <w:rsid w:val="00F5633F"/>
    <w:rsid w:val="00F5643A"/>
    <w:rsid w:val="00F56B32"/>
    <w:rsid w:val="00F56B76"/>
    <w:rsid w:val="00F56CC4"/>
    <w:rsid w:val="00F571FC"/>
    <w:rsid w:val="00F57321"/>
    <w:rsid w:val="00F57471"/>
    <w:rsid w:val="00F575D6"/>
    <w:rsid w:val="00F57AA2"/>
    <w:rsid w:val="00F57E7E"/>
    <w:rsid w:val="00F602AC"/>
    <w:rsid w:val="00F604C7"/>
    <w:rsid w:val="00F6065C"/>
    <w:rsid w:val="00F606B6"/>
    <w:rsid w:val="00F607A5"/>
    <w:rsid w:val="00F60839"/>
    <w:rsid w:val="00F60952"/>
    <w:rsid w:val="00F60C2F"/>
    <w:rsid w:val="00F60E15"/>
    <w:rsid w:val="00F613EC"/>
    <w:rsid w:val="00F61773"/>
    <w:rsid w:val="00F61888"/>
    <w:rsid w:val="00F62143"/>
    <w:rsid w:val="00F623DB"/>
    <w:rsid w:val="00F624A2"/>
    <w:rsid w:val="00F62979"/>
    <w:rsid w:val="00F62988"/>
    <w:rsid w:val="00F629A9"/>
    <w:rsid w:val="00F62A96"/>
    <w:rsid w:val="00F62CD0"/>
    <w:rsid w:val="00F62E1F"/>
    <w:rsid w:val="00F6309D"/>
    <w:rsid w:val="00F63130"/>
    <w:rsid w:val="00F6326C"/>
    <w:rsid w:val="00F63320"/>
    <w:rsid w:val="00F63712"/>
    <w:rsid w:val="00F637AB"/>
    <w:rsid w:val="00F63A9E"/>
    <w:rsid w:val="00F63C65"/>
    <w:rsid w:val="00F63CA8"/>
    <w:rsid w:val="00F63E51"/>
    <w:rsid w:val="00F63FED"/>
    <w:rsid w:val="00F64265"/>
    <w:rsid w:val="00F64439"/>
    <w:rsid w:val="00F6452E"/>
    <w:rsid w:val="00F648D4"/>
    <w:rsid w:val="00F6498C"/>
    <w:rsid w:val="00F64A30"/>
    <w:rsid w:val="00F64BE7"/>
    <w:rsid w:val="00F64D89"/>
    <w:rsid w:val="00F64D94"/>
    <w:rsid w:val="00F64E83"/>
    <w:rsid w:val="00F64E90"/>
    <w:rsid w:val="00F64EE5"/>
    <w:rsid w:val="00F64F07"/>
    <w:rsid w:val="00F64F58"/>
    <w:rsid w:val="00F651C6"/>
    <w:rsid w:val="00F652B3"/>
    <w:rsid w:val="00F652F7"/>
    <w:rsid w:val="00F654B7"/>
    <w:rsid w:val="00F65963"/>
    <w:rsid w:val="00F65B4C"/>
    <w:rsid w:val="00F65D15"/>
    <w:rsid w:val="00F66055"/>
    <w:rsid w:val="00F661EA"/>
    <w:rsid w:val="00F66835"/>
    <w:rsid w:val="00F66BEF"/>
    <w:rsid w:val="00F6705E"/>
    <w:rsid w:val="00F67076"/>
    <w:rsid w:val="00F67643"/>
    <w:rsid w:val="00F6766F"/>
    <w:rsid w:val="00F677E6"/>
    <w:rsid w:val="00F67804"/>
    <w:rsid w:val="00F67808"/>
    <w:rsid w:val="00F67894"/>
    <w:rsid w:val="00F678B8"/>
    <w:rsid w:val="00F67967"/>
    <w:rsid w:val="00F679A9"/>
    <w:rsid w:val="00F67A44"/>
    <w:rsid w:val="00F67C41"/>
    <w:rsid w:val="00F67D29"/>
    <w:rsid w:val="00F67E7C"/>
    <w:rsid w:val="00F70133"/>
    <w:rsid w:val="00F704F6"/>
    <w:rsid w:val="00F7070B"/>
    <w:rsid w:val="00F70794"/>
    <w:rsid w:val="00F70955"/>
    <w:rsid w:val="00F70B1F"/>
    <w:rsid w:val="00F70DBC"/>
    <w:rsid w:val="00F70F5B"/>
    <w:rsid w:val="00F71198"/>
    <w:rsid w:val="00F7132D"/>
    <w:rsid w:val="00F71565"/>
    <w:rsid w:val="00F716E2"/>
    <w:rsid w:val="00F7195C"/>
    <w:rsid w:val="00F71A86"/>
    <w:rsid w:val="00F71AAB"/>
    <w:rsid w:val="00F72173"/>
    <w:rsid w:val="00F725BA"/>
    <w:rsid w:val="00F72612"/>
    <w:rsid w:val="00F72673"/>
    <w:rsid w:val="00F72723"/>
    <w:rsid w:val="00F72AB4"/>
    <w:rsid w:val="00F72F83"/>
    <w:rsid w:val="00F7348A"/>
    <w:rsid w:val="00F73A4E"/>
    <w:rsid w:val="00F73A91"/>
    <w:rsid w:val="00F73CEF"/>
    <w:rsid w:val="00F73DCE"/>
    <w:rsid w:val="00F745A7"/>
    <w:rsid w:val="00F74724"/>
    <w:rsid w:val="00F7481C"/>
    <w:rsid w:val="00F74853"/>
    <w:rsid w:val="00F74C80"/>
    <w:rsid w:val="00F74F01"/>
    <w:rsid w:val="00F754FA"/>
    <w:rsid w:val="00F7572A"/>
    <w:rsid w:val="00F757BF"/>
    <w:rsid w:val="00F759F7"/>
    <w:rsid w:val="00F75B15"/>
    <w:rsid w:val="00F75BAA"/>
    <w:rsid w:val="00F75EED"/>
    <w:rsid w:val="00F75F00"/>
    <w:rsid w:val="00F76862"/>
    <w:rsid w:val="00F769E0"/>
    <w:rsid w:val="00F76B10"/>
    <w:rsid w:val="00F76C20"/>
    <w:rsid w:val="00F76CAD"/>
    <w:rsid w:val="00F76DE8"/>
    <w:rsid w:val="00F76FD6"/>
    <w:rsid w:val="00F77193"/>
    <w:rsid w:val="00F77B25"/>
    <w:rsid w:val="00F77D3C"/>
    <w:rsid w:val="00F77D3F"/>
    <w:rsid w:val="00F77ECC"/>
    <w:rsid w:val="00F8010C"/>
    <w:rsid w:val="00F8081F"/>
    <w:rsid w:val="00F80BD8"/>
    <w:rsid w:val="00F80C00"/>
    <w:rsid w:val="00F80CFE"/>
    <w:rsid w:val="00F80D58"/>
    <w:rsid w:val="00F80D5E"/>
    <w:rsid w:val="00F80D69"/>
    <w:rsid w:val="00F80DF2"/>
    <w:rsid w:val="00F80F0C"/>
    <w:rsid w:val="00F81372"/>
    <w:rsid w:val="00F814B0"/>
    <w:rsid w:val="00F818DD"/>
    <w:rsid w:val="00F81952"/>
    <w:rsid w:val="00F819BB"/>
    <w:rsid w:val="00F81B2A"/>
    <w:rsid w:val="00F81BA3"/>
    <w:rsid w:val="00F81E54"/>
    <w:rsid w:val="00F822C1"/>
    <w:rsid w:val="00F82393"/>
    <w:rsid w:val="00F829DE"/>
    <w:rsid w:val="00F82D09"/>
    <w:rsid w:val="00F83295"/>
    <w:rsid w:val="00F83476"/>
    <w:rsid w:val="00F836F1"/>
    <w:rsid w:val="00F83A99"/>
    <w:rsid w:val="00F83AD7"/>
    <w:rsid w:val="00F83EB7"/>
    <w:rsid w:val="00F83EC7"/>
    <w:rsid w:val="00F83F59"/>
    <w:rsid w:val="00F840A1"/>
    <w:rsid w:val="00F841E4"/>
    <w:rsid w:val="00F8435C"/>
    <w:rsid w:val="00F846E6"/>
    <w:rsid w:val="00F8480A"/>
    <w:rsid w:val="00F84A68"/>
    <w:rsid w:val="00F84D2E"/>
    <w:rsid w:val="00F84D99"/>
    <w:rsid w:val="00F84F4D"/>
    <w:rsid w:val="00F84F7A"/>
    <w:rsid w:val="00F851F2"/>
    <w:rsid w:val="00F852D1"/>
    <w:rsid w:val="00F853D7"/>
    <w:rsid w:val="00F855B9"/>
    <w:rsid w:val="00F856FD"/>
    <w:rsid w:val="00F85A3C"/>
    <w:rsid w:val="00F85A85"/>
    <w:rsid w:val="00F85B75"/>
    <w:rsid w:val="00F85C79"/>
    <w:rsid w:val="00F85D8B"/>
    <w:rsid w:val="00F8648D"/>
    <w:rsid w:val="00F86537"/>
    <w:rsid w:val="00F867CC"/>
    <w:rsid w:val="00F86AAD"/>
    <w:rsid w:val="00F86CF8"/>
    <w:rsid w:val="00F86D77"/>
    <w:rsid w:val="00F86E16"/>
    <w:rsid w:val="00F871AD"/>
    <w:rsid w:val="00F8723B"/>
    <w:rsid w:val="00F875C3"/>
    <w:rsid w:val="00F87865"/>
    <w:rsid w:val="00F87A9A"/>
    <w:rsid w:val="00F87B28"/>
    <w:rsid w:val="00F87CC3"/>
    <w:rsid w:val="00F87D06"/>
    <w:rsid w:val="00F87DEF"/>
    <w:rsid w:val="00F87F92"/>
    <w:rsid w:val="00F9092B"/>
    <w:rsid w:val="00F90995"/>
    <w:rsid w:val="00F90D13"/>
    <w:rsid w:val="00F90E49"/>
    <w:rsid w:val="00F910C1"/>
    <w:rsid w:val="00F913E2"/>
    <w:rsid w:val="00F9167B"/>
    <w:rsid w:val="00F9167D"/>
    <w:rsid w:val="00F9172B"/>
    <w:rsid w:val="00F91966"/>
    <w:rsid w:val="00F9199E"/>
    <w:rsid w:val="00F91BCA"/>
    <w:rsid w:val="00F91D91"/>
    <w:rsid w:val="00F92056"/>
    <w:rsid w:val="00F92114"/>
    <w:rsid w:val="00F92118"/>
    <w:rsid w:val="00F921F1"/>
    <w:rsid w:val="00F923C1"/>
    <w:rsid w:val="00F9270A"/>
    <w:rsid w:val="00F92757"/>
    <w:rsid w:val="00F929BF"/>
    <w:rsid w:val="00F92E28"/>
    <w:rsid w:val="00F9361F"/>
    <w:rsid w:val="00F93A2B"/>
    <w:rsid w:val="00F9450C"/>
    <w:rsid w:val="00F9469A"/>
    <w:rsid w:val="00F94754"/>
    <w:rsid w:val="00F94FD0"/>
    <w:rsid w:val="00F9534C"/>
    <w:rsid w:val="00F9567F"/>
    <w:rsid w:val="00F95AA8"/>
    <w:rsid w:val="00F961CE"/>
    <w:rsid w:val="00F963C1"/>
    <w:rsid w:val="00F96C62"/>
    <w:rsid w:val="00F96CEE"/>
    <w:rsid w:val="00F96D88"/>
    <w:rsid w:val="00F977D0"/>
    <w:rsid w:val="00F97872"/>
    <w:rsid w:val="00F979CD"/>
    <w:rsid w:val="00F97B1A"/>
    <w:rsid w:val="00F97C2E"/>
    <w:rsid w:val="00F97E99"/>
    <w:rsid w:val="00FA006E"/>
    <w:rsid w:val="00FA0AF3"/>
    <w:rsid w:val="00FA0B71"/>
    <w:rsid w:val="00FA12EF"/>
    <w:rsid w:val="00FA17ED"/>
    <w:rsid w:val="00FA1A2C"/>
    <w:rsid w:val="00FA1BF5"/>
    <w:rsid w:val="00FA1DBE"/>
    <w:rsid w:val="00FA1EF4"/>
    <w:rsid w:val="00FA241B"/>
    <w:rsid w:val="00FA24A2"/>
    <w:rsid w:val="00FA2515"/>
    <w:rsid w:val="00FA251C"/>
    <w:rsid w:val="00FA2665"/>
    <w:rsid w:val="00FA280B"/>
    <w:rsid w:val="00FA2DC9"/>
    <w:rsid w:val="00FA2EBF"/>
    <w:rsid w:val="00FA32A5"/>
    <w:rsid w:val="00FA3852"/>
    <w:rsid w:val="00FA3A62"/>
    <w:rsid w:val="00FA3A8B"/>
    <w:rsid w:val="00FA3B01"/>
    <w:rsid w:val="00FA3C1D"/>
    <w:rsid w:val="00FA3C70"/>
    <w:rsid w:val="00FA418A"/>
    <w:rsid w:val="00FA45F5"/>
    <w:rsid w:val="00FA46EF"/>
    <w:rsid w:val="00FA4AA7"/>
    <w:rsid w:val="00FA4B35"/>
    <w:rsid w:val="00FA5683"/>
    <w:rsid w:val="00FA5C28"/>
    <w:rsid w:val="00FA5C4B"/>
    <w:rsid w:val="00FA5E71"/>
    <w:rsid w:val="00FA6161"/>
    <w:rsid w:val="00FA63E3"/>
    <w:rsid w:val="00FA65BD"/>
    <w:rsid w:val="00FA66E5"/>
    <w:rsid w:val="00FA69AA"/>
    <w:rsid w:val="00FA6A19"/>
    <w:rsid w:val="00FA6BE9"/>
    <w:rsid w:val="00FA6D28"/>
    <w:rsid w:val="00FA6EDF"/>
    <w:rsid w:val="00FA74DD"/>
    <w:rsid w:val="00FA77B1"/>
    <w:rsid w:val="00FA79DE"/>
    <w:rsid w:val="00FA7CB8"/>
    <w:rsid w:val="00FB005E"/>
    <w:rsid w:val="00FB0082"/>
    <w:rsid w:val="00FB00EC"/>
    <w:rsid w:val="00FB0799"/>
    <w:rsid w:val="00FB08A6"/>
    <w:rsid w:val="00FB0A72"/>
    <w:rsid w:val="00FB10EA"/>
    <w:rsid w:val="00FB1296"/>
    <w:rsid w:val="00FB135A"/>
    <w:rsid w:val="00FB14C1"/>
    <w:rsid w:val="00FB1DBB"/>
    <w:rsid w:val="00FB200D"/>
    <w:rsid w:val="00FB2383"/>
    <w:rsid w:val="00FB28AB"/>
    <w:rsid w:val="00FB2D12"/>
    <w:rsid w:val="00FB2E8B"/>
    <w:rsid w:val="00FB381C"/>
    <w:rsid w:val="00FB3877"/>
    <w:rsid w:val="00FB43A1"/>
    <w:rsid w:val="00FB44EA"/>
    <w:rsid w:val="00FB44EC"/>
    <w:rsid w:val="00FB4616"/>
    <w:rsid w:val="00FB46E0"/>
    <w:rsid w:val="00FB489B"/>
    <w:rsid w:val="00FB5847"/>
    <w:rsid w:val="00FB585E"/>
    <w:rsid w:val="00FB591B"/>
    <w:rsid w:val="00FB5EDB"/>
    <w:rsid w:val="00FB5EF8"/>
    <w:rsid w:val="00FB5F0F"/>
    <w:rsid w:val="00FB633F"/>
    <w:rsid w:val="00FB65B9"/>
    <w:rsid w:val="00FB6932"/>
    <w:rsid w:val="00FB69B5"/>
    <w:rsid w:val="00FB6ABF"/>
    <w:rsid w:val="00FB6E0D"/>
    <w:rsid w:val="00FB6E18"/>
    <w:rsid w:val="00FB6FD1"/>
    <w:rsid w:val="00FB70BA"/>
    <w:rsid w:val="00FB72C9"/>
    <w:rsid w:val="00FB7497"/>
    <w:rsid w:val="00FB74A5"/>
    <w:rsid w:val="00FB75D9"/>
    <w:rsid w:val="00FB7664"/>
    <w:rsid w:val="00FC019B"/>
    <w:rsid w:val="00FC024B"/>
    <w:rsid w:val="00FC0A44"/>
    <w:rsid w:val="00FC0BB4"/>
    <w:rsid w:val="00FC0D28"/>
    <w:rsid w:val="00FC0E76"/>
    <w:rsid w:val="00FC1373"/>
    <w:rsid w:val="00FC1589"/>
    <w:rsid w:val="00FC1BF8"/>
    <w:rsid w:val="00FC1CD2"/>
    <w:rsid w:val="00FC1DD7"/>
    <w:rsid w:val="00FC252B"/>
    <w:rsid w:val="00FC26E0"/>
    <w:rsid w:val="00FC299B"/>
    <w:rsid w:val="00FC29F3"/>
    <w:rsid w:val="00FC2FD8"/>
    <w:rsid w:val="00FC341A"/>
    <w:rsid w:val="00FC366D"/>
    <w:rsid w:val="00FC3899"/>
    <w:rsid w:val="00FC426E"/>
    <w:rsid w:val="00FC450B"/>
    <w:rsid w:val="00FC481D"/>
    <w:rsid w:val="00FC490E"/>
    <w:rsid w:val="00FC4CAB"/>
    <w:rsid w:val="00FC4F01"/>
    <w:rsid w:val="00FC500A"/>
    <w:rsid w:val="00FC5505"/>
    <w:rsid w:val="00FC5814"/>
    <w:rsid w:val="00FC58A0"/>
    <w:rsid w:val="00FC5F7D"/>
    <w:rsid w:val="00FC66A7"/>
    <w:rsid w:val="00FC66F6"/>
    <w:rsid w:val="00FC6BC4"/>
    <w:rsid w:val="00FC6C91"/>
    <w:rsid w:val="00FC6E9E"/>
    <w:rsid w:val="00FC71D7"/>
    <w:rsid w:val="00FC7298"/>
    <w:rsid w:val="00FC759A"/>
    <w:rsid w:val="00FC7A1B"/>
    <w:rsid w:val="00FC7C73"/>
    <w:rsid w:val="00FC7CFF"/>
    <w:rsid w:val="00FC7E7B"/>
    <w:rsid w:val="00FC7EFF"/>
    <w:rsid w:val="00FD0035"/>
    <w:rsid w:val="00FD013B"/>
    <w:rsid w:val="00FD016C"/>
    <w:rsid w:val="00FD0A5D"/>
    <w:rsid w:val="00FD0B23"/>
    <w:rsid w:val="00FD0BFB"/>
    <w:rsid w:val="00FD1180"/>
    <w:rsid w:val="00FD1550"/>
    <w:rsid w:val="00FD165E"/>
    <w:rsid w:val="00FD1919"/>
    <w:rsid w:val="00FD198F"/>
    <w:rsid w:val="00FD19EE"/>
    <w:rsid w:val="00FD1B66"/>
    <w:rsid w:val="00FD1BC8"/>
    <w:rsid w:val="00FD1EDF"/>
    <w:rsid w:val="00FD2013"/>
    <w:rsid w:val="00FD22B0"/>
    <w:rsid w:val="00FD2361"/>
    <w:rsid w:val="00FD24DC"/>
    <w:rsid w:val="00FD28FC"/>
    <w:rsid w:val="00FD2900"/>
    <w:rsid w:val="00FD2DAB"/>
    <w:rsid w:val="00FD2F10"/>
    <w:rsid w:val="00FD3047"/>
    <w:rsid w:val="00FD31AD"/>
    <w:rsid w:val="00FD365E"/>
    <w:rsid w:val="00FD3AE7"/>
    <w:rsid w:val="00FD3C89"/>
    <w:rsid w:val="00FD3F33"/>
    <w:rsid w:val="00FD444F"/>
    <w:rsid w:val="00FD4BBA"/>
    <w:rsid w:val="00FD5ABC"/>
    <w:rsid w:val="00FD5B90"/>
    <w:rsid w:val="00FD5BB0"/>
    <w:rsid w:val="00FD5E05"/>
    <w:rsid w:val="00FD5EEC"/>
    <w:rsid w:val="00FD5F90"/>
    <w:rsid w:val="00FD66F0"/>
    <w:rsid w:val="00FD678A"/>
    <w:rsid w:val="00FD691B"/>
    <w:rsid w:val="00FD6968"/>
    <w:rsid w:val="00FD70E2"/>
    <w:rsid w:val="00FD7294"/>
    <w:rsid w:val="00FD7464"/>
    <w:rsid w:val="00FD7803"/>
    <w:rsid w:val="00FD7811"/>
    <w:rsid w:val="00FD7AA7"/>
    <w:rsid w:val="00FD7CEA"/>
    <w:rsid w:val="00FE054B"/>
    <w:rsid w:val="00FE0684"/>
    <w:rsid w:val="00FE06B7"/>
    <w:rsid w:val="00FE097D"/>
    <w:rsid w:val="00FE0DC1"/>
    <w:rsid w:val="00FE13F7"/>
    <w:rsid w:val="00FE1647"/>
    <w:rsid w:val="00FE1679"/>
    <w:rsid w:val="00FE1F10"/>
    <w:rsid w:val="00FE225A"/>
    <w:rsid w:val="00FE241B"/>
    <w:rsid w:val="00FE26A7"/>
    <w:rsid w:val="00FE27A8"/>
    <w:rsid w:val="00FE2D34"/>
    <w:rsid w:val="00FE2F61"/>
    <w:rsid w:val="00FE3269"/>
    <w:rsid w:val="00FE345D"/>
    <w:rsid w:val="00FE35D2"/>
    <w:rsid w:val="00FE3B34"/>
    <w:rsid w:val="00FE3C8E"/>
    <w:rsid w:val="00FE45E3"/>
    <w:rsid w:val="00FE4ACA"/>
    <w:rsid w:val="00FE4B6D"/>
    <w:rsid w:val="00FE4E58"/>
    <w:rsid w:val="00FE4E62"/>
    <w:rsid w:val="00FE4F14"/>
    <w:rsid w:val="00FE527B"/>
    <w:rsid w:val="00FE540D"/>
    <w:rsid w:val="00FE54CD"/>
    <w:rsid w:val="00FE5CE5"/>
    <w:rsid w:val="00FE5D50"/>
    <w:rsid w:val="00FE5DC5"/>
    <w:rsid w:val="00FE5FF2"/>
    <w:rsid w:val="00FE6BB6"/>
    <w:rsid w:val="00FE6C1D"/>
    <w:rsid w:val="00FE6E30"/>
    <w:rsid w:val="00FE6EE9"/>
    <w:rsid w:val="00FE6FA8"/>
    <w:rsid w:val="00FE722C"/>
    <w:rsid w:val="00FE789F"/>
    <w:rsid w:val="00FE78CA"/>
    <w:rsid w:val="00FE7985"/>
    <w:rsid w:val="00FE7B72"/>
    <w:rsid w:val="00FE7D33"/>
    <w:rsid w:val="00FF0369"/>
    <w:rsid w:val="00FF06CA"/>
    <w:rsid w:val="00FF0BDE"/>
    <w:rsid w:val="00FF0D5E"/>
    <w:rsid w:val="00FF0D83"/>
    <w:rsid w:val="00FF0EAA"/>
    <w:rsid w:val="00FF0FED"/>
    <w:rsid w:val="00FF12EA"/>
    <w:rsid w:val="00FF13E7"/>
    <w:rsid w:val="00FF140B"/>
    <w:rsid w:val="00FF1830"/>
    <w:rsid w:val="00FF1FCC"/>
    <w:rsid w:val="00FF230A"/>
    <w:rsid w:val="00FF255A"/>
    <w:rsid w:val="00FF2841"/>
    <w:rsid w:val="00FF2A0E"/>
    <w:rsid w:val="00FF2A80"/>
    <w:rsid w:val="00FF2DB4"/>
    <w:rsid w:val="00FF2E59"/>
    <w:rsid w:val="00FF3241"/>
    <w:rsid w:val="00FF33E5"/>
    <w:rsid w:val="00FF3694"/>
    <w:rsid w:val="00FF3E6E"/>
    <w:rsid w:val="00FF41AD"/>
    <w:rsid w:val="00FF4431"/>
    <w:rsid w:val="00FF48CE"/>
    <w:rsid w:val="00FF4DDA"/>
    <w:rsid w:val="00FF5128"/>
    <w:rsid w:val="00FF5D3E"/>
    <w:rsid w:val="00FF5E1A"/>
    <w:rsid w:val="00FF5EBA"/>
    <w:rsid w:val="00FF6292"/>
    <w:rsid w:val="00FF648A"/>
    <w:rsid w:val="00FF6515"/>
    <w:rsid w:val="00FF6B6F"/>
    <w:rsid w:val="00FF6BBD"/>
    <w:rsid w:val="00FF6EBD"/>
    <w:rsid w:val="00FF72D8"/>
    <w:rsid w:val="00FF735D"/>
    <w:rsid w:val="00FF74E9"/>
    <w:rsid w:val="00FF75A2"/>
    <w:rsid w:val="00FF767C"/>
    <w:rsid w:val="00FF76EB"/>
    <w:rsid w:val="00FF7E6E"/>
    <w:rsid w:val="00FF7EB0"/>
    <w:rsid w:val="5F7365C0"/>
    <w:rsid w:val="68C55C2E"/>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70BEEC64"/>
  <w15:docId w15:val="{09BEA45D-3E6E-4411-8A10-D3DB7449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76F51"/>
    <w:pPr>
      <w:widowControl w:val="0"/>
      <w:suppressAutoHyphens/>
      <w:spacing w:after="360" w:line="264" w:lineRule="auto"/>
    </w:pPr>
    <w:rPr>
      <w:rFonts w:asciiTheme="majorHAnsi" w:hAnsiTheme="majorHAnsi" w:cs="Calibri"/>
      <w:sz w:val="22"/>
      <w:szCs w:val="22"/>
    </w:rPr>
  </w:style>
  <w:style w:type="paragraph" w:styleId="Heading1">
    <w:name w:val="heading 1"/>
    <w:basedOn w:val="Normal"/>
    <w:next w:val="Normal"/>
    <w:link w:val="Heading1Char"/>
    <w:autoRedefine/>
    <w:uiPriority w:val="9"/>
    <w:qFormat/>
    <w:rsid w:val="00764C60"/>
    <w:pPr>
      <w:keepNext/>
      <w:keepLines/>
      <w:spacing w:before="480"/>
      <w:outlineLvl w:val="0"/>
    </w:pPr>
    <w:rPr>
      <w:bCs/>
      <w:color w:val="365F91"/>
      <w:sz w:val="32"/>
    </w:rPr>
  </w:style>
  <w:style w:type="paragraph" w:styleId="Heading2">
    <w:name w:val="heading 2"/>
    <w:basedOn w:val="Normal"/>
    <w:next w:val="Normal"/>
    <w:link w:val="Heading2Char"/>
    <w:autoRedefine/>
    <w:uiPriority w:val="99"/>
    <w:qFormat/>
    <w:rsid w:val="009F5C43"/>
    <w:pPr>
      <w:keepNext/>
      <w:keepLines/>
      <w:spacing w:before="480" w:after="240" w:line="240" w:lineRule="auto"/>
      <w:outlineLvl w:val="1"/>
    </w:pPr>
    <w:rPr>
      <w:bCs/>
      <w:color w:val="4F81BD"/>
      <w:sz w:val="28"/>
      <w:szCs w:val="26"/>
    </w:rPr>
  </w:style>
  <w:style w:type="paragraph" w:styleId="Heading3">
    <w:name w:val="heading 3"/>
    <w:aliases w:val="Heading 3 not indexed"/>
    <w:basedOn w:val="Heading2notindexed"/>
    <w:next w:val="Normal"/>
    <w:link w:val="Heading3Char"/>
    <w:uiPriority w:val="99"/>
    <w:qFormat/>
    <w:rsid w:val="00CD5E87"/>
    <w:pPr>
      <w:spacing w:before="360" w:after="120"/>
      <w:outlineLvl w:val="2"/>
    </w:pPr>
    <w:rPr>
      <w:color w:val="548DD4" w:themeColor="text2" w:themeTint="99"/>
      <w:sz w:val="24"/>
    </w:rPr>
  </w:style>
  <w:style w:type="paragraph" w:styleId="Heading4">
    <w:name w:val="heading 4"/>
    <w:basedOn w:val="Normal"/>
    <w:next w:val="Normal"/>
    <w:link w:val="Heading4Char"/>
    <w:uiPriority w:val="99"/>
    <w:qFormat/>
    <w:rsid w:val="003E6F94"/>
    <w:pPr>
      <w:keepNext/>
      <w:keepLines/>
      <w:tabs>
        <w:tab w:val="num" w:pos="0"/>
      </w:tabs>
      <w:spacing w:before="200" w:after="0"/>
      <w:outlineLvl w:val="3"/>
    </w:pPr>
    <w:rPr>
      <w:rFonts w:ascii="Cambria" w:hAnsi="Cambria" w:cs="Times New Roman"/>
      <w:b/>
      <w:bCs/>
      <w:i/>
      <w:iCs/>
      <w:color w:val="4F81BD"/>
    </w:rPr>
  </w:style>
  <w:style w:type="paragraph" w:styleId="Heading5">
    <w:name w:val="heading 5"/>
    <w:basedOn w:val="Normal"/>
    <w:next w:val="Normal"/>
    <w:link w:val="Heading5Char"/>
    <w:uiPriority w:val="99"/>
    <w:qFormat/>
    <w:rsid w:val="003E6F94"/>
    <w:pPr>
      <w:keepNext/>
      <w:keepLines/>
      <w:tabs>
        <w:tab w:val="num" w:pos="0"/>
      </w:tabs>
      <w:spacing w:before="200" w:after="0"/>
      <w:outlineLvl w:val="4"/>
    </w:pPr>
    <w:rPr>
      <w:rFonts w:ascii="Cambria" w:hAnsi="Cambria" w:cs="Times New Roman"/>
      <w:color w:val="243F60"/>
    </w:rPr>
  </w:style>
  <w:style w:type="paragraph" w:styleId="Heading6">
    <w:name w:val="heading 6"/>
    <w:basedOn w:val="Normal"/>
    <w:next w:val="Normal"/>
    <w:link w:val="Heading6Char"/>
    <w:uiPriority w:val="99"/>
    <w:qFormat/>
    <w:rsid w:val="003E6F94"/>
    <w:pPr>
      <w:keepNext/>
      <w:keepLines/>
      <w:tabs>
        <w:tab w:val="num" w:pos="0"/>
      </w:tabs>
      <w:spacing w:before="200" w:after="0"/>
      <w:outlineLvl w:val="5"/>
    </w:pPr>
    <w:rPr>
      <w:rFonts w:ascii="Cambria" w:hAnsi="Cambria" w:cs="Times New Roman"/>
      <w:i/>
      <w:iCs/>
      <w:color w:val="243F60"/>
    </w:rPr>
  </w:style>
  <w:style w:type="paragraph" w:styleId="Heading7">
    <w:name w:val="heading 7"/>
    <w:basedOn w:val="Normal"/>
    <w:next w:val="Normal"/>
    <w:link w:val="Heading7Char"/>
    <w:uiPriority w:val="99"/>
    <w:qFormat/>
    <w:rsid w:val="003E6F94"/>
    <w:pPr>
      <w:keepNext/>
      <w:keepLines/>
      <w:tabs>
        <w:tab w:val="num" w:pos="0"/>
      </w:tabs>
      <w:spacing w:before="200" w:after="0"/>
      <w:outlineLvl w:val="6"/>
    </w:pPr>
    <w:rPr>
      <w:rFonts w:ascii="Cambria" w:hAnsi="Cambria" w:cs="Times New Roman"/>
      <w:i/>
      <w:iCs/>
      <w:color w:val="404040"/>
    </w:rPr>
  </w:style>
  <w:style w:type="paragraph" w:styleId="Heading8">
    <w:name w:val="heading 8"/>
    <w:basedOn w:val="Normal"/>
    <w:next w:val="Normal"/>
    <w:link w:val="Heading8Char"/>
    <w:uiPriority w:val="99"/>
    <w:qFormat/>
    <w:rsid w:val="003E6F94"/>
    <w:pPr>
      <w:keepNext/>
      <w:keepLines/>
      <w:tabs>
        <w:tab w:val="num" w:pos="0"/>
      </w:tabs>
      <w:spacing w:before="200" w:after="0"/>
      <w:outlineLvl w:val="7"/>
    </w:pPr>
    <w:rPr>
      <w:rFonts w:ascii="Cambria" w:hAnsi="Cambria" w:cs="Times New Roman"/>
      <w:color w:val="4F81BD"/>
      <w:sz w:val="20"/>
      <w:szCs w:val="20"/>
    </w:rPr>
  </w:style>
  <w:style w:type="paragraph" w:styleId="Heading9">
    <w:name w:val="heading 9"/>
    <w:basedOn w:val="Normal"/>
    <w:next w:val="Normal"/>
    <w:link w:val="Heading9Char"/>
    <w:uiPriority w:val="99"/>
    <w:qFormat/>
    <w:rsid w:val="003E6F94"/>
    <w:pPr>
      <w:keepNext/>
      <w:keepLines/>
      <w:tabs>
        <w:tab w:val="num" w:pos="0"/>
      </w:tabs>
      <w:spacing w:before="200" w:after="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1"/>
    <w:link w:val="Heading1"/>
    <w:uiPriority w:val="9"/>
    <w:rsid w:val="00764C60"/>
    <w:rPr>
      <w:rFonts w:asciiTheme="majorHAnsi" w:hAnsiTheme="majorHAnsi" w:cs="Calibri"/>
      <w:bCs/>
      <w:color w:val="365F91"/>
      <w:sz w:val="32"/>
      <w:szCs w:val="22"/>
    </w:rPr>
  </w:style>
  <w:style w:type="character" w:customStyle="1" w:styleId="Heading2Char">
    <w:name w:val="Heading 2 Char"/>
    <w:basedOn w:val="DefaultParagraphFont1"/>
    <w:link w:val="Heading2"/>
    <w:uiPriority w:val="99"/>
    <w:rsid w:val="009F5C43"/>
    <w:rPr>
      <w:rFonts w:asciiTheme="majorHAnsi" w:hAnsiTheme="majorHAnsi" w:cs="Calibri"/>
      <w:bCs/>
      <w:color w:val="4F81BD"/>
      <w:sz w:val="28"/>
      <w:szCs w:val="26"/>
    </w:rPr>
  </w:style>
  <w:style w:type="character" w:customStyle="1" w:styleId="Heading3Char">
    <w:name w:val="Heading 3 Char"/>
    <w:aliases w:val="Heading 3 not indexed Char"/>
    <w:basedOn w:val="DefaultParagraphFont1"/>
    <w:link w:val="Heading3"/>
    <w:uiPriority w:val="99"/>
    <w:rsid w:val="00CD5E87"/>
    <w:rPr>
      <w:rFonts w:asciiTheme="majorHAnsi" w:hAnsiTheme="majorHAnsi" w:cs="Calibri"/>
      <w:bCs/>
      <w:color w:val="548DD4" w:themeColor="text2" w:themeTint="99"/>
      <w:sz w:val="24"/>
      <w:szCs w:val="26"/>
    </w:rPr>
  </w:style>
  <w:style w:type="character" w:customStyle="1" w:styleId="Heading4Char">
    <w:name w:val="Heading 4 Char"/>
    <w:basedOn w:val="DefaultParagraphFont1"/>
    <w:link w:val="Heading4"/>
    <w:uiPriority w:val="99"/>
    <w:rsid w:val="003E6F94"/>
    <w:rPr>
      <w:rFonts w:ascii="Cambria" w:hAnsi="Cambria" w:cs="Times New Roman"/>
      <w:b/>
      <w:bCs/>
      <w:i/>
      <w:iCs/>
      <w:color w:val="4F81BD"/>
      <w:sz w:val="22"/>
      <w:lang w:eastAsia="en-US"/>
    </w:rPr>
  </w:style>
  <w:style w:type="character" w:customStyle="1" w:styleId="Heading5Char">
    <w:name w:val="Heading 5 Char"/>
    <w:basedOn w:val="DefaultParagraphFont1"/>
    <w:link w:val="Heading5"/>
    <w:uiPriority w:val="99"/>
    <w:rsid w:val="003E6F94"/>
    <w:rPr>
      <w:rFonts w:ascii="Cambria" w:hAnsi="Cambria" w:cs="Times New Roman"/>
      <w:color w:val="243F60"/>
      <w:sz w:val="22"/>
      <w:lang w:eastAsia="en-US"/>
    </w:rPr>
  </w:style>
  <w:style w:type="character" w:customStyle="1" w:styleId="Heading6Char">
    <w:name w:val="Heading 6 Char"/>
    <w:basedOn w:val="DefaultParagraphFont1"/>
    <w:link w:val="Heading6"/>
    <w:uiPriority w:val="99"/>
    <w:rsid w:val="003E6F94"/>
    <w:rPr>
      <w:rFonts w:ascii="Cambria" w:hAnsi="Cambria" w:cs="Times New Roman"/>
      <w:i/>
      <w:iCs/>
      <w:color w:val="243F60"/>
      <w:sz w:val="22"/>
      <w:lang w:eastAsia="en-US"/>
    </w:rPr>
  </w:style>
  <w:style w:type="character" w:customStyle="1" w:styleId="Heading7Char">
    <w:name w:val="Heading 7 Char"/>
    <w:basedOn w:val="DefaultParagraphFont1"/>
    <w:link w:val="Heading7"/>
    <w:uiPriority w:val="99"/>
    <w:rsid w:val="003E6F94"/>
    <w:rPr>
      <w:rFonts w:ascii="Cambria" w:hAnsi="Cambria" w:cs="Times New Roman"/>
      <w:i/>
      <w:iCs/>
      <w:color w:val="404040"/>
      <w:sz w:val="22"/>
      <w:lang w:eastAsia="en-US"/>
    </w:rPr>
  </w:style>
  <w:style w:type="character" w:customStyle="1" w:styleId="Heading8Char">
    <w:name w:val="Heading 8 Char"/>
    <w:basedOn w:val="DefaultParagraphFont1"/>
    <w:link w:val="Heading8"/>
    <w:uiPriority w:val="99"/>
    <w:rsid w:val="003E6F94"/>
    <w:rPr>
      <w:rFonts w:ascii="Cambria" w:hAnsi="Cambria" w:cs="Times New Roman"/>
      <w:color w:val="4F81BD"/>
      <w:lang w:eastAsia="en-US"/>
    </w:rPr>
  </w:style>
  <w:style w:type="character" w:customStyle="1" w:styleId="Heading9Char">
    <w:name w:val="Heading 9 Char"/>
    <w:basedOn w:val="DefaultParagraphFont1"/>
    <w:link w:val="Heading9"/>
    <w:uiPriority w:val="99"/>
    <w:rsid w:val="003E6F94"/>
    <w:rPr>
      <w:rFonts w:ascii="Cambria" w:hAnsi="Cambria" w:cs="Times New Roman"/>
      <w:i/>
      <w:iCs/>
      <w:color w:val="404040"/>
      <w:lang w:eastAsia="en-US"/>
    </w:rPr>
  </w:style>
  <w:style w:type="character" w:customStyle="1" w:styleId="WW8Num2z0">
    <w:name w:val="WW8Num2z0"/>
    <w:uiPriority w:val="99"/>
    <w:rsid w:val="003E6F94"/>
    <w:rPr>
      <w:rFonts w:ascii="Symbol" w:hAnsi="Symbol"/>
    </w:rPr>
  </w:style>
  <w:style w:type="character" w:customStyle="1" w:styleId="WW8Num2z1">
    <w:name w:val="WW8Num2z1"/>
    <w:uiPriority w:val="99"/>
    <w:rsid w:val="003E6F94"/>
    <w:rPr>
      <w:rFonts w:ascii="Courier New" w:hAnsi="Courier New"/>
    </w:rPr>
  </w:style>
  <w:style w:type="character" w:customStyle="1" w:styleId="WW8Num2z2">
    <w:name w:val="WW8Num2z2"/>
    <w:uiPriority w:val="99"/>
    <w:rsid w:val="003E6F94"/>
    <w:rPr>
      <w:rFonts w:ascii="Wingdings" w:hAnsi="Wingdings"/>
    </w:rPr>
  </w:style>
  <w:style w:type="character" w:customStyle="1" w:styleId="WW8Num3z0">
    <w:name w:val="WW8Num3z0"/>
    <w:uiPriority w:val="99"/>
    <w:rsid w:val="003E6F94"/>
    <w:rPr>
      <w:rFonts w:ascii="Symbol" w:hAnsi="Symbol"/>
    </w:rPr>
  </w:style>
  <w:style w:type="character" w:customStyle="1" w:styleId="WW8Num3z1">
    <w:name w:val="WW8Num3z1"/>
    <w:uiPriority w:val="99"/>
    <w:rsid w:val="003E6F94"/>
    <w:rPr>
      <w:rFonts w:ascii="Courier New" w:hAnsi="Courier New"/>
    </w:rPr>
  </w:style>
  <w:style w:type="character" w:customStyle="1" w:styleId="WW8Num3z2">
    <w:name w:val="WW8Num3z2"/>
    <w:uiPriority w:val="99"/>
    <w:rsid w:val="003E6F94"/>
    <w:rPr>
      <w:rFonts w:ascii="Wingdings" w:hAnsi="Wingdings"/>
    </w:rPr>
  </w:style>
  <w:style w:type="character" w:customStyle="1" w:styleId="WW8Num6z0">
    <w:name w:val="WW8Num6z0"/>
    <w:uiPriority w:val="99"/>
    <w:rsid w:val="003E6F94"/>
    <w:rPr>
      <w:rFonts w:ascii="Symbol" w:hAnsi="Symbol"/>
    </w:rPr>
  </w:style>
  <w:style w:type="character" w:customStyle="1" w:styleId="WW8Num6z1">
    <w:name w:val="WW8Num6z1"/>
    <w:uiPriority w:val="99"/>
    <w:rsid w:val="003E6F94"/>
    <w:rPr>
      <w:rFonts w:ascii="Courier New" w:hAnsi="Courier New"/>
    </w:rPr>
  </w:style>
  <w:style w:type="character" w:customStyle="1" w:styleId="WW8Num6z2">
    <w:name w:val="WW8Num6z2"/>
    <w:uiPriority w:val="99"/>
    <w:rsid w:val="003E6F94"/>
    <w:rPr>
      <w:rFonts w:ascii="Wingdings" w:hAnsi="Wingdings"/>
    </w:rPr>
  </w:style>
  <w:style w:type="character" w:customStyle="1" w:styleId="WW8Num8z0">
    <w:name w:val="WW8Num8z0"/>
    <w:uiPriority w:val="99"/>
    <w:rsid w:val="003E6F94"/>
    <w:rPr>
      <w:rFonts w:ascii="Symbol" w:hAnsi="Symbol"/>
    </w:rPr>
  </w:style>
  <w:style w:type="character" w:customStyle="1" w:styleId="WW8Num8z1">
    <w:name w:val="WW8Num8z1"/>
    <w:uiPriority w:val="99"/>
    <w:rsid w:val="003E6F94"/>
    <w:rPr>
      <w:rFonts w:ascii="Courier New" w:hAnsi="Courier New"/>
    </w:rPr>
  </w:style>
  <w:style w:type="character" w:customStyle="1" w:styleId="WW8Num8z2">
    <w:name w:val="WW8Num8z2"/>
    <w:uiPriority w:val="99"/>
    <w:rsid w:val="003E6F94"/>
    <w:rPr>
      <w:rFonts w:ascii="Wingdings" w:hAnsi="Wingdings"/>
    </w:rPr>
  </w:style>
  <w:style w:type="character" w:customStyle="1" w:styleId="WW8Num9z0">
    <w:name w:val="WW8Num9z0"/>
    <w:uiPriority w:val="99"/>
    <w:rsid w:val="003E6F94"/>
    <w:rPr>
      <w:rFonts w:ascii="Symbol" w:hAnsi="Symbol"/>
    </w:rPr>
  </w:style>
  <w:style w:type="character" w:customStyle="1" w:styleId="WW8Num9z1">
    <w:name w:val="WW8Num9z1"/>
    <w:uiPriority w:val="99"/>
    <w:rsid w:val="003E6F94"/>
    <w:rPr>
      <w:rFonts w:ascii="Courier New" w:hAnsi="Courier New"/>
    </w:rPr>
  </w:style>
  <w:style w:type="character" w:customStyle="1" w:styleId="WW8Num9z2">
    <w:name w:val="WW8Num9z2"/>
    <w:uiPriority w:val="99"/>
    <w:rsid w:val="003E6F94"/>
    <w:rPr>
      <w:rFonts w:ascii="Wingdings" w:hAnsi="Wingdings"/>
    </w:rPr>
  </w:style>
  <w:style w:type="character" w:customStyle="1" w:styleId="WW8Num13z0">
    <w:name w:val="WW8Num13z0"/>
    <w:uiPriority w:val="99"/>
    <w:rsid w:val="003E6F94"/>
    <w:rPr>
      <w:rFonts w:ascii="Symbol" w:hAnsi="Symbol"/>
    </w:rPr>
  </w:style>
  <w:style w:type="character" w:customStyle="1" w:styleId="WW8Num13z1">
    <w:name w:val="WW8Num13z1"/>
    <w:uiPriority w:val="99"/>
    <w:rsid w:val="003E6F94"/>
    <w:rPr>
      <w:rFonts w:ascii="Courier New" w:hAnsi="Courier New"/>
    </w:rPr>
  </w:style>
  <w:style w:type="character" w:customStyle="1" w:styleId="WW8Num13z2">
    <w:name w:val="WW8Num13z2"/>
    <w:uiPriority w:val="99"/>
    <w:rsid w:val="003E6F94"/>
    <w:rPr>
      <w:rFonts w:ascii="Wingdings" w:hAnsi="Wingdings"/>
    </w:rPr>
  </w:style>
  <w:style w:type="character" w:customStyle="1" w:styleId="WW8Num14z0">
    <w:name w:val="WW8Num14z0"/>
    <w:uiPriority w:val="99"/>
    <w:rsid w:val="003E6F94"/>
    <w:rPr>
      <w:rFonts w:ascii="Symbol" w:hAnsi="Symbol"/>
    </w:rPr>
  </w:style>
  <w:style w:type="character" w:customStyle="1" w:styleId="WW8Num14z1">
    <w:name w:val="WW8Num14z1"/>
    <w:uiPriority w:val="99"/>
    <w:rsid w:val="003E6F94"/>
    <w:rPr>
      <w:rFonts w:ascii="Courier New" w:hAnsi="Courier New"/>
    </w:rPr>
  </w:style>
  <w:style w:type="character" w:customStyle="1" w:styleId="WW8Num14z2">
    <w:name w:val="WW8Num14z2"/>
    <w:uiPriority w:val="99"/>
    <w:rsid w:val="003E6F94"/>
    <w:rPr>
      <w:rFonts w:ascii="Wingdings" w:hAnsi="Wingdings"/>
    </w:rPr>
  </w:style>
  <w:style w:type="character" w:customStyle="1" w:styleId="WW8Num15z0">
    <w:name w:val="WW8Num15z0"/>
    <w:uiPriority w:val="99"/>
    <w:rsid w:val="003E6F94"/>
    <w:rPr>
      <w:rFonts w:ascii="Symbol" w:hAnsi="Symbol"/>
    </w:rPr>
  </w:style>
  <w:style w:type="character" w:customStyle="1" w:styleId="WW8Num18z0">
    <w:name w:val="WW8Num18z0"/>
    <w:uiPriority w:val="99"/>
    <w:rsid w:val="003E6F94"/>
    <w:rPr>
      <w:rFonts w:ascii="Symbol" w:hAnsi="Symbol"/>
    </w:rPr>
  </w:style>
  <w:style w:type="character" w:customStyle="1" w:styleId="WW8Num18z1">
    <w:name w:val="WW8Num18z1"/>
    <w:uiPriority w:val="99"/>
    <w:rsid w:val="003E6F94"/>
    <w:rPr>
      <w:rFonts w:ascii="Courier New" w:hAnsi="Courier New"/>
    </w:rPr>
  </w:style>
  <w:style w:type="character" w:customStyle="1" w:styleId="WW8Num18z2">
    <w:name w:val="WW8Num18z2"/>
    <w:uiPriority w:val="99"/>
    <w:rsid w:val="003E6F94"/>
    <w:rPr>
      <w:rFonts w:ascii="Wingdings" w:hAnsi="Wingdings"/>
    </w:rPr>
  </w:style>
  <w:style w:type="character" w:customStyle="1" w:styleId="WW8Num19z0">
    <w:name w:val="WW8Num19z0"/>
    <w:uiPriority w:val="99"/>
    <w:rsid w:val="003E6F94"/>
    <w:rPr>
      <w:rFonts w:ascii="Symbol" w:hAnsi="Symbol"/>
    </w:rPr>
  </w:style>
  <w:style w:type="character" w:customStyle="1" w:styleId="WW8Num19z1">
    <w:name w:val="WW8Num19z1"/>
    <w:uiPriority w:val="99"/>
    <w:rsid w:val="003E6F94"/>
    <w:rPr>
      <w:rFonts w:ascii="Courier New" w:hAnsi="Courier New"/>
    </w:rPr>
  </w:style>
  <w:style w:type="character" w:customStyle="1" w:styleId="WW8Num19z2">
    <w:name w:val="WW8Num19z2"/>
    <w:uiPriority w:val="99"/>
    <w:rsid w:val="003E6F94"/>
    <w:rPr>
      <w:rFonts w:ascii="Wingdings" w:hAnsi="Wingdings"/>
    </w:rPr>
  </w:style>
  <w:style w:type="character" w:customStyle="1" w:styleId="WW8Num21z0">
    <w:name w:val="WW8Num21z0"/>
    <w:uiPriority w:val="99"/>
    <w:rsid w:val="003E6F94"/>
    <w:rPr>
      <w:rFonts w:ascii="Symbol" w:hAnsi="Symbol"/>
    </w:rPr>
  </w:style>
  <w:style w:type="character" w:customStyle="1" w:styleId="WW8Num21z1">
    <w:name w:val="WW8Num21z1"/>
    <w:uiPriority w:val="99"/>
    <w:rsid w:val="003E6F94"/>
    <w:rPr>
      <w:rFonts w:ascii="Courier New" w:hAnsi="Courier New"/>
    </w:rPr>
  </w:style>
  <w:style w:type="character" w:customStyle="1" w:styleId="WW8Num21z2">
    <w:name w:val="WW8Num21z2"/>
    <w:uiPriority w:val="99"/>
    <w:rsid w:val="003E6F94"/>
    <w:rPr>
      <w:rFonts w:ascii="Wingdings" w:hAnsi="Wingdings"/>
    </w:rPr>
  </w:style>
  <w:style w:type="character" w:customStyle="1" w:styleId="WW8Num22z0">
    <w:name w:val="WW8Num22z0"/>
    <w:uiPriority w:val="99"/>
    <w:rsid w:val="003E6F94"/>
    <w:rPr>
      <w:rFonts w:ascii="Symbol" w:hAnsi="Symbol"/>
    </w:rPr>
  </w:style>
  <w:style w:type="character" w:customStyle="1" w:styleId="WW8Num22z1">
    <w:name w:val="WW8Num22z1"/>
    <w:uiPriority w:val="99"/>
    <w:rsid w:val="003E6F94"/>
    <w:rPr>
      <w:rFonts w:ascii="Courier New" w:hAnsi="Courier New"/>
    </w:rPr>
  </w:style>
  <w:style w:type="character" w:customStyle="1" w:styleId="WW8Num22z2">
    <w:name w:val="WW8Num22z2"/>
    <w:uiPriority w:val="99"/>
    <w:rsid w:val="003E6F94"/>
    <w:rPr>
      <w:rFonts w:ascii="Wingdings" w:hAnsi="Wingdings"/>
    </w:rPr>
  </w:style>
  <w:style w:type="character" w:customStyle="1" w:styleId="WW8Num23z0">
    <w:name w:val="WW8Num23z0"/>
    <w:uiPriority w:val="99"/>
    <w:rsid w:val="003E6F94"/>
    <w:rPr>
      <w:rFonts w:ascii="Symbol" w:hAnsi="Symbol"/>
    </w:rPr>
  </w:style>
  <w:style w:type="character" w:customStyle="1" w:styleId="WW8Num23z1">
    <w:name w:val="WW8Num23z1"/>
    <w:uiPriority w:val="99"/>
    <w:rsid w:val="003E6F94"/>
    <w:rPr>
      <w:rFonts w:ascii="Courier New" w:hAnsi="Courier New"/>
    </w:rPr>
  </w:style>
  <w:style w:type="character" w:customStyle="1" w:styleId="WW8Num23z2">
    <w:name w:val="WW8Num23z2"/>
    <w:uiPriority w:val="99"/>
    <w:rsid w:val="003E6F94"/>
    <w:rPr>
      <w:rFonts w:ascii="Wingdings" w:hAnsi="Wingdings"/>
    </w:rPr>
  </w:style>
  <w:style w:type="character" w:customStyle="1" w:styleId="WW8Num23z3">
    <w:name w:val="WW8Num23z3"/>
    <w:uiPriority w:val="99"/>
    <w:rsid w:val="003E6F94"/>
    <w:rPr>
      <w:rFonts w:ascii="Symbol" w:hAnsi="Symbol"/>
    </w:rPr>
  </w:style>
  <w:style w:type="character" w:customStyle="1" w:styleId="WW8Num24z0">
    <w:name w:val="WW8Num24z0"/>
    <w:uiPriority w:val="99"/>
    <w:rsid w:val="003E6F94"/>
    <w:rPr>
      <w:rFonts w:ascii="Symbol" w:hAnsi="Symbol"/>
    </w:rPr>
  </w:style>
  <w:style w:type="character" w:customStyle="1" w:styleId="WW8Num24z2">
    <w:name w:val="WW8Num24z2"/>
    <w:uiPriority w:val="99"/>
    <w:rsid w:val="003E6F94"/>
    <w:rPr>
      <w:rFonts w:ascii="Wingdings" w:hAnsi="Wingdings"/>
    </w:rPr>
  </w:style>
  <w:style w:type="character" w:customStyle="1" w:styleId="WW8Num24z4">
    <w:name w:val="WW8Num24z4"/>
    <w:uiPriority w:val="99"/>
    <w:rsid w:val="003E6F94"/>
    <w:rPr>
      <w:rFonts w:ascii="Courier New" w:hAnsi="Courier New"/>
    </w:rPr>
  </w:style>
  <w:style w:type="character" w:customStyle="1" w:styleId="WW8Num26z0">
    <w:name w:val="WW8Num26z0"/>
    <w:uiPriority w:val="99"/>
    <w:rsid w:val="003E6F94"/>
    <w:rPr>
      <w:rFonts w:ascii="Symbol" w:hAnsi="Symbol"/>
    </w:rPr>
  </w:style>
  <w:style w:type="character" w:customStyle="1" w:styleId="WW8Num26z1">
    <w:name w:val="WW8Num26z1"/>
    <w:uiPriority w:val="99"/>
    <w:rsid w:val="003E6F94"/>
    <w:rPr>
      <w:rFonts w:ascii="Courier New" w:hAnsi="Courier New"/>
    </w:rPr>
  </w:style>
  <w:style w:type="character" w:customStyle="1" w:styleId="WW8Num26z2">
    <w:name w:val="WW8Num26z2"/>
    <w:uiPriority w:val="99"/>
    <w:rsid w:val="003E6F94"/>
    <w:rPr>
      <w:rFonts w:ascii="Wingdings" w:hAnsi="Wingdings"/>
    </w:rPr>
  </w:style>
  <w:style w:type="character" w:customStyle="1" w:styleId="WW8Num27z0">
    <w:name w:val="WW8Num27z0"/>
    <w:uiPriority w:val="99"/>
    <w:rsid w:val="003E6F94"/>
    <w:rPr>
      <w:rFonts w:ascii="Symbol" w:hAnsi="Symbol"/>
    </w:rPr>
  </w:style>
  <w:style w:type="character" w:customStyle="1" w:styleId="WW8Num27z1">
    <w:name w:val="WW8Num27z1"/>
    <w:uiPriority w:val="99"/>
    <w:rsid w:val="003E6F94"/>
    <w:rPr>
      <w:rFonts w:ascii="Courier New" w:hAnsi="Courier New"/>
    </w:rPr>
  </w:style>
  <w:style w:type="character" w:customStyle="1" w:styleId="WW8Num27z2">
    <w:name w:val="WW8Num27z2"/>
    <w:uiPriority w:val="99"/>
    <w:rsid w:val="003E6F94"/>
    <w:rPr>
      <w:rFonts w:ascii="Wingdings" w:hAnsi="Wingdings"/>
    </w:rPr>
  </w:style>
  <w:style w:type="character" w:customStyle="1" w:styleId="DefaultParagraphFont1">
    <w:name w:val="Default Paragraph Font1"/>
    <w:uiPriority w:val="99"/>
    <w:rsid w:val="003E6F94"/>
  </w:style>
  <w:style w:type="character" w:customStyle="1" w:styleId="TitleChar">
    <w:name w:val="Title Char"/>
    <w:basedOn w:val="DefaultParagraphFont1"/>
    <w:rsid w:val="003E6F94"/>
    <w:rPr>
      <w:rFonts w:ascii="Myriad Pro SemiCond" w:hAnsi="Myriad Pro SemiCond" w:cs="Times New Roman"/>
      <w:caps/>
      <w:color w:val="17365D"/>
      <w:spacing w:val="5"/>
      <w:kern w:val="1"/>
      <w:sz w:val="52"/>
      <w:lang w:eastAsia="en-US"/>
    </w:rPr>
  </w:style>
  <w:style w:type="character" w:customStyle="1" w:styleId="SubtitleChar">
    <w:name w:val="Subtitle Char"/>
    <w:basedOn w:val="DefaultParagraphFont1"/>
    <w:uiPriority w:val="11"/>
    <w:rsid w:val="003E6F94"/>
    <w:rPr>
      <w:rFonts w:ascii="Myriad Pro SemiCond" w:hAnsi="Myriad Pro SemiCond" w:cs="Times New Roman"/>
      <w:i/>
      <w:iCs/>
      <w:color w:val="4F81BD"/>
      <w:spacing w:val="15"/>
      <w:sz w:val="24"/>
      <w:lang w:eastAsia="en-US"/>
    </w:rPr>
  </w:style>
  <w:style w:type="character" w:styleId="Strong">
    <w:name w:val="Strong"/>
    <w:basedOn w:val="DefaultParagraphFont1"/>
    <w:uiPriority w:val="22"/>
    <w:qFormat/>
    <w:rsid w:val="003E6F94"/>
    <w:rPr>
      <w:rFonts w:cs="Times New Roman"/>
      <w:b/>
      <w:bCs/>
    </w:rPr>
  </w:style>
  <w:style w:type="character" w:styleId="Emphasis">
    <w:name w:val="Emphasis"/>
    <w:basedOn w:val="DefaultParagraphFont1"/>
    <w:uiPriority w:val="20"/>
    <w:qFormat/>
    <w:rsid w:val="003E6F94"/>
    <w:rPr>
      <w:rFonts w:cs="Times New Roman"/>
      <w:i/>
      <w:iCs/>
    </w:rPr>
  </w:style>
  <w:style w:type="character" w:customStyle="1" w:styleId="QuoteChar">
    <w:name w:val="Quote Char"/>
    <w:basedOn w:val="DefaultParagraphFont1"/>
    <w:uiPriority w:val="99"/>
    <w:rsid w:val="003E6F94"/>
    <w:rPr>
      <w:rFonts w:ascii="Myriad Pro Light SemiCond" w:hAnsi="Myriad Pro Light SemiCond" w:cs="Times New Roman"/>
      <w:i/>
      <w:iCs/>
      <w:color w:val="000000"/>
      <w:sz w:val="22"/>
      <w:lang w:eastAsia="en-US"/>
    </w:rPr>
  </w:style>
  <w:style w:type="character" w:customStyle="1" w:styleId="IntenseQuoteChar">
    <w:name w:val="Intense Quote Char"/>
    <w:basedOn w:val="DefaultParagraphFont1"/>
    <w:uiPriority w:val="99"/>
    <w:rsid w:val="003E6F94"/>
    <w:rPr>
      <w:rFonts w:cs="Times New Roman"/>
      <w:b/>
      <w:bCs/>
      <w:i/>
      <w:iCs/>
      <w:color w:val="4F81BD"/>
    </w:rPr>
  </w:style>
  <w:style w:type="character" w:styleId="SubtleEmphasis">
    <w:name w:val="Subtle Emphasis"/>
    <w:uiPriority w:val="19"/>
    <w:qFormat/>
    <w:rsid w:val="00F2215C"/>
    <w:rPr>
      <w:rFonts w:ascii="Calibri" w:hAnsi="Calibri"/>
      <w:u w:val="single"/>
      <w:lang w:val="en-GB" w:eastAsia="nb-NO" w:bidi="en-US"/>
    </w:rPr>
  </w:style>
  <w:style w:type="character" w:styleId="IntenseEmphasis">
    <w:name w:val="Intense Emphasis"/>
    <w:basedOn w:val="DefaultParagraphFont1"/>
    <w:uiPriority w:val="21"/>
    <w:qFormat/>
    <w:rsid w:val="003E6F94"/>
    <w:rPr>
      <w:rFonts w:cs="Times New Roman"/>
      <w:b/>
      <w:bCs/>
      <w:i/>
      <w:iCs/>
      <w:color w:val="4F81BD"/>
    </w:rPr>
  </w:style>
  <w:style w:type="character" w:styleId="SubtleReference">
    <w:name w:val="Subtle Reference"/>
    <w:basedOn w:val="DefaultParagraphFont1"/>
    <w:uiPriority w:val="31"/>
    <w:qFormat/>
    <w:rsid w:val="003E6F94"/>
    <w:rPr>
      <w:rFonts w:cs="Times New Roman"/>
      <w:smallCaps/>
      <w:color w:val="C0504D"/>
      <w:u w:val="single"/>
    </w:rPr>
  </w:style>
  <w:style w:type="character" w:styleId="IntenseReference">
    <w:name w:val="Intense Reference"/>
    <w:basedOn w:val="DefaultParagraphFont1"/>
    <w:uiPriority w:val="32"/>
    <w:qFormat/>
    <w:rsid w:val="003E6F94"/>
    <w:rPr>
      <w:rFonts w:cs="Times New Roman"/>
      <w:b/>
      <w:bCs/>
      <w:smallCaps/>
      <w:color w:val="C0504D"/>
      <w:spacing w:val="5"/>
      <w:u w:val="single"/>
    </w:rPr>
  </w:style>
  <w:style w:type="character" w:styleId="BookTitle">
    <w:name w:val="Book Title"/>
    <w:basedOn w:val="DefaultParagraphFont1"/>
    <w:uiPriority w:val="33"/>
    <w:qFormat/>
    <w:rsid w:val="003E6F94"/>
    <w:rPr>
      <w:rFonts w:cs="Times New Roman"/>
      <w:b/>
      <w:bCs/>
      <w:smallCaps/>
      <w:spacing w:val="5"/>
    </w:rPr>
  </w:style>
  <w:style w:type="character" w:customStyle="1" w:styleId="FootnoteTextChar">
    <w:name w:val="Footnote Text Char"/>
    <w:basedOn w:val="DefaultParagraphFont1"/>
    <w:uiPriority w:val="99"/>
    <w:rsid w:val="003E6F94"/>
    <w:rPr>
      <w:rFonts w:cs="Times New Roman"/>
      <w:lang w:val="en-US" w:eastAsia="en-US"/>
    </w:rPr>
  </w:style>
  <w:style w:type="character" w:customStyle="1" w:styleId="Funotenzeichen1">
    <w:name w:val="Fußnotenzeichen1"/>
    <w:basedOn w:val="DefaultParagraphFont1"/>
    <w:uiPriority w:val="99"/>
    <w:rsid w:val="003E6F94"/>
    <w:rPr>
      <w:rFonts w:cs="Times New Roman"/>
      <w:vertAlign w:val="superscript"/>
    </w:rPr>
  </w:style>
  <w:style w:type="character" w:customStyle="1" w:styleId="NoSpacingChar">
    <w:name w:val="No Spacing Char"/>
    <w:basedOn w:val="DefaultParagraphFont1"/>
    <w:uiPriority w:val="99"/>
    <w:rsid w:val="003E6F94"/>
    <w:rPr>
      <w:rFonts w:cs="Times New Roman"/>
      <w:sz w:val="22"/>
      <w:lang w:val="en-US" w:eastAsia="en-US"/>
    </w:rPr>
  </w:style>
  <w:style w:type="character" w:customStyle="1" w:styleId="BalloonTextChar">
    <w:name w:val="Balloon Text Char"/>
    <w:basedOn w:val="DefaultParagraphFont1"/>
    <w:uiPriority w:val="99"/>
    <w:rsid w:val="003E6F94"/>
    <w:rPr>
      <w:rFonts w:ascii="Tahoma" w:hAnsi="Tahoma" w:cs="Tahoma"/>
      <w:sz w:val="16"/>
      <w:lang w:eastAsia="en-US"/>
    </w:rPr>
  </w:style>
  <w:style w:type="character" w:customStyle="1" w:styleId="CommentReference1">
    <w:name w:val="Comment Reference1"/>
    <w:basedOn w:val="DefaultParagraphFont1"/>
    <w:uiPriority w:val="99"/>
    <w:rsid w:val="003E6F94"/>
    <w:rPr>
      <w:rFonts w:cs="Times New Roman"/>
      <w:sz w:val="16"/>
    </w:rPr>
  </w:style>
  <w:style w:type="character" w:styleId="Hyperlink">
    <w:name w:val="Hyperlink"/>
    <w:basedOn w:val="DefaultParagraphFont1"/>
    <w:uiPriority w:val="99"/>
    <w:rsid w:val="003E6F94"/>
    <w:rPr>
      <w:rFonts w:cs="Times New Roman"/>
      <w:color w:val="0000FF"/>
      <w:u w:val="single"/>
    </w:rPr>
  </w:style>
  <w:style w:type="character" w:customStyle="1" w:styleId="HeaderChar">
    <w:name w:val="Header Char"/>
    <w:basedOn w:val="DefaultParagraphFont1"/>
    <w:rsid w:val="003E6F94"/>
    <w:rPr>
      <w:rFonts w:ascii="Myriad Pro SemiCond" w:hAnsi="Myriad Pro SemiCond" w:cs="Times New Roman"/>
      <w:sz w:val="22"/>
      <w:lang w:val="en-GB" w:eastAsia="en-US"/>
    </w:rPr>
  </w:style>
  <w:style w:type="character" w:customStyle="1" w:styleId="apple-style-span">
    <w:name w:val="apple-style-span"/>
    <w:basedOn w:val="DefaultParagraphFont1"/>
    <w:uiPriority w:val="99"/>
    <w:rsid w:val="003E6F94"/>
    <w:rPr>
      <w:rFonts w:cs="Times New Roman"/>
    </w:rPr>
  </w:style>
  <w:style w:type="paragraph" w:customStyle="1" w:styleId="berschrift">
    <w:name w:val="Überschrift"/>
    <w:basedOn w:val="Normal"/>
    <w:next w:val="BodyText"/>
    <w:uiPriority w:val="99"/>
    <w:rsid w:val="003E6F94"/>
    <w:pPr>
      <w:keepNext/>
      <w:spacing w:before="240"/>
    </w:pPr>
    <w:rPr>
      <w:rFonts w:ascii="Arial" w:eastAsia="MS Mincho" w:hAnsi="Arial" w:cs="Tahoma"/>
      <w:sz w:val="28"/>
      <w:szCs w:val="28"/>
    </w:rPr>
  </w:style>
  <w:style w:type="paragraph" w:styleId="BodyText">
    <w:name w:val="Body Text"/>
    <w:basedOn w:val="Normal"/>
    <w:link w:val="BodyTextChar"/>
    <w:uiPriority w:val="99"/>
    <w:rsid w:val="003E6F94"/>
  </w:style>
  <w:style w:type="character" w:customStyle="1" w:styleId="BodyTextChar">
    <w:name w:val="Body Text Char"/>
    <w:basedOn w:val="DefaultParagraphFont"/>
    <w:link w:val="BodyText"/>
    <w:uiPriority w:val="99"/>
    <w:rsid w:val="000044D8"/>
    <w:rPr>
      <w:rFonts w:ascii="Myriad Pro SemiCond" w:hAnsi="Myriad Pro SemiCond" w:cs="Calibri"/>
      <w:sz w:val="22"/>
      <w:szCs w:val="22"/>
    </w:rPr>
  </w:style>
  <w:style w:type="paragraph" w:styleId="List">
    <w:name w:val="List"/>
    <w:basedOn w:val="BodyText"/>
    <w:uiPriority w:val="99"/>
    <w:rsid w:val="003E6F94"/>
    <w:rPr>
      <w:rFonts w:cs="Tahoma"/>
    </w:rPr>
  </w:style>
  <w:style w:type="paragraph" w:customStyle="1" w:styleId="Beschriftung1">
    <w:name w:val="Beschriftung1"/>
    <w:basedOn w:val="Normal"/>
    <w:uiPriority w:val="99"/>
    <w:rsid w:val="003E6F94"/>
    <w:pPr>
      <w:suppressLineNumbers/>
      <w:spacing w:before="120"/>
    </w:pPr>
    <w:rPr>
      <w:rFonts w:cs="Tahoma"/>
      <w:i/>
      <w:iCs/>
      <w:sz w:val="24"/>
      <w:szCs w:val="24"/>
    </w:rPr>
  </w:style>
  <w:style w:type="paragraph" w:customStyle="1" w:styleId="Verzeichnis">
    <w:name w:val="Verzeichnis"/>
    <w:basedOn w:val="Normal"/>
    <w:uiPriority w:val="99"/>
    <w:rsid w:val="003E6F94"/>
    <w:pPr>
      <w:suppressLineNumbers/>
    </w:pPr>
    <w:rPr>
      <w:rFonts w:cs="Tahoma"/>
    </w:rPr>
  </w:style>
  <w:style w:type="paragraph" w:styleId="Header">
    <w:name w:val="header"/>
    <w:basedOn w:val="Normal"/>
    <w:link w:val="HeaderChar1"/>
    <w:rsid w:val="003E6F94"/>
    <w:pPr>
      <w:tabs>
        <w:tab w:val="center" w:pos="4320"/>
        <w:tab w:val="right" w:pos="8640"/>
      </w:tabs>
    </w:pPr>
  </w:style>
  <w:style w:type="character" w:customStyle="1" w:styleId="HeaderChar1">
    <w:name w:val="Header Char1"/>
    <w:basedOn w:val="DefaultParagraphFont"/>
    <w:link w:val="Header"/>
    <w:rsid w:val="000044D8"/>
    <w:rPr>
      <w:rFonts w:ascii="Myriad Pro SemiCond" w:hAnsi="Myriad Pro SemiCond" w:cs="Calibri"/>
      <w:sz w:val="22"/>
      <w:szCs w:val="22"/>
    </w:rPr>
  </w:style>
  <w:style w:type="paragraph" w:styleId="Footer">
    <w:name w:val="footer"/>
    <w:basedOn w:val="Normal"/>
    <w:link w:val="FooterChar"/>
    <w:rsid w:val="003E6F94"/>
    <w:pPr>
      <w:tabs>
        <w:tab w:val="center" w:pos="4320"/>
        <w:tab w:val="right" w:pos="8640"/>
      </w:tabs>
    </w:pPr>
  </w:style>
  <w:style w:type="character" w:customStyle="1" w:styleId="FooterChar">
    <w:name w:val="Footer Char"/>
    <w:basedOn w:val="DefaultParagraphFont"/>
    <w:link w:val="Footer"/>
    <w:rsid w:val="000044D8"/>
    <w:rPr>
      <w:rFonts w:ascii="Myriad Pro SemiCond" w:hAnsi="Myriad Pro SemiCond" w:cs="Calibri"/>
      <w:sz w:val="22"/>
      <w:szCs w:val="22"/>
    </w:rPr>
  </w:style>
  <w:style w:type="paragraph" w:customStyle="1" w:styleId="Caption1">
    <w:name w:val="Caption1"/>
    <w:basedOn w:val="Normal"/>
    <w:next w:val="Normal"/>
    <w:uiPriority w:val="99"/>
    <w:rsid w:val="003E6F94"/>
    <w:pPr>
      <w:spacing w:line="240" w:lineRule="auto"/>
    </w:pPr>
    <w:rPr>
      <w:b/>
      <w:bCs/>
      <w:color w:val="4F81BD"/>
      <w:sz w:val="18"/>
      <w:szCs w:val="18"/>
    </w:rPr>
  </w:style>
  <w:style w:type="paragraph" w:styleId="Title">
    <w:name w:val="Title"/>
    <w:basedOn w:val="Normal"/>
    <w:next w:val="Normal"/>
    <w:link w:val="TitleChar1"/>
    <w:qFormat/>
    <w:rsid w:val="00A65719"/>
    <w:pPr>
      <w:spacing w:after="300" w:line="240" w:lineRule="auto"/>
    </w:pPr>
    <w:rPr>
      <w:color w:val="000000" w:themeColor="text1"/>
      <w:spacing w:val="5"/>
      <w:kern w:val="52"/>
      <w:sz w:val="96"/>
      <w:szCs w:val="52"/>
    </w:rPr>
  </w:style>
  <w:style w:type="character" w:customStyle="1" w:styleId="TitleChar1">
    <w:name w:val="Title Char1"/>
    <w:basedOn w:val="DefaultParagraphFont"/>
    <w:link w:val="Title"/>
    <w:rsid w:val="00A65719"/>
    <w:rPr>
      <w:rFonts w:asciiTheme="majorHAnsi" w:hAnsiTheme="majorHAnsi" w:cs="Calibri"/>
      <w:color w:val="000000" w:themeColor="text1"/>
      <w:spacing w:val="5"/>
      <w:kern w:val="52"/>
      <w:sz w:val="96"/>
      <w:szCs w:val="52"/>
    </w:rPr>
  </w:style>
  <w:style w:type="paragraph" w:styleId="Subtitle">
    <w:name w:val="Subtitle"/>
    <w:basedOn w:val="Normal"/>
    <w:next w:val="Normal"/>
    <w:link w:val="SubtitleChar1"/>
    <w:uiPriority w:val="11"/>
    <w:qFormat/>
    <w:rsid w:val="003E6F94"/>
    <w:rPr>
      <w:i/>
      <w:iCs/>
      <w:color w:val="4F81BD"/>
      <w:spacing w:val="15"/>
      <w:sz w:val="24"/>
      <w:szCs w:val="24"/>
    </w:rPr>
  </w:style>
  <w:style w:type="character" w:customStyle="1" w:styleId="SubtitleChar1">
    <w:name w:val="Subtitle Char1"/>
    <w:basedOn w:val="DefaultParagraphFont"/>
    <w:link w:val="Subtitle"/>
    <w:uiPriority w:val="11"/>
    <w:rsid w:val="000044D8"/>
    <w:rPr>
      <w:rFonts w:asciiTheme="majorHAnsi" w:eastAsiaTheme="majorEastAsia" w:hAnsiTheme="majorHAnsi" w:cstheme="majorBidi"/>
      <w:sz w:val="24"/>
      <w:szCs w:val="24"/>
    </w:rPr>
  </w:style>
  <w:style w:type="paragraph" w:styleId="NoSpacing">
    <w:name w:val="No Spacing"/>
    <w:uiPriority w:val="1"/>
    <w:qFormat/>
    <w:rsid w:val="003E6F94"/>
    <w:pPr>
      <w:widowControl w:val="0"/>
      <w:suppressAutoHyphens/>
    </w:pPr>
    <w:rPr>
      <w:rFonts w:ascii="Calibri" w:hAnsi="Calibri" w:cs="Calibri"/>
      <w:sz w:val="22"/>
      <w:szCs w:val="22"/>
      <w:lang w:val="en-US"/>
    </w:rPr>
  </w:style>
  <w:style w:type="paragraph" w:styleId="ListParagraph">
    <w:name w:val="List Paragraph"/>
    <w:basedOn w:val="Normal"/>
    <w:link w:val="ListParagraphChar"/>
    <w:autoRedefine/>
    <w:uiPriority w:val="34"/>
    <w:qFormat/>
    <w:rsid w:val="008200F5"/>
    <w:pPr>
      <w:numPr>
        <w:numId w:val="40"/>
      </w:numPr>
      <w:spacing w:before="120" w:after="240"/>
      <w:contextualSpacing/>
    </w:pPr>
  </w:style>
  <w:style w:type="paragraph" w:styleId="Quote">
    <w:name w:val="Quote"/>
    <w:basedOn w:val="Normal"/>
    <w:next w:val="Normal"/>
    <w:link w:val="QuoteChar1"/>
    <w:uiPriority w:val="29"/>
    <w:qFormat/>
    <w:rsid w:val="003E6F94"/>
    <w:pPr>
      <w:ind w:left="720"/>
    </w:pPr>
    <w:rPr>
      <w:rFonts w:ascii="Myriad Pro Light SemiCond" w:hAnsi="Myriad Pro Light SemiCond"/>
      <w:i/>
      <w:iCs/>
      <w:color w:val="000000"/>
    </w:rPr>
  </w:style>
  <w:style w:type="character" w:customStyle="1" w:styleId="QuoteChar1">
    <w:name w:val="Quote Char1"/>
    <w:basedOn w:val="DefaultParagraphFont"/>
    <w:link w:val="Quote"/>
    <w:uiPriority w:val="29"/>
    <w:rsid w:val="000044D8"/>
    <w:rPr>
      <w:rFonts w:ascii="Myriad Pro SemiCond" w:hAnsi="Myriad Pro SemiCond" w:cs="Calibri"/>
      <w:sz w:val="22"/>
      <w:szCs w:val="22"/>
    </w:rPr>
  </w:style>
  <w:style w:type="paragraph" w:styleId="IntenseQuote">
    <w:name w:val="Intense Quote"/>
    <w:basedOn w:val="Normal"/>
    <w:next w:val="Normal"/>
    <w:link w:val="IntenseQuoteChar1"/>
    <w:uiPriority w:val="30"/>
    <w:qFormat/>
    <w:rsid w:val="003E6F94"/>
    <w:pPr>
      <w:pBdr>
        <w:bottom w:val="single" w:sz="4" w:space="4" w:color="FFFF00"/>
      </w:pBdr>
      <w:spacing w:before="200" w:after="280"/>
      <w:ind w:left="936" w:right="936"/>
    </w:pPr>
    <w:rPr>
      <w:b/>
      <w:bCs/>
      <w:i/>
      <w:iCs/>
      <w:color w:val="4F81BD"/>
    </w:rPr>
  </w:style>
  <w:style w:type="character" w:customStyle="1" w:styleId="IntenseQuoteChar1">
    <w:name w:val="Intense Quote Char1"/>
    <w:basedOn w:val="DefaultParagraphFont"/>
    <w:link w:val="IntenseQuote"/>
    <w:uiPriority w:val="30"/>
    <w:rsid w:val="000044D8"/>
    <w:rPr>
      <w:rFonts w:ascii="Myriad Pro SemiCond" w:hAnsi="Myriad Pro SemiCond" w:cs="Calibri"/>
      <w:sz w:val="22"/>
      <w:szCs w:val="22"/>
    </w:rPr>
  </w:style>
  <w:style w:type="paragraph" w:styleId="TOCHeading">
    <w:name w:val="TOC Heading"/>
    <w:basedOn w:val="Heading1"/>
    <w:next w:val="Normal"/>
    <w:autoRedefine/>
    <w:uiPriority w:val="39"/>
    <w:qFormat/>
    <w:rsid w:val="001E0622"/>
    <w:pPr>
      <w:spacing w:before="120"/>
      <w:outlineLvl w:val="9"/>
    </w:pPr>
  </w:style>
  <w:style w:type="paragraph" w:styleId="FootnoteText">
    <w:name w:val="footnote text"/>
    <w:basedOn w:val="NoSpacing"/>
    <w:link w:val="FootnoteTextChar1"/>
    <w:uiPriority w:val="99"/>
    <w:rsid w:val="00203FC3"/>
    <w:rPr>
      <w:sz w:val="20"/>
      <w:szCs w:val="20"/>
    </w:rPr>
  </w:style>
  <w:style w:type="character" w:customStyle="1" w:styleId="FootnoteTextChar1">
    <w:name w:val="Footnote Text Char1"/>
    <w:basedOn w:val="DefaultParagraphFont"/>
    <w:link w:val="FootnoteText"/>
    <w:uiPriority w:val="99"/>
    <w:rsid w:val="000C5685"/>
    <w:rPr>
      <w:rFonts w:ascii="Calibri" w:hAnsi="Calibri" w:cs="Calibri"/>
      <w:lang w:val="en-US"/>
    </w:rPr>
  </w:style>
  <w:style w:type="paragraph" w:customStyle="1" w:styleId="BalloonText1">
    <w:name w:val="Balloon Text1"/>
    <w:basedOn w:val="Normal"/>
    <w:uiPriority w:val="99"/>
    <w:rsid w:val="003E6F94"/>
    <w:pPr>
      <w:spacing w:after="0" w:line="240" w:lineRule="auto"/>
    </w:pPr>
    <w:rPr>
      <w:rFonts w:ascii="Tahoma" w:hAnsi="Tahoma" w:cs="Tahoma"/>
      <w:sz w:val="16"/>
      <w:szCs w:val="16"/>
    </w:rPr>
  </w:style>
  <w:style w:type="paragraph" w:customStyle="1" w:styleId="CommentText1">
    <w:name w:val="Comment Text1"/>
    <w:basedOn w:val="Normal"/>
    <w:uiPriority w:val="99"/>
    <w:rsid w:val="003E6F94"/>
    <w:rPr>
      <w:sz w:val="20"/>
      <w:szCs w:val="20"/>
    </w:rPr>
  </w:style>
  <w:style w:type="paragraph" w:customStyle="1" w:styleId="CommentSubject1">
    <w:name w:val="Comment Subject1"/>
    <w:basedOn w:val="CommentText1"/>
    <w:next w:val="CommentText1"/>
    <w:uiPriority w:val="99"/>
    <w:rsid w:val="003E6F94"/>
    <w:rPr>
      <w:b/>
      <w:bCs/>
    </w:rPr>
  </w:style>
  <w:style w:type="paragraph" w:customStyle="1" w:styleId="NormalWeb1">
    <w:name w:val="Normal (Web)1"/>
    <w:basedOn w:val="Normal"/>
    <w:uiPriority w:val="99"/>
    <w:rsid w:val="003E6F94"/>
    <w:pPr>
      <w:spacing w:before="280" w:after="280" w:line="240" w:lineRule="auto"/>
    </w:pPr>
    <w:rPr>
      <w:sz w:val="24"/>
      <w:szCs w:val="24"/>
      <w:lang w:val="en-US" w:eastAsia="ar-SA"/>
    </w:rPr>
  </w:style>
  <w:style w:type="paragraph" w:customStyle="1" w:styleId="listparagraph0">
    <w:name w:val="listparagraph"/>
    <w:basedOn w:val="Normal"/>
    <w:uiPriority w:val="99"/>
    <w:rsid w:val="003E6F94"/>
    <w:pPr>
      <w:spacing w:before="280" w:after="280" w:line="240" w:lineRule="auto"/>
    </w:pPr>
    <w:rPr>
      <w:sz w:val="24"/>
      <w:szCs w:val="24"/>
      <w:lang w:eastAsia="ar-SA"/>
    </w:rPr>
  </w:style>
  <w:style w:type="paragraph" w:customStyle="1" w:styleId="TabellenInhalt">
    <w:name w:val="Tabellen Inhalt"/>
    <w:basedOn w:val="Normal"/>
    <w:uiPriority w:val="99"/>
    <w:rsid w:val="003E6F94"/>
    <w:pPr>
      <w:suppressLineNumbers/>
    </w:pPr>
  </w:style>
  <w:style w:type="paragraph" w:customStyle="1" w:styleId="Tabellenberschrift">
    <w:name w:val="Tabellen Überschrift"/>
    <w:basedOn w:val="TabellenInhalt"/>
    <w:uiPriority w:val="99"/>
    <w:rsid w:val="003E6F94"/>
    <w:pPr>
      <w:jc w:val="center"/>
    </w:pPr>
    <w:rPr>
      <w:b/>
      <w:bCs/>
    </w:rPr>
  </w:style>
  <w:style w:type="paragraph" w:customStyle="1" w:styleId="Rahmeninhalt">
    <w:name w:val="Rahmeninhalt"/>
    <w:basedOn w:val="BodyText"/>
    <w:uiPriority w:val="99"/>
    <w:rsid w:val="003E6F94"/>
  </w:style>
  <w:style w:type="character" w:styleId="CommentReference">
    <w:name w:val="annotation reference"/>
    <w:basedOn w:val="DefaultParagraphFont"/>
    <w:uiPriority w:val="99"/>
    <w:semiHidden/>
    <w:rsid w:val="00AF7641"/>
    <w:rPr>
      <w:rFonts w:cs="Times New Roman"/>
      <w:sz w:val="16"/>
    </w:rPr>
  </w:style>
  <w:style w:type="paragraph" w:styleId="CommentText">
    <w:name w:val="annotation text"/>
    <w:basedOn w:val="Normal"/>
    <w:link w:val="CommentTextChar"/>
    <w:uiPriority w:val="99"/>
    <w:semiHidden/>
    <w:rsid w:val="00AF7641"/>
    <w:rPr>
      <w:sz w:val="20"/>
      <w:szCs w:val="20"/>
    </w:rPr>
  </w:style>
  <w:style w:type="character" w:customStyle="1" w:styleId="CommentTextChar">
    <w:name w:val="Comment Text Char"/>
    <w:basedOn w:val="DefaultParagraphFont"/>
    <w:link w:val="CommentText"/>
    <w:uiPriority w:val="99"/>
    <w:semiHidden/>
    <w:rsid w:val="000044D8"/>
    <w:rPr>
      <w:rFonts w:ascii="Myriad Pro SemiCond" w:hAnsi="Myriad Pro SemiCond" w:cs="Calibri"/>
      <w:sz w:val="24"/>
      <w:szCs w:val="24"/>
    </w:rPr>
  </w:style>
  <w:style w:type="paragraph" w:styleId="CommentSubject">
    <w:name w:val="annotation subject"/>
    <w:basedOn w:val="CommentText"/>
    <w:next w:val="CommentText"/>
    <w:link w:val="CommentSubjectChar"/>
    <w:uiPriority w:val="99"/>
    <w:semiHidden/>
    <w:rsid w:val="00AF7641"/>
    <w:rPr>
      <w:b/>
      <w:bCs/>
    </w:rPr>
  </w:style>
  <w:style w:type="character" w:customStyle="1" w:styleId="CommentSubjectChar">
    <w:name w:val="Comment Subject Char"/>
    <w:basedOn w:val="CommentTextChar"/>
    <w:link w:val="CommentSubject"/>
    <w:uiPriority w:val="99"/>
    <w:semiHidden/>
    <w:rsid w:val="000044D8"/>
    <w:rPr>
      <w:rFonts w:ascii="Myriad Pro SemiCond" w:hAnsi="Myriad Pro SemiCond" w:cs="Calibri"/>
      <w:b/>
      <w:bCs/>
      <w:sz w:val="24"/>
      <w:szCs w:val="24"/>
    </w:rPr>
  </w:style>
  <w:style w:type="paragraph" w:styleId="BalloonText">
    <w:name w:val="Balloon Text"/>
    <w:basedOn w:val="Normal"/>
    <w:link w:val="BalloonTextChar1"/>
    <w:uiPriority w:val="99"/>
    <w:semiHidden/>
    <w:rsid w:val="00AF7641"/>
    <w:rPr>
      <w:rFonts w:ascii="Tahoma" w:hAnsi="Tahoma" w:cs="Tahoma"/>
      <w:sz w:val="16"/>
      <w:szCs w:val="16"/>
    </w:rPr>
  </w:style>
  <w:style w:type="character" w:customStyle="1" w:styleId="BalloonTextChar1">
    <w:name w:val="Balloon Text Char1"/>
    <w:basedOn w:val="DefaultParagraphFont"/>
    <w:link w:val="BalloonText"/>
    <w:uiPriority w:val="99"/>
    <w:semiHidden/>
    <w:rsid w:val="000044D8"/>
    <w:rPr>
      <w:rFonts w:ascii="Lucida Grande" w:hAnsi="Lucida Grande" w:cs="Calibri"/>
      <w:sz w:val="18"/>
      <w:szCs w:val="18"/>
    </w:rPr>
  </w:style>
  <w:style w:type="character" w:styleId="FootnoteReference">
    <w:name w:val="footnote reference"/>
    <w:basedOn w:val="DefaultParagraphFont"/>
    <w:uiPriority w:val="99"/>
    <w:rsid w:val="00AF7641"/>
    <w:rPr>
      <w:rFonts w:cs="Times New Roman"/>
      <w:vertAlign w:val="superscript"/>
    </w:rPr>
  </w:style>
  <w:style w:type="paragraph" w:customStyle="1" w:styleId="Abbreviations">
    <w:name w:val="Abbreviations"/>
    <w:basedOn w:val="Normal"/>
    <w:link w:val="AbbreviationsChar"/>
    <w:qFormat/>
    <w:rsid w:val="00263937"/>
    <w:pPr>
      <w:spacing w:after="0"/>
    </w:pPr>
    <w:rPr>
      <w:rFonts w:ascii="Calibri" w:hAnsi="Calibri"/>
      <w:lang w:eastAsia="x-none" w:bidi="en-US"/>
    </w:rPr>
  </w:style>
  <w:style w:type="character" w:customStyle="1" w:styleId="AbbreviationsChar">
    <w:name w:val="Abbreviations Char"/>
    <w:link w:val="Abbreviations"/>
    <w:rsid w:val="00263937"/>
    <w:rPr>
      <w:rFonts w:ascii="Calibri" w:hAnsi="Calibri" w:cs="Calibri"/>
      <w:sz w:val="22"/>
      <w:szCs w:val="22"/>
      <w:lang w:eastAsia="x-none" w:bidi="en-US"/>
    </w:rPr>
  </w:style>
  <w:style w:type="character" w:customStyle="1" w:styleId="Heading1Char1">
    <w:name w:val="Heading 1 Char1"/>
    <w:uiPriority w:val="99"/>
    <w:locked/>
    <w:rsid w:val="003F2CA5"/>
    <w:rPr>
      <w:rFonts w:ascii="Myriad Pro" w:hAnsi="Myriad Pro"/>
      <w:color w:val="365F91"/>
      <w:sz w:val="28"/>
      <w:szCs w:val="28"/>
      <w:lang w:val="en-GB"/>
    </w:rPr>
  </w:style>
  <w:style w:type="character" w:customStyle="1" w:styleId="TableTitle">
    <w:name w:val="Table Title"/>
    <w:uiPriority w:val="21"/>
    <w:qFormat/>
    <w:rsid w:val="006B163E"/>
    <w:rPr>
      <w:b/>
      <w:bCs/>
      <w:i/>
      <w:iCs/>
      <w:color w:val="4F81BD"/>
    </w:rPr>
  </w:style>
  <w:style w:type="table" w:styleId="LightList-Accent1">
    <w:name w:val="Light List Accent 1"/>
    <w:basedOn w:val="TableNormal"/>
    <w:uiPriority w:val="61"/>
    <w:rsid w:val="006B163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qFormat/>
    <w:rsid w:val="009A34B5"/>
    <w:pPr>
      <w:pBdr>
        <w:bottom w:val="dashSmallGap" w:sz="4" w:space="1" w:color="auto"/>
      </w:pBdr>
      <w:spacing w:before="120" w:after="0"/>
    </w:pPr>
    <w:rPr>
      <w:rFonts w:asciiTheme="minorHAnsi" w:hAnsiTheme="minorHAnsi"/>
      <w:b/>
      <w:bCs/>
      <w:sz w:val="24"/>
      <w:szCs w:val="24"/>
    </w:rPr>
  </w:style>
  <w:style w:type="paragraph" w:styleId="TOC2">
    <w:name w:val="toc 2"/>
    <w:basedOn w:val="Normal"/>
    <w:next w:val="Normal"/>
    <w:autoRedefine/>
    <w:uiPriority w:val="39"/>
    <w:unhideWhenUsed/>
    <w:qFormat/>
    <w:rsid w:val="00437F80"/>
    <w:pPr>
      <w:tabs>
        <w:tab w:val="right" w:pos="9495"/>
      </w:tabs>
      <w:spacing w:after="0"/>
      <w:ind w:left="220"/>
    </w:pPr>
    <w:rPr>
      <w:rFonts w:asciiTheme="minorHAnsi" w:hAnsiTheme="minorHAnsi"/>
      <w:b/>
      <w:bCs/>
    </w:rPr>
  </w:style>
  <w:style w:type="paragraph" w:styleId="TOC3">
    <w:name w:val="toc 3"/>
    <w:basedOn w:val="Normal"/>
    <w:next w:val="Normal"/>
    <w:autoRedefine/>
    <w:uiPriority w:val="39"/>
    <w:unhideWhenUsed/>
    <w:qFormat/>
    <w:rsid w:val="00873A95"/>
    <w:pPr>
      <w:tabs>
        <w:tab w:val="right" w:pos="9495"/>
      </w:tabs>
      <w:spacing w:after="0"/>
      <w:ind w:left="440"/>
    </w:pPr>
    <w:rPr>
      <w:rFonts w:asciiTheme="minorHAnsi" w:hAnsiTheme="minorHAnsi"/>
    </w:rPr>
  </w:style>
  <w:style w:type="paragraph" w:styleId="TOC4">
    <w:name w:val="toc 4"/>
    <w:basedOn w:val="Normal"/>
    <w:next w:val="Normal"/>
    <w:autoRedefine/>
    <w:uiPriority w:val="39"/>
    <w:unhideWhenUsed/>
    <w:rsid w:val="007E1A89"/>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7E1A89"/>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7E1A89"/>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7E1A89"/>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7E1A89"/>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7E1A89"/>
    <w:pPr>
      <w:spacing w:after="0"/>
      <w:ind w:left="1760"/>
    </w:pPr>
    <w:rPr>
      <w:rFonts w:asciiTheme="minorHAnsi" w:hAnsiTheme="minorHAnsi"/>
      <w:sz w:val="20"/>
      <w:szCs w:val="20"/>
    </w:rPr>
  </w:style>
  <w:style w:type="numbering" w:customStyle="1" w:styleId="NoList1">
    <w:name w:val="No List1"/>
    <w:next w:val="NoList"/>
    <w:uiPriority w:val="99"/>
    <w:semiHidden/>
    <w:unhideWhenUsed/>
    <w:rsid w:val="00743FAE"/>
  </w:style>
  <w:style w:type="character" w:customStyle="1" w:styleId="Heading2Char2">
    <w:name w:val="Heading 2 Char2"/>
    <w:basedOn w:val="DefaultParagraphFont"/>
    <w:uiPriority w:val="99"/>
    <w:rsid w:val="00743FAE"/>
    <w:rPr>
      <w:rFonts w:ascii="Myriad Pro SemiCond" w:hAnsi="Myriad Pro SemiCond"/>
      <w:b/>
      <w:bCs/>
      <w:color w:val="4F81BD"/>
      <w:sz w:val="26"/>
      <w:szCs w:val="26"/>
      <w:lang w:val="en-GB" w:eastAsia="en-US" w:bidi="en-US"/>
    </w:rPr>
  </w:style>
  <w:style w:type="paragraph" w:styleId="Caption">
    <w:name w:val="caption"/>
    <w:basedOn w:val="Normal"/>
    <w:next w:val="Normal"/>
    <w:autoRedefine/>
    <w:uiPriority w:val="35"/>
    <w:qFormat/>
    <w:rsid w:val="007906D4"/>
    <w:pPr>
      <w:keepNext/>
      <w:keepLines/>
      <w:widowControl/>
      <w:suppressAutoHyphens w:val="0"/>
      <w:spacing w:after="240" w:line="240" w:lineRule="auto"/>
    </w:pPr>
    <w:rPr>
      <w:rFonts w:cs="Times New Roman"/>
      <w:b/>
      <w:bCs/>
      <w:color w:val="1F497D" w:themeColor="text2"/>
      <w:szCs w:val="18"/>
      <w:lang w:bidi="en-US"/>
    </w:rPr>
  </w:style>
  <w:style w:type="character" w:styleId="FollowedHyperlink">
    <w:name w:val="FollowedHyperlink"/>
    <w:basedOn w:val="DefaultParagraphFont"/>
    <w:uiPriority w:val="99"/>
    <w:rsid w:val="00743FAE"/>
    <w:rPr>
      <w:color w:val="606420"/>
      <w:u w:val="single"/>
    </w:rPr>
  </w:style>
  <w:style w:type="character" w:styleId="PageNumber">
    <w:name w:val="page number"/>
    <w:basedOn w:val="DefaultParagraphFont"/>
    <w:rsid w:val="00743FAE"/>
  </w:style>
  <w:style w:type="character" w:customStyle="1" w:styleId="text">
    <w:name w:val="text"/>
    <w:basedOn w:val="DefaultParagraphFont"/>
    <w:rsid w:val="00743FAE"/>
  </w:style>
  <w:style w:type="character" w:customStyle="1" w:styleId="CommentTextChar1">
    <w:name w:val="Comment Text Char1"/>
    <w:basedOn w:val="DefaultParagraphFont"/>
    <w:uiPriority w:val="99"/>
    <w:semiHidden/>
    <w:rsid w:val="00743FAE"/>
    <w:rPr>
      <w:rFonts w:ascii="Myriad Pro SemiCond" w:hAnsi="Myriad Pro SemiCond"/>
      <w:lang w:val="en-GB" w:eastAsia="en-US" w:bidi="en-US"/>
    </w:rPr>
  </w:style>
  <w:style w:type="character" w:customStyle="1" w:styleId="CommentSubjectChar1">
    <w:name w:val="Comment Subject Char1"/>
    <w:basedOn w:val="CommentTextChar1"/>
    <w:uiPriority w:val="99"/>
    <w:semiHidden/>
    <w:rsid w:val="00743FAE"/>
    <w:rPr>
      <w:rFonts w:ascii="Myriad Pro SemiCond" w:hAnsi="Myriad Pro SemiCond"/>
      <w:lang w:val="en-GB" w:eastAsia="en-US" w:bidi="en-US"/>
    </w:rPr>
  </w:style>
  <w:style w:type="paragraph" w:customStyle="1" w:styleId="ListBullet1">
    <w:name w:val="List Bullet1"/>
    <w:basedOn w:val="Normal"/>
    <w:rsid w:val="00743FAE"/>
    <w:pPr>
      <w:widowControl/>
      <w:numPr>
        <w:numId w:val="1"/>
      </w:numPr>
      <w:suppressAutoHyphens w:val="0"/>
      <w:spacing w:after="60"/>
    </w:pPr>
    <w:rPr>
      <w:rFonts w:ascii="Arial" w:hAnsi="Arial" w:cs="Times New Roman"/>
      <w:sz w:val="20"/>
      <w:szCs w:val="20"/>
      <w:lang w:val="en-US" w:bidi="en-US"/>
    </w:rPr>
  </w:style>
  <w:style w:type="character" w:customStyle="1" w:styleId="a1">
    <w:name w:val="a1"/>
    <w:basedOn w:val="DefaultParagraphFont"/>
    <w:rsid w:val="00743FAE"/>
    <w:rPr>
      <w:color w:val="008000"/>
    </w:rPr>
  </w:style>
  <w:style w:type="table" w:customStyle="1" w:styleId="MediumList1-Accent11">
    <w:name w:val="Medium List 1 - Accent 11"/>
    <w:basedOn w:val="TableNormal"/>
    <w:uiPriority w:val="65"/>
    <w:rsid w:val="00743FAE"/>
    <w:rPr>
      <w:rFonts w:ascii="Calibri" w:hAnsi="Calibri"/>
      <w:color w:val="000000"/>
      <w:lang w:val="nb-NO" w:eastAsia="nb-NO"/>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styleId="HTMLPreformatted">
    <w:name w:val="HTML Preformatted"/>
    <w:basedOn w:val="Normal"/>
    <w:link w:val="HTMLPreformattedChar"/>
    <w:rsid w:val="00743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4"/>
      <w:szCs w:val="24"/>
      <w:lang w:val="en-US"/>
    </w:rPr>
  </w:style>
  <w:style w:type="character" w:customStyle="1" w:styleId="HTMLPreformattedChar">
    <w:name w:val="HTML Preformatted Char"/>
    <w:basedOn w:val="DefaultParagraphFont"/>
    <w:link w:val="HTMLPreformatted"/>
    <w:rsid w:val="00743FAE"/>
    <w:rPr>
      <w:rFonts w:ascii="Courier New" w:hAnsi="Courier New" w:cs="Courier New"/>
      <w:sz w:val="24"/>
      <w:szCs w:val="24"/>
      <w:lang w:val="en-US"/>
    </w:rPr>
  </w:style>
  <w:style w:type="character" w:styleId="HTMLTypewriter">
    <w:name w:val="HTML Typewriter"/>
    <w:basedOn w:val="DefaultParagraphFont"/>
    <w:rsid w:val="00743FAE"/>
    <w:rPr>
      <w:rFonts w:ascii="Courier New" w:eastAsia="Times New Roman" w:hAnsi="Courier New" w:cs="Courier New"/>
      <w:sz w:val="20"/>
      <w:szCs w:val="20"/>
    </w:rPr>
  </w:style>
  <w:style w:type="table" w:customStyle="1" w:styleId="LightList-Accent11">
    <w:name w:val="Light List - Accent 11"/>
    <w:basedOn w:val="TableNormal"/>
    <w:uiPriority w:val="61"/>
    <w:rsid w:val="00743FAE"/>
    <w:rPr>
      <w:rFonts w:ascii="Calibri" w:hAnsi="Calibri"/>
      <w:lang w:val="nb-NO" w:eastAsia="nb-N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tyle1">
    <w:name w:val="Style1"/>
    <w:basedOn w:val="LightList-Accent11"/>
    <w:rsid w:val="00743FAE"/>
    <w:rPr>
      <w:rFonts w:ascii="Myriad Pro SemiCond" w:hAnsi="Myriad Pro SemiCond"/>
    </w:rP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Grid">
    <w:name w:val="Table Grid"/>
    <w:basedOn w:val="TableNormal"/>
    <w:uiPriority w:val="59"/>
    <w:rsid w:val="00743FAE"/>
    <w:rPr>
      <w:rFonts w:ascii="Calibri" w:hAnsi="Calibri"/>
      <w:lang w:val="nb-NO"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basedOn w:val="Normal"/>
    <w:rsid w:val="00743FAE"/>
    <w:pPr>
      <w:widowControl/>
      <w:suppressAutoHyphens w:val="0"/>
      <w:spacing w:after="0"/>
    </w:pPr>
    <w:rPr>
      <w:rFonts w:cs="Times New Roman"/>
      <w:sz w:val="20"/>
      <w:szCs w:val="20"/>
      <w:lang w:val="nb-NO" w:eastAsia="nb-NO"/>
    </w:rPr>
  </w:style>
  <w:style w:type="paragraph" w:styleId="NormalWeb">
    <w:name w:val="Normal (Web)"/>
    <w:basedOn w:val="Normal"/>
    <w:uiPriority w:val="99"/>
    <w:rsid w:val="00743FAE"/>
    <w:pPr>
      <w:widowControl/>
      <w:suppressAutoHyphens w:val="0"/>
      <w:spacing w:before="100" w:beforeAutospacing="1" w:after="100" w:afterAutospacing="1" w:line="240" w:lineRule="auto"/>
    </w:pPr>
    <w:rPr>
      <w:rFonts w:eastAsia="Calibri" w:cs="Times New Roman"/>
      <w:sz w:val="24"/>
      <w:szCs w:val="24"/>
      <w:lang w:val="en-US"/>
    </w:rPr>
  </w:style>
  <w:style w:type="paragraph" w:styleId="Revision">
    <w:name w:val="Revision"/>
    <w:hidden/>
    <w:uiPriority w:val="99"/>
    <w:semiHidden/>
    <w:rsid w:val="00743FAE"/>
    <w:rPr>
      <w:rFonts w:ascii="Myriad Pro SemiCond" w:hAnsi="Myriad Pro SemiCond"/>
      <w:sz w:val="22"/>
      <w:szCs w:val="22"/>
      <w:lang w:bidi="en-US"/>
    </w:rPr>
  </w:style>
  <w:style w:type="paragraph" w:styleId="PlainText">
    <w:name w:val="Plain Text"/>
    <w:basedOn w:val="Normal"/>
    <w:link w:val="PlainTextChar"/>
    <w:uiPriority w:val="99"/>
    <w:semiHidden/>
    <w:unhideWhenUsed/>
    <w:rsid w:val="00743FAE"/>
    <w:pPr>
      <w:widowControl/>
      <w:suppressAutoHyphens w:val="0"/>
      <w:spacing w:after="0" w:line="240" w:lineRule="auto"/>
    </w:pPr>
    <w:rPr>
      <w:rFonts w:ascii="Calibri" w:hAnsi="Calibri" w:cs="Times New Roman"/>
      <w:sz w:val="20"/>
      <w:szCs w:val="21"/>
    </w:rPr>
  </w:style>
  <w:style w:type="character" w:customStyle="1" w:styleId="PlainTextChar">
    <w:name w:val="Plain Text Char"/>
    <w:basedOn w:val="DefaultParagraphFont"/>
    <w:link w:val="PlainText"/>
    <w:uiPriority w:val="99"/>
    <w:semiHidden/>
    <w:rsid w:val="00743FAE"/>
    <w:rPr>
      <w:rFonts w:ascii="Calibri" w:hAnsi="Calibri"/>
      <w:szCs w:val="21"/>
    </w:rPr>
  </w:style>
  <w:style w:type="paragraph" w:styleId="ListBullet">
    <w:name w:val="List Bullet"/>
    <w:basedOn w:val="Normal"/>
    <w:uiPriority w:val="99"/>
    <w:unhideWhenUsed/>
    <w:rsid w:val="00743FAE"/>
    <w:pPr>
      <w:widowControl/>
      <w:numPr>
        <w:numId w:val="2"/>
      </w:numPr>
      <w:suppressAutoHyphens w:val="0"/>
      <w:contextualSpacing/>
    </w:pPr>
    <w:rPr>
      <w:rFonts w:cs="Times New Roman"/>
      <w:sz w:val="20"/>
      <w:lang w:bidi="en-US"/>
    </w:rPr>
  </w:style>
  <w:style w:type="paragraph" w:styleId="ListBullet2">
    <w:name w:val="List Bullet 2"/>
    <w:basedOn w:val="Normal"/>
    <w:uiPriority w:val="99"/>
    <w:unhideWhenUsed/>
    <w:rsid w:val="00743FAE"/>
    <w:pPr>
      <w:widowControl/>
      <w:numPr>
        <w:numId w:val="3"/>
      </w:numPr>
      <w:suppressAutoHyphens w:val="0"/>
      <w:contextualSpacing/>
    </w:pPr>
    <w:rPr>
      <w:rFonts w:cs="Times New Roman"/>
      <w:sz w:val="20"/>
      <w:lang w:bidi="en-US"/>
    </w:rPr>
  </w:style>
  <w:style w:type="character" w:customStyle="1" w:styleId="BodyTextChar1">
    <w:name w:val="Body Text Char1"/>
    <w:basedOn w:val="DefaultParagraphFont"/>
    <w:uiPriority w:val="99"/>
    <w:rsid w:val="00743FAE"/>
    <w:rPr>
      <w:rFonts w:ascii="Myriad Pro SemiCond" w:hAnsi="Myriad Pro SemiCond"/>
      <w:szCs w:val="22"/>
      <w:lang w:val="en-GB" w:eastAsia="en-US" w:bidi="en-US"/>
    </w:rPr>
  </w:style>
  <w:style w:type="paragraph" w:styleId="BodyTextIndent">
    <w:name w:val="Body Text Indent"/>
    <w:basedOn w:val="Normal"/>
    <w:link w:val="BodyTextIndentChar"/>
    <w:uiPriority w:val="99"/>
    <w:semiHidden/>
    <w:unhideWhenUsed/>
    <w:rsid w:val="00743FAE"/>
    <w:pPr>
      <w:widowControl/>
      <w:suppressAutoHyphens w:val="0"/>
      <w:ind w:left="360"/>
    </w:pPr>
    <w:rPr>
      <w:rFonts w:cs="Times New Roman"/>
      <w:sz w:val="20"/>
      <w:lang w:bidi="en-US"/>
    </w:rPr>
  </w:style>
  <w:style w:type="character" w:customStyle="1" w:styleId="BodyTextIndentChar">
    <w:name w:val="Body Text Indent Char"/>
    <w:basedOn w:val="DefaultParagraphFont"/>
    <w:link w:val="BodyTextIndent"/>
    <w:uiPriority w:val="99"/>
    <w:semiHidden/>
    <w:rsid w:val="00743FAE"/>
    <w:rPr>
      <w:rFonts w:ascii="Myriad Pro SemiCond" w:hAnsi="Myriad Pro SemiCond"/>
      <w:szCs w:val="22"/>
      <w:lang w:bidi="en-US"/>
    </w:rPr>
  </w:style>
  <w:style w:type="paragraph" w:styleId="BodyTextFirstIndent2">
    <w:name w:val="Body Text First Indent 2"/>
    <w:basedOn w:val="BodyTextIndent"/>
    <w:link w:val="BodyTextFirstIndent2Char"/>
    <w:uiPriority w:val="99"/>
    <w:unhideWhenUsed/>
    <w:rsid w:val="00743FAE"/>
    <w:pPr>
      <w:ind w:firstLine="210"/>
    </w:pPr>
  </w:style>
  <w:style w:type="character" w:customStyle="1" w:styleId="BodyTextFirstIndent2Char">
    <w:name w:val="Body Text First Indent 2 Char"/>
    <w:basedOn w:val="BodyTextIndentChar"/>
    <w:link w:val="BodyTextFirstIndent2"/>
    <w:uiPriority w:val="99"/>
    <w:rsid w:val="00743FAE"/>
    <w:rPr>
      <w:rFonts w:ascii="Myriad Pro SemiCond" w:hAnsi="Myriad Pro SemiCond"/>
      <w:szCs w:val="22"/>
      <w:lang w:bidi="en-US"/>
    </w:rPr>
  </w:style>
  <w:style w:type="character" w:customStyle="1" w:styleId="Heading2Char1">
    <w:name w:val="Heading 2 Char1"/>
    <w:basedOn w:val="DefaultParagraphFont"/>
    <w:locked/>
    <w:rsid w:val="00743FAE"/>
    <w:rPr>
      <w:rFonts w:ascii="Myriad Pro SemiCond" w:hAnsi="Myriad Pro SemiCond"/>
      <w:b/>
      <w:bCs/>
      <w:color w:val="4F81BD"/>
      <w:sz w:val="26"/>
      <w:szCs w:val="26"/>
      <w:lang w:val="en-GB" w:eastAsia="en-US" w:bidi="ar-SA"/>
    </w:rPr>
  </w:style>
  <w:style w:type="character" w:customStyle="1" w:styleId="bodytext1">
    <w:name w:val="bodytext1"/>
    <w:basedOn w:val="DefaultParagraphFont"/>
    <w:rsid w:val="00743FAE"/>
    <w:rPr>
      <w:rFonts w:ascii="Tahoma" w:hAnsi="Tahoma" w:cs="Tahoma" w:hint="default"/>
      <w:sz w:val="18"/>
      <w:szCs w:val="18"/>
    </w:rPr>
  </w:style>
  <w:style w:type="table" w:customStyle="1" w:styleId="LightShading1">
    <w:name w:val="Light Shading1"/>
    <w:basedOn w:val="TableNormal"/>
    <w:uiPriority w:val="60"/>
    <w:rsid w:val="00743FAE"/>
    <w:rPr>
      <w:rFonts w:ascii="Calibri" w:hAnsi="Calibri"/>
      <w:color w:val="000000"/>
      <w:lang w:val="nb-NO" w:eastAsia="nb-N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basedOn w:val="DefaultParagraphFont"/>
    <w:rsid w:val="00B86EA7"/>
  </w:style>
  <w:style w:type="character" w:customStyle="1" w:styleId="SubtleEmphasis1">
    <w:name w:val="Subtle Emphasis1"/>
    <w:uiPriority w:val="99"/>
    <w:rsid w:val="009A38A3"/>
    <w:rPr>
      <w:rFonts w:cs="Times New Roman"/>
      <w:i/>
      <w:iCs/>
      <w:color w:val="808080"/>
    </w:rPr>
  </w:style>
  <w:style w:type="character" w:customStyle="1" w:styleId="IntenseEmphasis1">
    <w:name w:val="Intense Emphasis1"/>
    <w:uiPriority w:val="99"/>
    <w:rsid w:val="009A38A3"/>
    <w:rPr>
      <w:rFonts w:cs="Times New Roman"/>
      <w:b/>
      <w:bCs/>
      <w:i/>
      <w:iCs/>
      <w:color w:val="4F81BD"/>
    </w:rPr>
  </w:style>
  <w:style w:type="character" w:customStyle="1" w:styleId="SubtleReference1">
    <w:name w:val="Subtle Reference1"/>
    <w:uiPriority w:val="99"/>
    <w:rsid w:val="009A38A3"/>
    <w:rPr>
      <w:rFonts w:cs="Times New Roman"/>
      <w:smallCaps/>
      <w:color w:val="C0504D"/>
      <w:u w:val="single"/>
    </w:rPr>
  </w:style>
  <w:style w:type="character" w:customStyle="1" w:styleId="IntenseReference1">
    <w:name w:val="Intense Reference1"/>
    <w:uiPriority w:val="99"/>
    <w:rsid w:val="009A38A3"/>
    <w:rPr>
      <w:rFonts w:cs="Times New Roman"/>
      <w:b/>
      <w:bCs/>
      <w:smallCaps/>
      <w:color w:val="C0504D"/>
      <w:spacing w:val="5"/>
      <w:u w:val="single"/>
    </w:rPr>
  </w:style>
  <w:style w:type="character" w:customStyle="1" w:styleId="BookTitle1">
    <w:name w:val="Book Title1"/>
    <w:uiPriority w:val="99"/>
    <w:rsid w:val="009A38A3"/>
    <w:rPr>
      <w:rFonts w:cs="Times New Roman"/>
      <w:b/>
      <w:bCs/>
      <w:smallCaps/>
      <w:spacing w:val="5"/>
    </w:rPr>
  </w:style>
  <w:style w:type="paragraph" w:customStyle="1" w:styleId="MediumGrid22">
    <w:name w:val="Medium Grid 22"/>
    <w:uiPriority w:val="99"/>
    <w:semiHidden/>
    <w:qFormat/>
    <w:rsid w:val="009A38A3"/>
    <w:pPr>
      <w:widowControl w:val="0"/>
      <w:suppressAutoHyphens/>
    </w:pPr>
    <w:rPr>
      <w:rFonts w:ascii="Calibri" w:hAnsi="Calibri" w:cs="Calibri"/>
      <w:sz w:val="22"/>
      <w:szCs w:val="22"/>
      <w:lang w:val="en-US"/>
    </w:rPr>
  </w:style>
  <w:style w:type="paragraph" w:customStyle="1" w:styleId="ColorfulList-Accent11">
    <w:name w:val="Colorful List - Accent 11"/>
    <w:basedOn w:val="Normal"/>
    <w:uiPriority w:val="99"/>
    <w:qFormat/>
    <w:rsid w:val="009A38A3"/>
    <w:pPr>
      <w:ind w:left="720"/>
    </w:pPr>
  </w:style>
  <w:style w:type="paragraph" w:customStyle="1" w:styleId="ColorfulGrid-Accent11">
    <w:name w:val="Colorful Grid - Accent 11"/>
    <w:basedOn w:val="Normal"/>
    <w:next w:val="Normal"/>
    <w:link w:val="ColorfulGrid-Accent1Char"/>
    <w:uiPriority w:val="99"/>
    <w:rsid w:val="009A38A3"/>
    <w:pPr>
      <w:ind w:left="720"/>
    </w:pPr>
    <w:rPr>
      <w:rFonts w:ascii="Myriad Pro Light SemiCond" w:hAnsi="Myriad Pro Light SemiCond"/>
      <w:i/>
      <w:iCs/>
      <w:color w:val="000000"/>
    </w:rPr>
  </w:style>
  <w:style w:type="character" w:customStyle="1" w:styleId="ColorfulGrid-Accent1Char">
    <w:name w:val="Colorful Grid - Accent 1 Char"/>
    <w:link w:val="ColorfulGrid-Accent11"/>
    <w:uiPriority w:val="99"/>
    <w:rsid w:val="009A38A3"/>
    <w:rPr>
      <w:rFonts w:ascii="Myriad Pro Light SemiCond" w:hAnsi="Myriad Pro Light SemiCond" w:cs="Calibri"/>
      <w:i/>
      <w:iCs/>
      <w:color w:val="000000"/>
      <w:sz w:val="22"/>
      <w:szCs w:val="22"/>
    </w:rPr>
  </w:style>
  <w:style w:type="paragraph" w:customStyle="1" w:styleId="LightShading-Accent21">
    <w:name w:val="Light Shading - Accent 21"/>
    <w:basedOn w:val="Normal"/>
    <w:next w:val="Normal"/>
    <w:link w:val="LightShading-Accent2Char"/>
    <w:uiPriority w:val="99"/>
    <w:rsid w:val="009A38A3"/>
    <w:pPr>
      <w:pBdr>
        <w:bottom w:val="single" w:sz="4" w:space="4" w:color="FFFF00"/>
      </w:pBdr>
      <w:spacing w:before="200" w:after="280"/>
      <w:ind w:left="936" w:right="936"/>
    </w:pPr>
    <w:rPr>
      <w:b/>
      <w:bCs/>
      <w:i/>
      <w:iCs/>
      <w:color w:val="4F81BD"/>
    </w:rPr>
  </w:style>
  <w:style w:type="character" w:customStyle="1" w:styleId="LightShading-Accent2Char">
    <w:name w:val="Light Shading - Accent 2 Char"/>
    <w:link w:val="LightShading-Accent21"/>
    <w:uiPriority w:val="99"/>
    <w:rsid w:val="009A38A3"/>
    <w:rPr>
      <w:rFonts w:ascii="Myriad Pro SemiCond" w:hAnsi="Myriad Pro SemiCond" w:cs="Calibri"/>
      <w:b/>
      <w:bCs/>
      <w:i/>
      <w:iCs/>
      <w:color w:val="4F81BD"/>
      <w:sz w:val="22"/>
      <w:szCs w:val="22"/>
    </w:rPr>
  </w:style>
  <w:style w:type="paragraph" w:customStyle="1" w:styleId="TOCHeading1">
    <w:name w:val="TOC Heading1"/>
    <w:basedOn w:val="Heading1"/>
    <w:next w:val="Normal"/>
    <w:uiPriority w:val="39"/>
    <w:qFormat/>
    <w:rsid w:val="009A38A3"/>
    <w:pPr>
      <w:outlineLvl w:val="9"/>
    </w:pPr>
  </w:style>
  <w:style w:type="table" w:styleId="LightList-Accent2">
    <w:name w:val="Light List Accent 2"/>
    <w:basedOn w:val="TableNormal"/>
    <w:uiPriority w:val="61"/>
    <w:rsid w:val="009A38A3"/>
    <w:rPr>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msolistparagraph0">
    <w:name w:val="msolistparagraph"/>
    <w:basedOn w:val="Normal"/>
    <w:rsid w:val="009A38A3"/>
    <w:pPr>
      <w:widowControl/>
      <w:suppressAutoHyphens w:val="0"/>
      <w:spacing w:after="0" w:line="240" w:lineRule="auto"/>
      <w:ind w:left="720"/>
    </w:pPr>
    <w:rPr>
      <w:rFonts w:ascii="Calibri" w:eastAsia="Calibri" w:hAnsi="Calibri" w:cs="Times New Roman"/>
      <w:sz w:val="24"/>
      <w:szCs w:val="24"/>
      <w:lang w:val="en-US"/>
    </w:rPr>
  </w:style>
  <w:style w:type="character" w:customStyle="1" w:styleId="st">
    <w:name w:val="st"/>
    <w:rsid w:val="009A38A3"/>
  </w:style>
  <w:style w:type="character" w:customStyle="1" w:styleId="ColorfulGrid-Accent1Char1">
    <w:name w:val="Colorful Grid - Accent 1 Char1"/>
    <w:link w:val="ColorfulGrid-Accent1"/>
    <w:uiPriority w:val="99"/>
    <w:rsid w:val="009A38A3"/>
    <w:rPr>
      <w:rFonts w:ascii="Myriad Pro Light SemiCond" w:hAnsi="Myriad Pro Light SemiCond" w:cs="Calibri"/>
      <w:i/>
      <w:iCs/>
      <w:color w:val="000000"/>
      <w:sz w:val="22"/>
      <w:szCs w:val="22"/>
      <w:lang w:val="en-GB" w:eastAsia="en-US"/>
    </w:rPr>
  </w:style>
  <w:style w:type="character" w:customStyle="1" w:styleId="LightShading-Accent2Char1">
    <w:name w:val="Light Shading - Accent 2 Char1"/>
    <w:link w:val="LightShading-Accent2"/>
    <w:uiPriority w:val="99"/>
    <w:rsid w:val="009A38A3"/>
    <w:rPr>
      <w:rFonts w:ascii="Myriad Pro SemiCond" w:hAnsi="Myriad Pro SemiCond" w:cs="Calibri"/>
      <w:b/>
      <w:bCs/>
      <w:i/>
      <w:iCs/>
      <w:color w:val="4F81BD"/>
      <w:sz w:val="22"/>
      <w:szCs w:val="22"/>
      <w:lang w:val="en-GB" w:eastAsia="en-US"/>
    </w:rPr>
  </w:style>
  <w:style w:type="paragraph" w:customStyle="1" w:styleId="MediumGrid21">
    <w:name w:val="Medium Grid 21"/>
    <w:qFormat/>
    <w:rsid w:val="009A38A3"/>
    <w:pPr>
      <w:widowControl w:val="0"/>
      <w:suppressAutoHyphens/>
    </w:pPr>
    <w:rPr>
      <w:rFonts w:ascii="Calibri" w:eastAsia="Arial" w:hAnsi="Calibri" w:cs="Calibri"/>
      <w:sz w:val="22"/>
      <w:szCs w:val="22"/>
      <w:lang w:val="en-US" w:bidi="en-US"/>
    </w:rPr>
  </w:style>
  <w:style w:type="character" w:customStyle="1" w:styleId="hps">
    <w:name w:val="hps"/>
    <w:rsid w:val="009A38A3"/>
  </w:style>
  <w:style w:type="table" w:styleId="ColorfulGrid-Accent1">
    <w:name w:val="Colorful Grid Accent 1"/>
    <w:basedOn w:val="TableNormal"/>
    <w:link w:val="ColorfulGrid-Accent1Char1"/>
    <w:uiPriority w:val="99"/>
    <w:rsid w:val="009A38A3"/>
    <w:rPr>
      <w:rFonts w:ascii="Myriad Pro Light SemiCond" w:hAnsi="Myriad Pro Light SemiCond" w:cs="Calibri"/>
      <w:i/>
      <w:iCs/>
      <w:color w:val="000000"/>
      <w:sz w:val="22"/>
      <w:szCs w:val="22"/>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Shading-Accent2">
    <w:name w:val="Light Shading Accent 2"/>
    <w:basedOn w:val="TableNormal"/>
    <w:link w:val="LightShading-Accent2Char1"/>
    <w:uiPriority w:val="99"/>
    <w:rsid w:val="009A38A3"/>
    <w:rPr>
      <w:rFonts w:ascii="Myriad Pro SemiCond" w:hAnsi="Myriad Pro SemiCond" w:cs="Calibri"/>
      <w:b/>
      <w:bCs/>
      <w:i/>
      <w:iCs/>
      <w:color w:val="4F81BD"/>
      <w:sz w:val="22"/>
      <w:szCs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TableGrid1">
    <w:name w:val="Table Grid1"/>
    <w:basedOn w:val="TableNormal"/>
    <w:next w:val="TableGrid"/>
    <w:uiPriority w:val="59"/>
    <w:rsid w:val="00ED4F0C"/>
    <w:rPr>
      <w:rFonts w:ascii="Calibri" w:hAnsi="Calibri"/>
      <w:lang w:val="nb-NO"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3">
    <w:name w:val="A3"/>
    <w:uiPriority w:val="99"/>
    <w:rsid w:val="00D47A3F"/>
    <w:rPr>
      <w:rFonts w:cs="Myriad Pro SemiCond"/>
      <w:color w:val="000000"/>
      <w:sz w:val="20"/>
      <w:szCs w:val="20"/>
    </w:rPr>
  </w:style>
  <w:style w:type="character" w:customStyle="1" w:styleId="ListParagraphChar">
    <w:name w:val="List Paragraph Char"/>
    <w:link w:val="ListParagraph"/>
    <w:uiPriority w:val="34"/>
    <w:rsid w:val="008200F5"/>
    <w:rPr>
      <w:rFonts w:asciiTheme="majorHAnsi" w:hAnsiTheme="majorHAnsi" w:cs="Calibri"/>
      <w:sz w:val="22"/>
      <w:szCs w:val="22"/>
    </w:rPr>
  </w:style>
  <w:style w:type="paragraph" w:styleId="Bibliography">
    <w:name w:val="Bibliography"/>
    <w:basedOn w:val="Normal"/>
    <w:next w:val="Normal"/>
    <w:uiPriority w:val="37"/>
    <w:unhideWhenUsed/>
    <w:rsid w:val="002D46F5"/>
  </w:style>
  <w:style w:type="paragraph" w:customStyle="1" w:styleId="Heading2notindexed">
    <w:name w:val="Heading 2 not indexed"/>
    <w:basedOn w:val="Heading2"/>
    <w:next w:val="Abbreviations"/>
    <w:link w:val="Heading2notindexedChar"/>
    <w:autoRedefine/>
    <w:qFormat/>
    <w:rsid w:val="00123281"/>
    <w:pPr>
      <w:spacing w:before="240" w:line="264" w:lineRule="auto"/>
    </w:pPr>
  </w:style>
  <w:style w:type="character" w:customStyle="1" w:styleId="Heading2notindexedChar">
    <w:name w:val="Heading 2 not indexed Char"/>
    <w:basedOn w:val="Heading2Char"/>
    <w:link w:val="Heading2notindexed"/>
    <w:rsid w:val="00123281"/>
    <w:rPr>
      <w:rFonts w:asciiTheme="majorHAnsi" w:hAnsiTheme="majorHAnsi" w:cs="Calibri"/>
      <w:bCs/>
      <w:color w:val="4F81BD"/>
      <w:sz w:val="28"/>
      <w:szCs w:val="26"/>
    </w:rPr>
  </w:style>
  <w:style w:type="paragraph" w:styleId="EndnoteText">
    <w:name w:val="endnote text"/>
    <w:basedOn w:val="Normal"/>
    <w:link w:val="EndnoteTextChar"/>
    <w:uiPriority w:val="99"/>
    <w:semiHidden/>
    <w:unhideWhenUsed/>
    <w:rsid w:val="002D70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7019"/>
    <w:rPr>
      <w:rFonts w:cs="Calibri"/>
    </w:rPr>
  </w:style>
  <w:style w:type="character" w:styleId="EndnoteReference">
    <w:name w:val="endnote reference"/>
    <w:basedOn w:val="DefaultParagraphFont"/>
    <w:uiPriority w:val="99"/>
    <w:semiHidden/>
    <w:unhideWhenUsed/>
    <w:rsid w:val="002D7019"/>
    <w:rPr>
      <w:vertAlign w:val="superscript"/>
    </w:rPr>
  </w:style>
  <w:style w:type="paragraph" w:styleId="TableofFigures">
    <w:name w:val="table of figures"/>
    <w:basedOn w:val="Normal"/>
    <w:next w:val="Normal"/>
    <w:uiPriority w:val="99"/>
    <w:unhideWhenUsed/>
    <w:rsid w:val="00B33EAB"/>
    <w:pPr>
      <w:ind w:left="440" w:hanging="440"/>
    </w:pPr>
    <w:rPr>
      <w:rFonts w:ascii="Calibri" w:hAnsi="Calibri"/>
    </w:rPr>
  </w:style>
  <w:style w:type="paragraph" w:customStyle="1" w:styleId="Tabletext">
    <w:name w:val="Table text"/>
    <w:basedOn w:val="NoSpacing"/>
    <w:autoRedefine/>
    <w:qFormat/>
    <w:rsid w:val="00045490"/>
    <w:pPr>
      <w:spacing w:before="120" w:after="120"/>
    </w:pPr>
    <w:rPr>
      <w:rFonts w:eastAsia="Calibri"/>
    </w:rPr>
  </w:style>
  <w:style w:type="paragraph" w:customStyle="1" w:styleId="Heading2nonumbers">
    <w:name w:val="Heading 2 no numbers"/>
    <w:basedOn w:val="Heading2"/>
    <w:qFormat/>
    <w:rsid w:val="0071487C"/>
  </w:style>
  <w:style w:type="character" w:styleId="UnresolvedMention">
    <w:name w:val="Unresolved Mention"/>
    <w:basedOn w:val="DefaultParagraphFont"/>
    <w:uiPriority w:val="99"/>
    <w:rsid w:val="00977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7">
      <w:bodyDiv w:val="1"/>
      <w:marLeft w:val="0"/>
      <w:marRight w:val="0"/>
      <w:marTop w:val="0"/>
      <w:marBottom w:val="0"/>
      <w:divBdr>
        <w:top w:val="none" w:sz="0" w:space="0" w:color="auto"/>
        <w:left w:val="none" w:sz="0" w:space="0" w:color="auto"/>
        <w:bottom w:val="none" w:sz="0" w:space="0" w:color="auto"/>
        <w:right w:val="none" w:sz="0" w:space="0" w:color="auto"/>
      </w:divBdr>
    </w:div>
    <w:div w:id="1855868">
      <w:bodyDiv w:val="1"/>
      <w:marLeft w:val="0"/>
      <w:marRight w:val="0"/>
      <w:marTop w:val="0"/>
      <w:marBottom w:val="0"/>
      <w:divBdr>
        <w:top w:val="none" w:sz="0" w:space="0" w:color="auto"/>
        <w:left w:val="none" w:sz="0" w:space="0" w:color="auto"/>
        <w:bottom w:val="none" w:sz="0" w:space="0" w:color="auto"/>
        <w:right w:val="none" w:sz="0" w:space="0" w:color="auto"/>
      </w:divBdr>
    </w:div>
    <w:div w:id="4866856">
      <w:bodyDiv w:val="1"/>
      <w:marLeft w:val="0"/>
      <w:marRight w:val="0"/>
      <w:marTop w:val="0"/>
      <w:marBottom w:val="0"/>
      <w:divBdr>
        <w:top w:val="none" w:sz="0" w:space="0" w:color="auto"/>
        <w:left w:val="none" w:sz="0" w:space="0" w:color="auto"/>
        <w:bottom w:val="none" w:sz="0" w:space="0" w:color="auto"/>
        <w:right w:val="none" w:sz="0" w:space="0" w:color="auto"/>
      </w:divBdr>
    </w:div>
    <w:div w:id="8796719">
      <w:bodyDiv w:val="1"/>
      <w:marLeft w:val="0"/>
      <w:marRight w:val="0"/>
      <w:marTop w:val="0"/>
      <w:marBottom w:val="0"/>
      <w:divBdr>
        <w:top w:val="none" w:sz="0" w:space="0" w:color="auto"/>
        <w:left w:val="none" w:sz="0" w:space="0" w:color="auto"/>
        <w:bottom w:val="none" w:sz="0" w:space="0" w:color="auto"/>
        <w:right w:val="none" w:sz="0" w:space="0" w:color="auto"/>
      </w:divBdr>
    </w:div>
    <w:div w:id="14380492">
      <w:bodyDiv w:val="1"/>
      <w:marLeft w:val="0"/>
      <w:marRight w:val="0"/>
      <w:marTop w:val="0"/>
      <w:marBottom w:val="0"/>
      <w:divBdr>
        <w:top w:val="none" w:sz="0" w:space="0" w:color="auto"/>
        <w:left w:val="none" w:sz="0" w:space="0" w:color="auto"/>
        <w:bottom w:val="none" w:sz="0" w:space="0" w:color="auto"/>
        <w:right w:val="none" w:sz="0" w:space="0" w:color="auto"/>
      </w:divBdr>
    </w:div>
    <w:div w:id="15277956">
      <w:bodyDiv w:val="1"/>
      <w:marLeft w:val="0"/>
      <w:marRight w:val="0"/>
      <w:marTop w:val="0"/>
      <w:marBottom w:val="0"/>
      <w:divBdr>
        <w:top w:val="none" w:sz="0" w:space="0" w:color="auto"/>
        <w:left w:val="none" w:sz="0" w:space="0" w:color="auto"/>
        <w:bottom w:val="none" w:sz="0" w:space="0" w:color="auto"/>
        <w:right w:val="none" w:sz="0" w:space="0" w:color="auto"/>
      </w:divBdr>
    </w:div>
    <w:div w:id="23337508">
      <w:bodyDiv w:val="1"/>
      <w:marLeft w:val="0"/>
      <w:marRight w:val="0"/>
      <w:marTop w:val="0"/>
      <w:marBottom w:val="0"/>
      <w:divBdr>
        <w:top w:val="none" w:sz="0" w:space="0" w:color="auto"/>
        <w:left w:val="none" w:sz="0" w:space="0" w:color="auto"/>
        <w:bottom w:val="none" w:sz="0" w:space="0" w:color="auto"/>
        <w:right w:val="none" w:sz="0" w:space="0" w:color="auto"/>
      </w:divBdr>
    </w:div>
    <w:div w:id="25371775">
      <w:bodyDiv w:val="1"/>
      <w:marLeft w:val="0"/>
      <w:marRight w:val="0"/>
      <w:marTop w:val="0"/>
      <w:marBottom w:val="0"/>
      <w:divBdr>
        <w:top w:val="none" w:sz="0" w:space="0" w:color="auto"/>
        <w:left w:val="none" w:sz="0" w:space="0" w:color="auto"/>
        <w:bottom w:val="none" w:sz="0" w:space="0" w:color="auto"/>
        <w:right w:val="none" w:sz="0" w:space="0" w:color="auto"/>
      </w:divBdr>
    </w:div>
    <w:div w:id="25914174">
      <w:bodyDiv w:val="1"/>
      <w:marLeft w:val="0"/>
      <w:marRight w:val="0"/>
      <w:marTop w:val="0"/>
      <w:marBottom w:val="0"/>
      <w:divBdr>
        <w:top w:val="none" w:sz="0" w:space="0" w:color="auto"/>
        <w:left w:val="none" w:sz="0" w:space="0" w:color="auto"/>
        <w:bottom w:val="none" w:sz="0" w:space="0" w:color="auto"/>
        <w:right w:val="none" w:sz="0" w:space="0" w:color="auto"/>
      </w:divBdr>
    </w:div>
    <w:div w:id="28654436">
      <w:bodyDiv w:val="1"/>
      <w:marLeft w:val="0"/>
      <w:marRight w:val="0"/>
      <w:marTop w:val="0"/>
      <w:marBottom w:val="0"/>
      <w:divBdr>
        <w:top w:val="none" w:sz="0" w:space="0" w:color="auto"/>
        <w:left w:val="none" w:sz="0" w:space="0" w:color="auto"/>
        <w:bottom w:val="none" w:sz="0" w:space="0" w:color="auto"/>
        <w:right w:val="none" w:sz="0" w:space="0" w:color="auto"/>
      </w:divBdr>
    </w:div>
    <w:div w:id="29770780">
      <w:bodyDiv w:val="1"/>
      <w:marLeft w:val="0"/>
      <w:marRight w:val="0"/>
      <w:marTop w:val="0"/>
      <w:marBottom w:val="0"/>
      <w:divBdr>
        <w:top w:val="none" w:sz="0" w:space="0" w:color="auto"/>
        <w:left w:val="none" w:sz="0" w:space="0" w:color="auto"/>
        <w:bottom w:val="none" w:sz="0" w:space="0" w:color="auto"/>
        <w:right w:val="none" w:sz="0" w:space="0" w:color="auto"/>
      </w:divBdr>
    </w:div>
    <w:div w:id="30880216">
      <w:bodyDiv w:val="1"/>
      <w:marLeft w:val="0"/>
      <w:marRight w:val="0"/>
      <w:marTop w:val="0"/>
      <w:marBottom w:val="0"/>
      <w:divBdr>
        <w:top w:val="none" w:sz="0" w:space="0" w:color="auto"/>
        <w:left w:val="none" w:sz="0" w:space="0" w:color="auto"/>
        <w:bottom w:val="none" w:sz="0" w:space="0" w:color="auto"/>
        <w:right w:val="none" w:sz="0" w:space="0" w:color="auto"/>
      </w:divBdr>
    </w:div>
    <w:div w:id="32583879">
      <w:bodyDiv w:val="1"/>
      <w:marLeft w:val="0"/>
      <w:marRight w:val="0"/>
      <w:marTop w:val="0"/>
      <w:marBottom w:val="0"/>
      <w:divBdr>
        <w:top w:val="none" w:sz="0" w:space="0" w:color="auto"/>
        <w:left w:val="none" w:sz="0" w:space="0" w:color="auto"/>
        <w:bottom w:val="none" w:sz="0" w:space="0" w:color="auto"/>
        <w:right w:val="none" w:sz="0" w:space="0" w:color="auto"/>
      </w:divBdr>
    </w:div>
    <w:div w:id="35202803">
      <w:bodyDiv w:val="1"/>
      <w:marLeft w:val="0"/>
      <w:marRight w:val="0"/>
      <w:marTop w:val="0"/>
      <w:marBottom w:val="0"/>
      <w:divBdr>
        <w:top w:val="none" w:sz="0" w:space="0" w:color="auto"/>
        <w:left w:val="none" w:sz="0" w:space="0" w:color="auto"/>
        <w:bottom w:val="none" w:sz="0" w:space="0" w:color="auto"/>
        <w:right w:val="none" w:sz="0" w:space="0" w:color="auto"/>
      </w:divBdr>
    </w:div>
    <w:div w:id="39744631">
      <w:bodyDiv w:val="1"/>
      <w:marLeft w:val="0"/>
      <w:marRight w:val="0"/>
      <w:marTop w:val="0"/>
      <w:marBottom w:val="0"/>
      <w:divBdr>
        <w:top w:val="none" w:sz="0" w:space="0" w:color="auto"/>
        <w:left w:val="none" w:sz="0" w:space="0" w:color="auto"/>
        <w:bottom w:val="none" w:sz="0" w:space="0" w:color="auto"/>
        <w:right w:val="none" w:sz="0" w:space="0" w:color="auto"/>
      </w:divBdr>
    </w:div>
    <w:div w:id="41485973">
      <w:bodyDiv w:val="1"/>
      <w:marLeft w:val="0"/>
      <w:marRight w:val="0"/>
      <w:marTop w:val="0"/>
      <w:marBottom w:val="0"/>
      <w:divBdr>
        <w:top w:val="none" w:sz="0" w:space="0" w:color="auto"/>
        <w:left w:val="none" w:sz="0" w:space="0" w:color="auto"/>
        <w:bottom w:val="none" w:sz="0" w:space="0" w:color="auto"/>
        <w:right w:val="none" w:sz="0" w:space="0" w:color="auto"/>
      </w:divBdr>
    </w:div>
    <w:div w:id="44565344">
      <w:bodyDiv w:val="1"/>
      <w:marLeft w:val="0"/>
      <w:marRight w:val="0"/>
      <w:marTop w:val="0"/>
      <w:marBottom w:val="0"/>
      <w:divBdr>
        <w:top w:val="none" w:sz="0" w:space="0" w:color="auto"/>
        <w:left w:val="none" w:sz="0" w:space="0" w:color="auto"/>
        <w:bottom w:val="none" w:sz="0" w:space="0" w:color="auto"/>
        <w:right w:val="none" w:sz="0" w:space="0" w:color="auto"/>
      </w:divBdr>
    </w:div>
    <w:div w:id="44841408">
      <w:bodyDiv w:val="1"/>
      <w:marLeft w:val="0"/>
      <w:marRight w:val="0"/>
      <w:marTop w:val="0"/>
      <w:marBottom w:val="0"/>
      <w:divBdr>
        <w:top w:val="none" w:sz="0" w:space="0" w:color="auto"/>
        <w:left w:val="none" w:sz="0" w:space="0" w:color="auto"/>
        <w:bottom w:val="none" w:sz="0" w:space="0" w:color="auto"/>
        <w:right w:val="none" w:sz="0" w:space="0" w:color="auto"/>
      </w:divBdr>
    </w:div>
    <w:div w:id="46690709">
      <w:bodyDiv w:val="1"/>
      <w:marLeft w:val="0"/>
      <w:marRight w:val="0"/>
      <w:marTop w:val="0"/>
      <w:marBottom w:val="0"/>
      <w:divBdr>
        <w:top w:val="none" w:sz="0" w:space="0" w:color="auto"/>
        <w:left w:val="none" w:sz="0" w:space="0" w:color="auto"/>
        <w:bottom w:val="none" w:sz="0" w:space="0" w:color="auto"/>
        <w:right w:val="none" w:sz="0" w:space="0" w:color="auto"/>
      </w:divBdr>
    </w:div>
    <w:div w:id="48725498">
      <w:bodyDiv w:val="1"/>
      <w:marLeft w:val="0"/>
      <w:marRight w:val="0"/>
      <w:marTop w:val="0"/>
      <w:marBottom w:val="0"/>
      <w:divBdr>
        <w:top w:val="none" w:sz="0" w:space="0" w:color="auto"/>
        <w:left w:val="none" w:sz="0" w:space="0" w:color="auto"/>
        <w:bottom w:val="none" w:sz="0" w:space="0" w:color="auto"/>
        <w:right w:val="none" w:sz="0" w:space="0" w:color="auto"/>
      </w:divBdr>
    </w:div>
    <w:div w:id="50152455">
      <w:bodyDiv w:val="1"/>
      <w:marLeft w:val="0"/>
      <w:marRight w:val="0"/>
      <w:marTop w:val="0"/>
      <w:marBottom w:val="0"/>
      <w:divBdr>
        <w:top w:val="none" w:sz="0" w:space="0" w:color="auto"/>
        <w:left w:val="none" w:sz="0" w:space="0" w:color="auto"/>
        <w:bottom w:val="none" w:sz="0" w:space="0" w:color="auto"/>
        <w:right w:val="none" w:sz="0" w:space="0" w:color="auto"/>
      </w:divBdr>
    </w:div>
    <w:div w:id="53084806">
      <w:bodyDiv w:val="1"/>
      <w:marLeft w:val="0"/>
      <w:marRight w:val="0"/>
      <w:marTop w:val="0"/>
      <w:marBottom w:val="0"/>
      <w:divBdr>
        <w:top w:val="none" w:sz="0" w:space="0" w:color="auto"/>
        <w:left w:val="none" w:sz="0" w:space="0" w:color="auto"/>
        <w:bottom w:val="none" w:sz="0" w:space="0" w:color="auto"/>
        <w:right w:val="none" w:sz="0" w:space="0" w:color="auto"/>
      </w:divBdr>
    </w:div>
    <w:div w:id="53624031">
      <w:bodyDiv w:val="1"/>
      <w:marLeft w:val="0"/>
      <w:marRight w:val="0"/>
      <w:marTop w:val="0"/>
      <w:marBottom w:val="0"/>
      <w:divBdr>
        <w:top w:val="none" w:sz="0" w:space="0" w:color="auto"/>
        <w:left w:val="none" w:sz="0" w:space="0" w:color="auto"/>
        <w:bottom w:val="none" w:sz="0" w:space="0" w:color="auto"/>
        <w:right w:val="none" w:sz="0" w:space="0" w:color="auto"/>
      </w:divBdr>
    </w:div>
    <w:div w:id="59790936">
      <w:bodyDiv w:val="1"/>
      <w:marLeft w:val="0"/>
      <w:marRight w:val="0"/>
      <w:marTop w:val="0"/>
      <w:marBottom w:val="0"/>
      <w:divBdr>
        <w:top w:val="none" w:sz="0" w:space="0" w:color="auto"/>
        <w:left w:val="none" w:sz="0" w:space="0" w:color="auto"/>
        <w:bottom w:val="none" w:sz="0" w:space="0" w:color="auto"/>
        <w:right w:val="none" w:sz="0" w:space="0" w:color="auto"/>
      </w:divBdr>
    </w:div>
    <w:div w:id="61414547">
      <w:bodyDiv w:val="1"/>
      <w:marLeft w:val="0"/>
      <w:marRight w:val="0"/>
      <w:marTop w:val="0"/>
      <w:marBottom w:val="0"/>
      <w:divBdr>
        <w:top w:val="none" w:sz="0" w:space="0" w:color="auto"/>
        <w:left w:val="none" w:sz="0" w:space="0" w:color="auto"/>
        <w:bottom w:val="none" w:sz="0" w:space="0" w:color="auto"/>
        <w:right w:val="none" w:sz="0" w:space="0" w:color="auto"/>
      </w:divBdr>
    </w:div>
    <w:div w:id="68425836">
      <w:bodyDiv w:val="1"/>
      <w:marLeft w:val="0"/>
      <w:marRight w:val="0"/>
      <w:marTop w:val="0"/>
      <w:marBottom w:val="0"/>
      <w:divBdr>
        <w:top w:val="none" w:sz="0" w:space="0" w:color="auto"/>
        <w:left w:val="none" w:sz="0" w:space="0" w:color="auto"/>
        <w:bottom w:val="none" w:sz="0" w:space="0" w:color="auto"/>
        <w:right w:val="none" w:sz="0" w:space="0" w:color="auto"/>
      </w:divBdr>
    </w:div>
    <w:div w:id="68888407">
      <w:bodyDiv w:val="1"/>
      <w:marLeft w:val="0"/>
      <w:marRight w:val="0"/>
      <w:marTop w:val="0"/>
      <w:marBottom w:val="0"/>
      <w:divBdr>
        <w:top w:val="none" w:sz="0" w:space="0" w:color="auto"/>
        <w:left w:val="none" w:sz="0" w:space="0" w:color="auto"/>
        <w:bottom w:val="none" w:sz="0" w:space="0" w:color="auto"/>
        <w:right w:val="none" w:sz="0" w:space="0" w:color="auto"/>
      </w:divBdr>
    </w:div>
    <w:div w:id="73937756">
      <w:bodyDiv w:val="1"/>
      <w:marLeft w:val="0"/>
      <w:marRight w:val="0"/>
      <w:marTop w:val="0"/>
      <w:marBottom w:val="0"/>
      <w:divBdr>
        <w:top w:val="none" w:sz="0" w:space="0" w:color="auto"/>
        <w:left w:val="none" w:sz="0" w:space="0" w:color="auto"/>
        <w:bottom w:val="none" w:sz="0" w:space="0" w:color="auto"/>
        <w:right w:val="none" w:sz="0" w:space="0" w:color="auto"/>
      </w:divBdr>
    </w:div>
    <w:div w:id="75907480">
      <w:bodyDiv w:val="1"/>
      <w:marLeft w:val="0"/>
      <w:marRight w:val="0"/>
      <w:marTop w:val="0"/>
      <w:marBottom w:val="0"/>
      <w:divBdr>
        <w:top w:val="none" w:sz="0" w:space="0" w:color="auto"/>
        <w:left w:val="none" w:sz="0" w:space="0" w:color="auto"/>
        <w:bottom w:val="none" w:sz="0" w:space="0" w:color="auto"/>
        <w:right w:val="none" w:sz="0" w:space="0" w:color="auto"/>
      </w:divBdr>
    </w:div>
    <w:div w:id="76750436">
      <w:bodyDiv w:val="1"/>
      <w:marLeft w:val="0"/>
      <w:marRight w:val="0"/>
      <w:marTop w:val="0"/>
      <w:marBottom w:val="0"/>
      <w:divBdr>
        <w:top w:val="none" w:sz="0" w:space="0" w:color="auto"/>
        <w:left w:val="none" w:sz="0" w:space="0" w:color="auto"/>
        <w:bottom w:val="none" w:sz="0" w:space="0" w:color="auto"/>
        <w:right w:val="none" w:sz="0" w:space="0" w:color="auto"/>
      </w:divBdr>
    </w:div>
    <w:div w:id="79255752">
      <w:bodyDiv w:val="1"/>
      <w:marLeft w:val="0"/>
      <w:marRight w:val="0"/>
      <w:marTop w:val="0"/>
      <w:marBottom w:val="0"/>
      <w:divBdr>
        <w:top w:val="none" w:sz="0" w:space="0" w:color="auto"/>
        <w:left w:val="none" w:sz="0" w:space="0" w:color="auto"/>
        <w:bottom w:val="none" w:sz="0" w:space="0" w:color="auto"/>
        <w:right w:val="none" w:sz="0" w:space="0" w:color="auto"/>
      </w:divBdr>
    </w:div>
    <w:div w:id="79570870">
      <w:bodyDiv w:val="1"/>
      <w:marLeft w:val="0"/>
      <w:marRight w:val="0"/>
      <w:marTop w:val="0"/>
      <w:marBottom w:val="0"/>
      <w:divBdr>
        <w:top w:val="none" w:sz="0" w:space="0" w:color="auto"/>
        <w:left w:val="none" w:sz="0" w:space="0" w:color="auto"/>
        <w:bottom w:val="none" w:sz="0" w:space="0" w:color="auto"/>
        <w:right w:val="none" w:sz="0" w:space="0" w:color="auto"/>
      </w:divBdr>
    </w:div>
    <w:div w:id="80101895">
      <w:bodyDiv w:val="1"/>
      <w:marLeft w:val="0"/>
      <w:marRight w:val="0"/>
      <w:marTop w:val="0"/>
      <w:marBottom w:val="0"/>
      <w:divBdr>
        <w:top w:val="none" w:sz="0" w:space="0" w:color="auto"/>
        <w:left w:val="none" w:sz="0" w:space="0" w:color="auto"/>
        <w:bottom w:val="none" w:sz="0" w:space="0" w:color="auto"/>
        <w:right w:val="none" w:sz="0" w:space="0" w:color="auto"/>
      </w:divBdr>
    </w:div>
    <w:div w:id="80221656">
      <w:bodyDiv w:val="1"/>
      <w:marLeft w:val="0"/>
      <w:marRight w:val="0"/>
      <w:marTop w:val="0"/>
      <w:marBottom w:val="0"/>
      <w:divBdr>
        <w:top w:val="none" w:sz="0" w:space="0" w:color="auto"/>
        <w:left w:val="none" w:sz="0" w:space="0" w:color="auto"/>
        <w:bottom w:val="none" w:sz="0" w:space="0" w:color="auto"/>
        <w:right w:val="none" w:sz="0" w:space="0" w:color="auto"/>
      </w:divBdr>
    </w:div>
    <w:div w:id="84115163">
      <w:bodyDiv w:val="1"/>
      <w:marLeft w:val="0"/>
      <w:marRight w:val="0"/>
      <w:marTop w:val="0"/>
      <w:marBottom w:val="0"/>
      <w:divBdr>
        <w:top w:val="none" w:sz="0" w:space="0" w:color="auto"/>
        <w:left w:val="none" w:sz="0" w:space="0" w:color="auto"/>
        <w:bottom w:val="none" w:sz="0" w:space="0" w:color="auto"/>
        <w:right w:val="none" w:sz="0" w:space="0" w:color="auto"/>
      </w:divBdr>
    </w:div>
    <w:div w:id="87234089">
      <w:bodyDiv w:val="1"/>
      <w:marLeft w:val="0"/>
      <w:marRight w:val="0"/>
      <w:marTop w:val="0"/>
      <w:marBottom w:val="0"/>
      <w:divBdr>
        <w:top w:val="none" w:sz="0" w:space="0" w:color="auto"/>
        <w:left w:val="none" w:sz="0" w:space="0" w:color="auto"/>
        <w:bottom w:val="none" w:sz="0" w:space="0" w:color="auto"/>
        <w:right w:val="none" w:sz="0" w:space="0" w:color="auto"/>
      </w:divBdr>
    </w:div>
    <w:div w:id="89472744">
      <w:bodyDiv w:val="1"/>
      <w:marLeft w:val="0"/>
      <w:marRight w:val="0"/>
      <w:marTop w:val="0"/>
      <w:marBottom w:val="0"/>
      <w:divBdr>
        <w:top w:val="none" w:sz="0" w:space="0" w:color="auto"/>
        <w:left w:val="none" w:sz="0" w:space="0" w:color="auto"/>
        <w:bottom w:val="none" w:sz="0" w:space="0" w:color="auto"/>
        <w:right w:val="none" w:sz="0" w:space="0" w:color="auto"/>
      </w:divBdr>
    </w:div>
    <w:div w:id="90974227">
      <w:bodyDiv w:val="1"/>
      <w:marLeft w:val="0"/>
      <w:marRight w:val="0"/>
      <w:marTop w:val="0"/>
      <w:marBottom w:val="0"/>
      <w:divBdr>
        <w:top w:val="none" w:sz="0" w:space="0" w:color="auto"/>
        <w:left w:val="none" w:sz="0" w:space="0" w:color="auto"/>
        <w:bottom w:val="none" w:sz="0" w:space="0" w:color="auto"/>
        <w:right w:val="none" w:sz="0" w:space="0" w:color="auto"/>
      </w:divBdr>
    </w:div>
    <w:div w:id="92091388">
      <w:bodyDiv w:val="1"/>
      <w:marLeft w:val="0"/>
      <w:marRight w:val="0"/>
      <w:marTop w:val="0"/>
      <w:marBottom w:val="0"/>
      <w:divBdr>
        <w:top w:val="none" w:sz="0" w:space="0" w:color="auto"/>
        <w:left w:val="none" w:sz="0" w:space="0" w:color="auto"/>
        <w:bottom w:val="none" w:sz="0" w:space="0" w:color="auto"/>
        <w:right w:val="none" w:sz="0" w:space="0" w:color="auto"/>
      </w:divBdr>
    </w:div>
    <w:div w:id="92283034">
      <w:bodyDiv w:val="1"/>
      <w:marLeft w:val="0"/>
      <w:marRight w:val="0"/>
      <w:marTop w:val="0"/>
      <w:marBottom w:val="0"/>
      <w:divBdr>
        <w:top w:val="none" w:sz="0" w:space="0" w:color="auto"/>
        <w:left w:val="none" w:sz="0" w:space="0" w:color="auto"/>
        <w:bottom w:val="none" w:sz="0" w:space="0" w:color="auto"/>
        <w:right w:val="none" w:sz="0" w:space="0" w:color="auto"/>
      </w:divBdr>
    </w:div>
    <w:div w:id="92632532">
      <w:bodyDiv w:val="1"/>
      <w:marLeft w:val="0"/>
      <w:marRight w:val="0"/>
      <w:marTop w:val="0"/>
      <w:marBottom w:val="0"/>
      <w:divBdr>
        <w:top w:val="none" w:sz="0" w:space="0" w:color="auto"/>
        <w:left w:val="none" w:sz="0" w:space="0" w:color="auto"/>
        <w:bottom w:val="none" w:sz="0" w:space="0" w:color="auto"/>
        <w:right w:val="none" w:sz="0" w:space="0" w:color="auto"/>
      </w:divBdr>
    </w:div>
    <w:div w:id="96560959">
      <w:bodyDiv w:val="1"/>
      <w:marLeft w:val="0"/>
      <w:marRight w:val="0"/>
      <w:marTop w:val="0"/>
      <w:marBottom w:val="0"/>
      <w:divBdr>
        <w:top w:val="none" w:sz="0" w:space="0" w:color="auto"/>
        <w:left w:val="none" w:sz="0" w:space="0" w:color="auto"/>
        <w:bottom w:val="none" w:sz="0" w:space="0" w:color="auto"/>
        <w:right w:val="none" w:sz="0" w:space="0" w:color="auto"/>
      </w:divBdr>
    </w:div>
    <w:div w:id="97023302">
      <w:bodyDiv w:val="1"/>
      <w:marLeft w:val="0"/>
      <w:marRight w:val="0"/>
      <w:marTop w:val="0"/>
      <w:marBottom w:val="0"/>
      <w:divBdr>
        <w:top w:val="none" w:sz="0" w:space="0" w:color="auto"/>
        <w:left w:val="none" w:sz="0" w:space="0" w:color="auto"/>
        <w:bottom w:val="none" w:sz="0" w:space="0" w:color="auto"/>
        <w:right w:val="none" w:sz="0" w:space="0" w:color="auto"/>
      </w:divBdr>
    </w:div>
    <w:div w:id="97677469">
      <w:bodyDiv w:val="1"/>
      <w:marLeft w:val="0"/>
      <w:marRight w:val="0"/>
      <w:marTop w:val="0"/>
      <w:marBottom w:val="0"/>
      <w:divBdr>
        <w:top w:val="none" w:sz="0" w:space="0" w:color="auto"/>
        <w:left w:val="none" w:sz="0" w:space="0" w:color="auto"/>
        <w:bottom w:val="none" w:sz="0" w:space="0" w:color="auto"/>
        <w:right w:val="none" w:sz="0" w:space="0" w:color="auto"/>
      </w:divBdr>
    </w:div>
    <w:div w:id="101460192">
      <w:bodyDiv w:val="1"/>
      <w:marLeft w:val="0"/>
      <w:marRight w:val="0"/>
      <w:marTop w:val="0"/>
      <w:marBottom w:val="0"/>
      <w:divBdr>
        <w:top w:val="none" w:sz="0" w:space="0" w:color="auto"/>
        <w:left w:val="none" w:sz="0" w:space="0" w:color="auto"/>
        <w:bottom w:val="none" w:sz="0" w:space="0" w:color="auto"/>
        <w:right w:val="none" w:sz="0" w:space="0" w:color="auto"/>
      </w:divBdr>
    </w:div>
    <w:div w:id="102919313">
      <w:bodyDiv w:val="1"/>
      <w:marLeft w:val="0"/>
      <w:marRight w:val="0"/>
      <w:marTop w:val="0"/>
      <w:marBottom w:val="0"/>
      <w:divBdr>
        <w:top w:val="none" w:sz="0" w:space="0" w:color="auto"/>
        <w:left w:val="none" w:sz="0" w:space="0" w:color="auto"/>
        <w:bottom w:val="none" w:sz="0" w:space="0" w:color="auto"/>
        <w:right w:val="none" w:sz="0" w:space="0" w:color="auto"/>
      </w:divBdr>
    </w:div>
    <w:div w:id="103576257">
      <w:bodyDiv w:val="1"/>
      <w:marLeft w:val="0"/>
      <w:marRight w:val="0"/>
      <w:marTop w:val="0"/>
      <w:marBottom w:val="0"/>
      <w:divBdr>
        <w:top w:val="none" w:sz="0" w:space="0" w:color="auto"/>
        <w:left w:val="none" w:sz="0" w:space="0" w:color="auto"/>
        <w:bottom w:val="none" w:sz="0" w:space="0" w:color="auto"/>
        <w:right w:val="none" w:sz="0" w:space="0" w:color="auto"/>
      </w:divBdr>
    </w:div>
    <w:div w:id="103814040">
      <w:bodyDiv w:val="1"/>
      <w:marLeft w:val="0"/>
      <w:marRight w:val="0"/>
      <w:marTop w:val="0"/>
      <w:marBottom w:val="0"/>
      <w:divBdr>
        <w:top w:val="none" w:sz="0" w:space="0" w:color="auto"/>
        <w:left w:val="none" w:sz="0" w:space="0" w:color="auto"/>
        <w:bottom w:val="none" w:sz="0" w:space="0" w:color="auto"/>
        <w:right w:val="none" w:sz="0" w:space="0" w:color="auto"/>
      </w:divBdr>
    </w:div>
    <w:div w:id="105467772">
      <w:bodyDiv w:val="1"/>
      <w:marLeft w:val="0"/>
      <w:marRight w:val="0"/>
      <w:marTop w:val="0"/>
      <w:marBottom w:val="0"/>
      <w:divBdr>
        <w:top w:val="none" w:sz="0" w:space="0" w:color="auto"/>
        <w:left w:val="none" w:sz="0" w:space="0" w:color="auto"/>
        <w:bottom w:val="none" w:sz="0" w:space="0" w:color="auto"/>
        <w:right w:val="none" w:sz="0" w:space="0" w:color="auto"/>
      </w:divBdr>
    </w:div>
    <w:div w:id="107314787">
      <w:bodyDiv w:val="1"/>
      <w:marLeft w:val="0"/>
      <w:marRight w:val="0"/>
      <w:marTop w:val="0"/>
      <w:marBottom w:val="0"/>
      <w:divBdr>
        <w:top w:val="none" w:sz="0" w:space="0" w:color="auto"/>
        <w:left w:val="none" w:sz="0" w:space="0" w:color="auto"/>
        <w:bottom w:val="none" w:sz="0" w:space="0" w:color="auto"/>
        <w:right w:val="none" w:sz="0" w:space="0" w:color="auto"/>
      </w:divBdr>
    </w:div>
    <w:div w:id="108093147">
      <w:bodyDiv w:val="1"/>
      <w:marLeft w:val="0"/>
      <w:marRight w:val="0"/>
      <w:marTop w:val="0"/>
      <w:marBottom w:val="0"/>
      <w:divBdr>
        <w:top w:val="none" w:sz="0" w:space="0" w:color="auto"/>
        <w:left w:val="none" w:sz="0" w:space="0" w:color="auto"/>
        <w:bottom w:val="none" w:sz="0" w:space="0" w:color="auto"/>
        <w:right w:val="none" w:sz="0" w:space="0" w:color="auto"/>
      </w:divBdr>
    </w:div>
    <w:div w:id="108858391">
      <w:bodyDiv w:val="1"/>
      <w:marLeft w:val="0"/>
      <w:marRight w:val="0"/>
      <w:marTop w:val="0"/>
      <w:marBottom w:val="0"/>
      <w:divBdr>
        <w:top w:val="none" w:sz="0" w:space="0" w:color="auto"/>
        <w:left w:val="none" w:sz="0" w:space="0" w:color="auto"/>
        <w:bottom w:val="none" w:sz="0" w:space="0" w:color="auto"/>
        <w:right w:val="none" w:sz="0" w:space="0" w:color="auto"/>
      </w:divBdr>
    </w:div>
    <w:div w:id="111170890">
      <w:bodyDiv w:val="1"/>
      <w:marLeft w:val="0"/>
      <w:marRight w:val="0"/>
      <w:marTop w:val="0"/>
      <w:marBottom w:val="0"/>
      <w:divBdr>
        <w:top w:val="none" w:sz="0" w:space="0" w:color="auto"/>
        <w:left w:val="none" w:sz="0" w:space="0" w:color="auto"/>
        <w:bottom w:val="none" w:sz="0" w:space="0" w:color="auto"/>
        <w:right w:val="none" w:sz="0" w:space="0" w:color="auto"/>
      </w:divBdr>
    </w:div>
    <w:div w:id="112332347">
      <w:bodyDiv w:val="1"/>
      <w:marLeft w:val="0"/>
      <w:marRight w:val="0"/>
      <w:marTop w:val="0"/>
      <w:marBottom w:val="0"/>
      <w:divBdr>
        <w:top w:val="none" w:sz="0" w:space="0" w:color="auto"/>
        <w:left w:val="none" w:sz="0" w:space="0" w:color="auto"/>
        <w:bottom w:val="none" w:sz="0" w:space="0" w:color="auto"/>
        <w:right w:val="none" w:sz="0" w:space="0" w:color="auto"/>
      </w:divBdr>
    </w:div>
    <w:div w:id="113796791">
      <w:bodyDiv w:val="1"/>
      <w:marLeft w:val="0"/>
      <w:marRight w:val="0"/>
      <w:marTop w:val="0"/>
      <w:marBottom w:val="0"/>
      <w:divBdr>
        <w:top w:val="none" w:sz="0" w:space="0" w:color="auto"/>
        <w:left w:val="none" w:sz="0" w:space="0" w:color="auto"/>
        <w:bottom w:val="none" w:sz="0" w:space="0" w:color="auto"/>
        <w:right w:val="none" w:sz="0" w:space="0" w:color="auto"/>
      </w:divBdr>
    </w:div>
    <w:div w:id="114642634">
      <w:bodyDiv w:val="1"/>
      <w:marLeft w:val="0"/>
      <w:marRight w:val="0"/>
      <w:marTop w:val="0"/>
      <w:marBottom w:val="0"/>
      <w:divBdr>
        <w:top w:val="none" w:sz="0" w:space="0" w:color="auto"/>
        <w:left w:val="none" w:sz="0" w:space="0" w:color="auto"/>
        <w:bottom w:val="none" w:sz="0" w:space="0" w:color="auto"/>
        <w:right w:val="none" w:sz="0" w:space="0" w:color="auto"/>
      </w:divBdr>
    </w:div>
    <w:div w:id="116149564">
      <w:bodyDiv w:val="1"/>
      <w:marLeft w:val="0"/>
      <w:marRight w:val="0"/>
      <w:marTop w:val="0"/>
      <w:marBottom w:val="0"/>
      <w:divBdr>
        <w:top w:val="none" w:sz="0" w:space="0" w:color="auto"/>
        <w:left w:val="none" w:sz="0" w:space="0" w:color="auto"/>
        <w:bottom w:val="none" w:sz="0" w:space="0" w:color="auto"/>
        <w:right w:val="none" w:sz="0" w:space="0" w:color="auto"/>
      </w:divBdr>
    </w:div>
    <w:div w:id="118964372">
      <w:bodyDiv w:val="1"/>
      <w:marLeft w:val="0"/>
      <w:marRight w:val="0"/>
      <w:marTop w:val="0"/>
      <w:marBottom w:val="0"/>
      <w:divBdr>
        <w:top w:val="none" w:sz="0" w:space="0" w:color="auto"/>
        <w:left w:val="none" w:sz="0" w:space="0" w:color="auto"/>
        <w:bottom w:val="none" w:sz="0" w:space="0" w:color="auto"/>
        <w:right w:val="none" w:sz="0" w:space="0" w:color="auto"/>
      </w:divBdr>
    </w:div>
    <w:div w:id="120222625">
      <w:bodyDiv w:val="1"/>
      <w:marLeft w:val="0"/>
      <w:marRight w:val="0"/>
      <w:marTop w:val="0"/>
      <w:marBottom w:val="0"/>
      <w:divBdr>
        <w:top w:val="none" w:sz="0" w:space="0" w:color="auto"/>
        <w:left w:val="none" w:sz="0" w:space="0" w:color="auto"/>
        <w:bottom w:val="none" w:sz="0" w:space="0" w:color="auto"/>
        <w:right w:val="none" w:sz="0" w:space="0" w:color="auto"/>
      </w:divBdr>
    </w:div>
    <w:div w:id="121270022">
      <w:bodyDiv w:val="1"/>
      <w:marLeft w:val="0"/>
      <w:marRight w:val="0"/>
      <w:marTop w:val="0"/>
      <w:marBottom w:val="0"/>
      <w:divBdr>
        <w:top w:val="none" w:sz="0" w:space="0" w:color="auto"/>
        <w:left w:val="none" w:sz="0" w:space="0" w:color="auto"/>
        <w:bottom w:val="none" w:sz="0" w:space="0" w:color="auto"/>
        <w:right w:val="none" w:sz="0" w:space="0" w:color="auto"/>
      </w:divBdr>
      <w:divsChild>
        <w:div w:id="664868285">
          <w:marLeft w:val="0"/>
          <w:marRight w:val="0"/>
          <w:marTop w:val="0"/>
          <w:marBottom w:val="0"/>
          <w:divBdr>
            <w:top w:val="none" w:sz="0" w:space="0" w:color="auto"/>
            <w:left w:val="none" w:sz="0" w:space="0" w:color="auto"/>
            <w:bottom w:val="none" w:sz="0" w:space="0" w:color="auto"/>
            <w:right w:val="none" w:sz="0" w:space="0" w:color="auto"/>
          </w:divBdr>
        </w:div>
      </w:divsChild>
    </w:div>
    <w:div w:id="125972456">
      <w:bodyDiv w:val="1"/>
      <w:marLeft w:val="0"/>
      <w:marRight w:val="0"/>
      <w:marTop w:val="0"/>
      <w:marBottom w:val="0"/>
      <w:divBdr>
        <w:top w:val="none" w:sz="0" w:space="0" w:color="auto"/>
        <w:left w:val="none" w:sz="0" w:space="0" w:color="auto"/>
        <w:bottom w:val="none" w:sz="0" w:space="0" w:color="auto"/>
        <w:right w:val="none" w:sz="0" w:space="0" w:color="auto"/>
      </w:divBdr>
    </w:div>
    <w:div w:id="131099736">
      <w:bodyDiv w:val="1"/>
      <w:marLeft w:val="0"/>
      <w:marRight w:val="0"/>
      <w:marTop w:val="0"/>
      <w:marBottom w:val="0"/>
      <w:divBdr>
        <w:top w:val="none" w:sz="0" w:space="0" w:color="auto"/>
        <w:left w:val="none" w:sz="0" w:space="0" w:color="auto"/>
        <w:bottom w:val="none" w:sz="0" w:space="0" w:color="auto"/>
        <w:right w:val="none" w:sz="0" w:space="0" w:color="auto"/>
      </w:divBdr>
    </w:div>
    <w:div w:id="131678958">
      <w:bodyDiv w:val="1"/>
      <w:marLeft w:val="0"/>
      <w:marRight w:val="0"/>
      <w:marTop w:val="0"/>
      <w:marBottom w:val="0"/>
      <w:divBdr>
        <w:top w:val="none" w:sz="0" w:space="0" w:color="auto"/>
        <w:left w:val="none" w:sz="0" w:space="0" w:color="auto"/>
        <w:bottom w:val="none" w:sz="0" w:space="0" w:color="auto"/>
        <w:right w:val="none" w:sz="0" w:space="0" w:color="auto"/>
      </w:divBdr>
    </w:div>
    <w:div w:id="134417394">
      <w:bodyDiv w:val="1"/>
      <w:marLeft w:val="0"/>
      <w:marRight w:val="0"/>
      <w:marTop w:val="0"/>
      <w:marBottom w:val="0"/>
      <w:divBdr>
        <w:top w:val="none" w:sz="0" w:space="0" w:color="auto"/>
        <w:left w:val="none" w:sz="0" w:space="0" w:color="auto"/>
        <w:bottom w:val="none" w:sz="0" w:space="0" w:color="auto"/>
        <w:right w:val="none" w:sz="0" w:space="0" w:color="auto"/>
      </w:divBdr>
    </w:div>
    <w:div w:id="134421946">
      <w:bodyDiv w:val="1"/>
      <w:marLeft w:val="0"/>
      <w:marRight w:val="0"/>
      <w:marTop w:val="0"/>
      <w:marBottom w:val="0"/>
      <w:divBdr>
        <w:top w:val="none" w:sz="0" w:space="0" w:color="auto"/>
        <w:left w:val="none" w:sz="0" w:space="0" w:color="auto"/>
        <w:bottom w:val="none" w:sz="0" w:space="0" w:color="auto"/>
        <w:right w:val="none" w:sz="0" w:space="0" w:color="auto"/>
      </w:divBdr>
    </w:div>
    <w:div w:id="136269198">
      <w:bodyDiv w:val="1"/>
      <w:marLeft w:val="0"/>
      <w:marRight w:val="0"/>
      <w:marTop w:val="0"/>
      <w:marBottom w:val="0"/>
      <w:divBdr>
        <w:top w:val="none" w:sz="0" w:space="0" w:color="auto"/>
        <w:left w:val="none" w:sz="0" w:space="0" w:color="auto"/>
        <w:bottom w:val="none" w:sz="0" w:space="0" w:color="auto"/>
        <w:right w:val="none" w:sz="0" w:space="0" w:color="auto"/>
      </w:divBdr>
    </w:div>
    <w:div w:id="138036837">
      <w:bodyDiv w:val="1"/>
      <w:marLeft w:val="0"/>
      <w:marRight w:val="0"/>
      <w:marTop w:val="0"/>
      <w:marBottom w:val="0"/>
      <w:divBdr>
        <w:top w:val="none" w:sz="0" w:space="0" w:color="auto"/>
        <w:left w:val="none" w:sz="0" w:space="0" w:color="auto"/>
        <w:bottom w:val="none" w:sz="0" w:space="0" w:color="auto"/>
        <w:right w:val="none" w:sz="0" w:space="0" w:color="auto"/>
      </w:divBdr>
    </w:div>
    <w:div w:id="138622065">
      <w:bodyDiv w:val="1"/>
      <w:marLeft w:val="0"/>
      <w:marRight w:val="0"/>
      <w:marTop w:val="0"/>
      <w:marBottom w:val="0"/>
      <w:divBdr>
        <w:top w:val="none" w:sz="0" w:space="0" w:color="auto"/>
        <w:left w:val="none" w:sz="0" w:space="0" w:color="auto"/>
        <w:bottom w:val="none" w:sz="0" w:space="0" w:color="auto"/>
        <w:right w:val="none" w:sz="0" w:space="0" w:color="auto"/>
      </w:divBdr>
    </w:div>
    <w:div w:id="138806763">
      <w:bodyDiv w:val="1"/>
      <w:marLeft w:val="0"/>
      <w:marRight w:val="0"/>
      <w:marTop w:val="0"/>
      <w:marBottom w:val="0"/>
      <w:divBdr>
        <w:top w:val="none" w:sz="0" w:space="0" w:color="auto"/>
        <w:left w:val="none" w:sz="0" w:space="0" w:color="auto"/>
        <w:bottom w:val="none" w:sz="0" w:space="0" w:color="auto"/>
        <w:right w:val="none" w:sz="0" w:space="0" w:color="auto"/>
      </w:divBdr>
    </w:div>
    <w:div w:id="138888308">
      <w:bodyDiv w:val="1"/>
      <w:marLeft w:val="0"/>
      <w:marRight w:val="0"/>
      <w:marTop w:val="0"/>
      <w:marBottom w:val="0"/>
      <w:divBdr>
        <w:top w:val="none" w:sz="0" w:space="0" w:color="auto"/>
        <w:left w:val="none" w:sz="0" w:space="0" w:color="auto"/>
        <w:bottom w:val="none" w:sz="0" w:space="0" w:color="auto"/>
        <w:right w:val="none" w:sz="0" w:space="0" w:color="auto"/>
      </w:divBdr>
    </w:div>
    <w:div w:id="141889417">
      <w:bodyDiv w:val="1"/>
      <w:marLeft w:val="0"/>
      <w:marRight w:val="0"/>
      <w:marTop w:val="0"/>
      <w:marBottom w:val="0"/>
      <w:divBdr>
        <w:top w:val="none" w:sz="0" w:space="0" w:color="auto"/>
        <w:left w:val="none" w:sz="0" w:space="0" w:color="auto"/>
        <w:bottom w:val="none" w:sz="0" w:space="0" w:color="auto"/>
        <w:right w:val="none" w:sz="0" w:space="0" w:color="auto"/>
      </w:divBdr>
    </w:div>
    <w:div w:id="142965414">
      <w:bodyDiv w:val="1"/>
      <w:marLeft w:val="0"/>
      <w:marRight w:val="0"/>
      <w:marTop w:val="0"/>
      <w:marBottom w:val="0"/>
      <w:divBdr>
        <w:top w:val="none" w:sz="0" w:space="0" w:color="auto"/>
        <w:left w:val="none" w:sz="0" w:space="0" w:color="auto"/>
        <w:bottom w:val="none" w:sz="0" w:space="0" w:color="auto"/>
        <w:right w:val="none" w:sz="0" w:space="0" w:color="auto"/>
      </w:divBdr>
    </w:div>
    <w:div w:id="145053832">
      <w:bodyDiv w:val="1"/>
      <w:marLeft w:val="0"/>
      <w:marRight w:val="0"/>
      <w:marTop w:val="0"/>
      <w:marBottom w:val="0"/>
      <w:divBdr>
        <w:top w:val="none" w:sz="0" w:space="0" w:color="auto"/>
        <w:left w:val="none" w:sz="0" w:space="0" w:color="auto"/>
        <w:bottom w:val="none" w:sz="0" w:space="0" w:color="auto"/>
        <w:right w:val="none" w:sz="0" w:space="0" w:color="auto"/>
      </w:divBdr>
    </w:div>
    <w:div w:id="147091270">
      <w:bodyDiv w:val="1"/>
      <w:marLeft w:val="0"/>
      <w:marRight w:val="0"/>
      <w:marTop w:val="0"/>
      <w:marBottom w:val="0"/>
      <w:divBdr>
        <w:top w:val="none" w:sz="0" w:space="0" w:color="auto"/>
        <w:left w:val="none" w:sz="0" w:space="0" w:color="auto"/>
        <w:bottom w:val="none" w:sz="0" w:space="0" w:color="auto"/>
        <w:right w:val="none" w:sz="0" w:space="0" w:color="auto"/>
      </w:divBdr>
    </w:div>
    <w:div w:id="148639324">
      <w:bodyDiv w:val="1"/>
      <w:marLeft w:val="0"/>
      <w:marRight w:val="0"/>
      <w:marTop w:val="0"/>
      <w:marBottom w:val="0"/>
      <w:divBdr>
        <w:top w:val="none" w:sz="0" w:space="0" w:color="auto"/>
        <w:left w:val="none" w:sz="0" w:space="0" w:color="auto"/>
        <w:bottom w:val="none" w:sz="0" w:space="0" w:color="auto"/>
        <w:right w:val="none" w:sz="0" w:space="0" w:color="auto"/>
      </w:divBdr>
    </w:div>
    <w:div w:id="149754283">
      <w:bodyDiv w:val="1"/>
      <w:marLeft w:val="0"/>
      <w:marRight w:val="0"/>
      <w:marTop w:val="0"/>
      <w:marBottom w:val="0"/>
      <w:divBdr>
        <w:top w:val="none" w:sz="0" w:space="0" w:color="auto"/>
        <w:left w:val="none" w:sz="0" w:space="0" w:color="auto"/>
        <w:bottom w:val="none" w:sz="0" w:space="0" w:color="auto"/>
        <w:right w:val="none" w:sz="0" w:space="0" w:color="auto"/>
      </w:divBdr>
    </w:div>
    <w:div w:id="150218374">
      <w:bodyDiv w:val="1"/>
      <w:marLeft w:val="0"/>
      <w:marRight w:val="0"/>
      <w:marTop w:val="0"/>
      <w:marBottom w:val="0"/>
      <w:divBdr>
        <w:top w:val="none" w:sz="0" w:space="0" w:color="auto"/>
        <w:left w:val="none" w:sz="0" w:space="0" w:color="auto"/>
        <w:bottom w:val="none" w:sz="0" w:space="0" w:color="auto"/>
        <w:right w:val="none" w:sz="0" w:space="0" w:color="auto"/>
      </w:divBdr>
    </w:div>
    <w:div w:id="162672366">
      <w:bodyDiv w:val="1"/>
      <w:marLeft w:val="0"/>
      <w:marRight w:val="0"/>
      <w:marTop w:val="0"/>
      <w:marBottom w:val="0"/>
      <w:divBdr>
        <w:top w:val="none" w:sz="0" w:space="0" w:color="auto"/>
        <w:left w:val="none" w:sz="0" w:space="0" w:color="auto"/>
        <w:bottom w:val="none" w:sz="0" w:space="0" w:color="auto"/>
        <w:right w:val="none" w:sz="0" w:space="0" w:color="auto"/>
      </w:divBdr>
    </w:div>
    <w:div w:id="162673584">
      <w:bodyDiv w:val="1"/>
      <w:marLeft w:val="0"/>
      <w:marRight w:val="0"/>
      <w:marTop w:val="0"/>
      <w:marBottom w:val="0"/>
      <w:divBdr>
        <w:top w:val="none" w:sz="0" w:space="0" w:color="auto"/>
        <w:left w:val="none" w:sz="0" w:space="0" w:color="auto"/>
        <w:bottom w:val="none" w:sz="0" w:space="0" w:color="auto"/>
        <w:right w:val="none" w:sz="0" w:space="0" w:color="auto"/>
      </w:divBdr>
    </w:div>
    <w:div w:id="163054218">
      <w:bodyDiv w:val="1"/>
      <w:marLeft w:val="0"/>
      <w:marRight w:val="0"/>
      <w:marTop w:val="0"/>
      <w:marBottom w:val="0"/>
      <w:divBdr>
        <w:top w:val="none" w:sz="0" w:space="0" w:color="auto"/>
        <w:left w:val="none" w:sz="0" w:space="0" w:color="auto"/>
        <w:bottom w:val="none" w:sz="0" w:space="0" w:color="auto"/>
        <w:right w:val="none" w:sz="0" w:space="0" w:color="auto"/>
      </w:divBdr>
    </w:div>
    <w:div w:id="163085188">
      <w:bodyDiv w:val="1"/>
      <w:marLeft w:val="0"/>
      <w:marRight w:val="0"/>
      <w:marTop w:val="0"/>
      <w:marBottom w:val="0"/>
      <w:divBdr>
        <w:top w:val="none" w:sz="0" w:space="0" w:color="auto"/>
        <w:left w:val="none" w:sz="0" w:space="0" w:color="auto"/>
        <w:bottom w:val="none" w:sz="0" w:space="0" w:color="auto"/>
        <w:right w:val="none" w:sz="0" w:space="0" w:color="auto"/>
      </w:divBdr>
    </w:div>
    <w:div w:id="163787903">
      <w:bodyDiv w:val="1"/>
      <w:marLeft w:val="0"/>
      <w:marRight w:val="0"/>
      <w:marTop w:val="0"/>
      <w:marBottom w:val="0"/>
      <w:divBdr>
        <w:top w:val="none" w:sz="0" w:space="0" w:color="auto"/>
        <w:left w:val="none" w:sz="0" w:space="0" w:color="auto"/>
        <w:bottom w:val="none" w:sz="0" w:space="0" w:color="auto"/>
        <w:right w:val="none" w:sz="0" w:space="0" w:color="auto"/>
      </w:divBdr>
    </w:div>
    <w:div w:id="164712160">
      <w:bodyDiv w:val="1"/>
      <w:marLeft w:val="0"/>
      <w:marRight w:val="0"/>
      <w:marTop w:val="0"/>
      <w:marBottom w:val="0"/>
      <w:divBdr>
        <w:top w:val="none" w:sz="0" w:space="0" w:color="auto"/>
        <w:left w:val="none" w:sz="0" w:space="0" w:color="auto"/>
        <w:bottom w:val="none" w:sz="0" w:space="0" w:color="auto"/>
        <w:right w:val="none" w:sz="0" w:space="0" w:color="auto"/>
      </w:divBdr>
    </w:div>
    <w:div w:id="165753612">
      <w:bodyDiv w:val="1"/>
      <w:marLeft w:val="0"/>
      <w:marRight w:val="0"/>
      <w:marTop w:val="0"/>
      <w:marBottom w:val="0"/>
      <w:divBdr>
        <w:top w:val="none" w:sz="0" w:space="0" w:color="auto"/>
        <w:left w:val="none" w:sz="0" w:space="0" w:color="auto"/>
        <w:bottom w:val="none" w:sz="0" w:space="0" w:color="auto"/>
        <w:right w:val="none" w:sz="0" w:space="0" w:color="auto"/>
      </w:divBdr>
    </w:div>
    <w:div w:id="166528001">
      <w:bodyDiv w:val="1"/>
      <w:marLeft w:val="0"/>
      <w:marRight w:val="0"/>
      <w:marTop w:val="0"/>
      <w:marBottom w:val="0"/>
      <w:divBdr>
        <w:top w:val="none" w:sz="0" w:space="0" w:color="auto"/>
        <w:left w:val="none" w:sz="0" w:space="0" w:color="auto"/>
        <w:bottom w:val="none" w:sz="0" w:space="0" w:color="auto"/>
        <w:right w:val="none" w:sz="0" w:space="0" w:color="auto"/>
      </w:divBdr>
    </w:div>
    <w:div w:id="168832196">
      <w:bodyDiv w:val="1"/>
      <w:marLeft w:val="0"/>
      <w:marRight w:val="0"/>
      <w:marTop w:val="0"/>
      <w:marBottom w:val="0"/>
      <w:divBdr>
        <w:top w:val="none" w:sz="0" w:space="0" w:color="auto"/>
        <w:left w:val="none" w:sz="0" w:space="0" w:color="auto"/>
        <w:bottom w:val="none" w:sz="0" w:space="0" w:color="auto"/>
        <w:right w:val="none" w:sz="0" w:space="0" w:color="auto"/>
      </w:divBdr>
    </w:div>
    <w:div w:id="169104597">
      <w:bodyDiv w:val="1"/>
      <w:marLeft w:val="0"/>
      <w:marRight w:val="0"/>
      <w:marTop w:val="0"/>
      <w:marBottom w:val="0"/>
      <w:divBdr>
        <w:top w:val="none" w:sz="0" w:space="0" w:color="auto"/>
        <w:left w:val="none" w:sz="0" w:space="0" w:color="auto"/>
        <w:bottom w:val="none" w:sz="0" w:space="0" w:color="auto"/>
        <w:right w:val="none" w:sz="0" w:space="0" w:color="auto"/>
      </w:divBdr>
    </w:div>
    <w:div w:id="181944536">
      <w:bodyDiv w:val="1"/>
      <w:marLeft w:val="0"/>
      <w:marRight w:val="0"/>
      <w:marTop w:val="0"/>
      <w:marBottom w:val="0"/>
      <w:divBdr>
        <w:top w:val="none" w:sz="0" w:space="0" w:color="auto"/>
        <w:left w:val="none" w:sz="0" w:space="0" w:color="auto"/>
        <w:bottom w:val="none" w:sz="0" w:space="0" w:color="auto"/>
        <w:right w:val="none" w:sz="0" w:space="0" w:color="auto"/>
      </w:divBdr>
      <w:divsChild>
        <w:div w:id="307126329">
          <w:marLeft w:val="2246"/>
          <w:marRight w:val="0"/>
          <w:marTop w:val="115"/>
          <w:marBottom w:val="0"/>
          <w:divBdr>
            <w:top w:val="none" w:sz="0" w:space="0" w:color="auto"/>
            <w:left w:val="none" w:sz="0" w:space="0" w:color="auto"/>
            <w:bottom w:val="none" w:sz="0" w:space="0" w:color="auto"/>
            <w:right w:val="none" w:sz="0" w:space="0" w:color="auto"/>
          </w:divBdr>
        </w:div>
        <w:div w:id="365258634">
          <w:marLeft w:val="691"/>
          <w:marRight w:val="0"/>
          <w:marTop w:val="0"/>
          <w:marBottom w:val="0"/>
          <w:divBdr>
            <w:top w:val="none" w:sz="0" w:space="0" w:color="auto"/>
            <w:left w:val="none" w:sz="0" w:space="0" w:color="auto"/>
            <w:bottom w:val="none" w:sz="0" w:space="0" w:color="auto"/>
            <w:right w:val="none" w:sz="0" w:space="0" w:color="auto"/>
          </w:divBdr>
        </w:div>
        <w:div w:id="654990367">
          <w:marLeft w:val="691"/>
          <w:marRight w:val="0"/>
          <w:marTop w:val="0"/>
          <w:marBottom w:val="0"/>
          <w:divBdr>
            <w:top w:val="none" w:sz="0" w:space="0" w:color="auto"/>
            <w:left w:val="none" w:sz="0" w:space="0" w:color="auto"/>
            <w:bottom w:val="none" w:sz="0" w:space="0" w:color="auto"/>
            <w:right w:val="none" w:sz="0" w:space="0" w:color="auto"/>
          </w:divBdr>
        </w:div>
        <w:div w:id="871654787">
          <w:marLeft w:val="691"/>
          <w:marRight w:val="0"/>
          <w:marTop w:val="0"/>
          <w:marBottom w:val="0"/>
          <w:divBdr>
            <w:top w:val="none" w:sz="0" w:space="0" w:color="auto"/>
            <w:left w:val="none" w:sz="0" w:space="0" w:color="auto"/>
            <w:bottom w:val="none" w:sz="0" w:space="0" w:color="auto"/>
            <w:right w:val="none" w:sz="0" w:space="0" w:color="auto"/>
          </w:divBdr>
        </w:div>
        <w:div w:id="984553104">
          <w:marLeft w:val="691"/>
          <w:marRight w:val="0"/>
          <w:marTop w:val="0"/>
          <w:marBottom w:val="0"/>
          <w:divBdr>
            <w:top w:val="none" w:sz="0" w:space="0" w:color="auto"/>
            <w:left w:val="none" w:sz="0" w:space="0" w:color="auto"/>
            <w:bottom w:val="none" w:sz="0" w:space="0" w:color="auto"/>
            <w:right w:val="none" w:sz="0" w:space="0" w:color="auto"/>
          </w:divBdr>
        </w:div>
        <w:div w:id="1337922546">
          <w:marLeft w:val="2246"/>
          <w:marRight w:val="0"/>
          <w:marTop w:val="115"/>
          <w:marBottom w:val="0"/>
          <w:divBdr>
            <w:top w:val="none" w:sz="0" w:space="0" w:color="auto"/>
            <w:left w:val="none" w:sz="0" w:space="0" w:color="auto"/>
            <w:bottom w:val="none" w:sz="0" w:space="0" w:color="auto"/>
            <w:right w:val="none" w:sz="0" w:space="0" w:color="auto"/>
          </w:divBdr>
        </w:div>
        <w:div w:id="1451630592">
          <w:marLeft w:val="2246"/>
          <w:marRight w:val="0"/>
          <w:marTop w:val="115"/>
          <w:marBottom w:val="0"/>
          <w:divBdr>
            <w:top w:val="none" w:sz="0" w:space="0" w:color="auto"/>
            <w:left w:val="none" w:sz="0" w:space="0" w:color="auto"/>
            <w:bottom w:val="none" w:sz="0" w:space="0" w:color="auto"/>
            <w:right w:val="none" w:sz="0" w:space="0" w:color="auto"/>
          </w:divBdr>
        </w:div>
        <w:div w:id="1500385850">
          <w:marLeft w:val="691"/>
          <w:marRight w:val="0"/>
          <w:marTop w:val="0"/>
          <w:marBottom w:val="0"/>
          <w:divBdr>
            <w:top w:val="none" w:sz="0" w:space="0" w:color="auto"/>
            <w:left w:val="none" w:sz="0" w:space="0" w:color="auto"/>
            <w:bottom w:val="none" w:sz="0" w:space="0" w:color="auto"/>
            <w:right w:val="none" w:sz="0" w:space="0" w:color="auto"/>
          </w:divBdr>
        </w:div>
        <w:div w:id="1522818420">
          <w:marLeft w:val="2246"/>
          <w:marRight w:val="0"/>
          <w:marTop w:val="115"/>
          <w:marBottom w:val="0"/>
          <w:divBdr>
            <w:top w:val="none" w:sz="0" w:space="0" w:color="auto"/>
            <w:left w:val="none" w:sz="0" w:space="0" w:color="auto"/>
            <w:bottom w:val="none" w:sz="0" w:space="0" w:color="auto"/>
            <w:right w:val="none" w:sz="0" w:space="0" w:color="auto"/>
          </w:divBdr>
        </w:div>
        <w:div w:id="1752040092">
          <w:marLeft w:val="2246"/>
          <w:marRight w:val="0"/>
          <w:marTop w:val="115"/>
          <w:marBottom w:val="0"/>
          <w:divBdr>
            <w:top w:val="none" w:sz="0" w:space="0" w:color="auto"/>
            <w:left w:val="none" w:sz="0" w:space="0" w:color="auto"/>
            <w:bottom w:val="none" w:sz="0" w:space="0" w:color="auto"/>
            <w:right w:val="none" w:sz="0" w:space="0" w:color="auto"/>
          </w:divBdr>
        </w:div>
      </w:divsChild>
    </w:div>
    <w:div w:id="185100120">
      <w:bodyDiv w:val="1"/>
      <w:marLeft w:val="0"/>
      <w:marRight w:val="0"/>
      <w:marTop w:val="0"/>
      <w:marBottom w:val="0"/>
      <w:divBdr>
        <w:top w:val="none" w:sz="0" w:space="0" w:color="auto"/>
        <w:left w:val="none" w:sz="0" w:space="0" w:color="auto"/>
        <w:bottom w:val="none" w:sz="0" w:space="0" w:color="auto"/>
        <w:right w:val="none" w:sz="0" w:space="0" w:color="auto"/>
      </w:divBdr>
    </w:div>
    <w:div w:id="187186141">
      <w:bodyDiv w:val="1"/>
      <w:marLeft w:val="0"/>
      <w:marRight w:val="0"/>
      <w:marTop w:val="0"/>
      <w:marBottom w:val="0"/>
      <w:divBdr>
        <w:top w:val="none" w:sz="0" w:space="0" w:color="auto"/>
        <w:left w:val="none" w:sz="0" w:space="0" w:color="auto"/>
        <w:bottom w:val="none" w:sz="0" w:space="0" w:color="auto"/>
        <w:right w:val="none" w:sz="0" w:space="0" w:color="auto"/>
      </w:divBdr>
    </w:div>
    <w:div w:id="188229557">
      <w:bodyDiv w:val="1"/>
      <w:marLeft w:val="0"/>
      <w:marRight w:val="0"/>
      <w:marTop w:val="0"/>
      <w:marBottom w:val="0"/>
      <w:divBdr>
        <w:top w:val="none" w:sz="0" w:space="0" w:color="auto"/>
        <w:left w:val="none" w:sz="0" w:space="0" w:color="auto"/>
        <w:bottom w:val="none" w:sz="0" w:space="0" w:color="auto"/>
        <w:right w:val="none" w:sz="0" w:space="0" w:color="auto"/>
      </w:divBdr>
    </w:div>
    <w:div w:id="192500470">
      <w:bodyDiv w:val="1"/>
      <w:marLeft w:val="0"/>
      <w:marRight w:val="0"/>
      <w:marTop w:val="0"/>
      <w:marBottom w:val="0"/>
      <w:divBdr>
        <w:top w:val="none" w:sz="0" w:space="0" w:color="auto"/>
        <w:left w:val="none" w:sz="0" w:space="0" w:color="auto"/>
        <w:bottom w:val="none" w:sz="0" w:space="0" w:color="auto"/>
        <w:right w:val="none" w:sz="0" w:space="0" w:color="auto"/>
      </w:divBdr>
    </w:div>
    <w:div w:id="193232147">
      <w:bodyDiv w:val="1"/>
      <w:marLeft w:val="0"/>
      <w:marRight w:val="0"/>
      <w:marTop w:val="0"/>
      <w:marBottom w:val="0"/>
      <w:divBdr>
        <w:top w:val="none" w:sz="0" w:space="0" w:color="auto"/>
        <w:left w:val="none" w:sz="0" w:space="0" w:color="auto"/>
        <w:bottom w:val="none" w:sz="0" w:space="0" w:color="auto"/>
        <w:right w:val="none" w:sz="0" w:space="0" w:color="auto"/>
      </w:divBdr>
    </w:div>
    <w:div w:id="193812718">
      <w:bodyDiv w:val="1"/>
      <w:marLeft w:val="0"/>
      <w:marRight w:val="0"/>
      <w:marTop w:val="0"/>
      <w:marBottom w:val="0"/>
      <w:divBdr>
        <w:top w:val="none" w:sz="0" w:space="0" w:color="auto"/>
        <w:left w:val="none" w:sz="0" w:space="0" w:color="auto"/>
        <w:bottom w:val="none" w:sz="0" w:space="0" w:color="auto"/>
        <w:right w:val="none" w:sz="0" w:space="0" w:color="auto"/>
      </w:divBdr>
    </w:div>
    <w:div w:id="195196315">
      <w:bodyDiv w:val="1"/>
      <w:marLeft w:val="0"/>
      <w:marRight w:val="0"/>
      <w:marTop w:val="0"/>
      <w:marBottom w:val="0"/>
      <w:divBdr>
        <w:top w:val="none" w:sz="0" w:space="0" w:color="auto"/>
        <w:left w:val="none" w:sz="0" w:space="0" w:color="auto"/>
        <w:bottom w:val="none" w:sz="0" w:space="0" w:color="auto"/>
        <w:right w:val="none" w:sz="0" w:space="0" w:color="auto"/>
      </w:divBdr>
    </w:div>
    <w:div w:id="196159113">
      <w:bodyDiv w:val="1"/>
      <w:marLeft w:val="0"/>
      <w:marRight w:val="0"/>
      <w:marTop w:val="0"/>
      <w:marBottom w:val="0"/>
      <w:divBdr>
        <w:top w:val="none" w:sz="0" w:space="0" w:color="auto"/>
        <w:left w:val="none" w:sz="0" w:space="0" w:color="auto"/>
        <w:bottom w:val="none" w:sz="0" w:space="0" w:color="auto"/>
        <w:right w:val="none" w:sz="0" w:space="0" w:color="auto"/>
      </w:divBdr>
    </w:div>
    <w:div w:id="199829376">
      <w:bodyDiv w:val="1"/>
      <w:marLeft w:val="0"/>
      <w:marRight w:val="0"/>
      <w:marTop w:val="0"/>
      <w:marBottom w:val="0"/>
      <w:divBdr>
        <w:top w:val="none" w:sz="0" w:space="0" w:color="auto"/>
        <w:left w:val="none" w:sz="0" w:space="0" w:color="auto"/>
        <w:bottom w:val="none" w:sz="0" w:space="0" w:color="auto"/>
        <w:right w:val="none" w:sz="0" w:space="0" w:color="auto"/>
      </w:divBdr>
    </w:div>
    <w:div w:id="201598959">
      <w:bodyDiv w:val="1"/>
      <w:marLeft w:val="0"/>
      <w:marRight w:val="0"/>
      <w:marTop w:val="0"/>
      <w:marBottom w:val="0"/>
      <w:divBdr>
        <w:top w:val="none" w:sz="0" w:space="0" w:color="auto"/>
        <w:left w:val="none" w:sz="0" w:space="0" w:color="auto"/>
        <w:bottom w:val="none" w:sz="0" w:space="0" w:color="auto"/>
        <w:right w:val="none" w:sz="0" w:space="0" w:color="auto"/>
      </w:divBdr>
    </w:div>
    <w:div w:id="202258890">
      <w:bodyDiv w:val="1"/>
      <w:marLeft w:val="0"/>
      <w:marRight w:val="0"/>
      <w:marTop w:val="0"/>
      <w:marBottom w:val="0"/>
      <w:divBdr>
        <w:top w:val="none" w:sz="0" w:space="0" w:color="auto"/>
        <w:left w:val="none" w:sz="0" w:space="0" w:color="auto"/>
        <w:bottom w:val="none" w:sz="0" w:space="0" w:color="auto"/>
        <w:right w:val="none" w:sz="0" w:space="0" w:color="auto"/>
      </w:divBdr>
    </w:div>
    <w:div w:id="205025413">
      <w:bodyDiv w:val="1"/>
      <w:marLeft w:val="0"/>
      <w:marRight w:val="0"/>
      <w:marTop w:val="0"/>
      <w:marBottom w:val="0"/>
      <w:divBdr>
        <w:top w:val="none" w:sz="0" w:space="0" w:color="auto"/>
        <w:left w:val="none" w:sz="0" w:space="0" w:color="auto"/>
        <w:bottom w:val="none" w:sz="0" w:space="0" w:color="auto"/>
        <w:right w:val="none" w:sz="0" w:space="0" w:color="auto"/>
      </w:divBdr>
    </w:div>
    <w:div w:id="205068976">
      <w:bodyDiv w:val="1"/>
      <w:marLeft w:val="0"/>
      <w:marRight w:val="0"/>
      <w:marTop w:val="0"/>
      <w:marBottom w:val="0"/>
      <w:divBdr>
        <w:top w:val="none" w:sz="0" w:space="0" w:color="auto"/>
        <w:left w:val="none" w:sz="0" w:space="0" w:color="auto"/>
        <w:bottom w:val="none" w:sz="0" w:space="0" w:color="auto"/>
        <w:right w:val="none" w:sz="0" w:space="0" w:color="auto"/>
      </w:divBdr>
    </w:div>
    <w:div w:id="206768613">
      <w:bodyDiv w:val="1"/>
      <w:marLeft w:val="0"/>
      <w:marRight w:val="0"/>
      <w:marTop w:val="0"/>
      <w:marBottom w:val="0"/>
      <w:divBdr>
        <w:top w:val="none" w:sz="0" w:space="0" w:color="auto"/>
        <w:left w:val="none" w:sz="0" w:space="0" w:color="auto"/>
        <w:bottom w:val="none" w:sz="0" w:space="0" w:color="auto"/>
        <w:right w:val="none" w:sz="0" w:space="0" w:color="auto"/>
      </w:divBdr>
    </w:div>
    <w:div w:id="210382575">
      <w:bodyDiv w:val="1"/>
      <w:marLeft w:val="0"/>
      <w:marRight w:val="0"/>
      <w:marTop w:val="0"/>
      <w:marBottom w:val="0"/>
      <w:divBdr>
        <w:top w:val="none" w:sz="0" w:space="0" w:color="auto"/>
        <w:left w:val="none" w:sz="0" w:space="0" w:color="auto"/>
        <w:bottom w:val="none" w:sz="0" w:space="0" w:color="auto"/>
        <w:right w:val="none" w:sz="0" w:space="0" w:color="auto"/>
      </w:divBdr>
    </w:div>
    <w:div w:id="210650493">
      <w:bodyDiv w:val="1"/>
      <w:marLeft w:val="0"/>
      <w:marRight w:val="0"/>
      <w:marTop w:val="0"/>
      <w:marBottom w:val="0"/>
      <w:divBdr>
        <w:top w:val="none" w:sz="0" w:space="0" w:color="auto"/>
        <w:left w:val="none" w:sz="0" w:space="0" w:color="auto"/>
        <w:bottom w:val="none" w:sz="0" w:space="0" w:color="auto"/>
        <w:right w:val="none" w:sz="0" w:space="0" w:color="auto"/>
      </w:divBdr>
    </w:div>
    <w:div w:id="216285266">
      <w:bodyDiv w:val="1"/>
      <w:marLeft w:val="0"/>
      <w:marRight w:val="0"/>
      <w:marTop w:val="0"/>
      <w:marBottom w:val="0"/>
      <w:divBdr>
        <w:top w:val="none" w:sz="0" w:space="0" w:color="auto"/>
        <w:left w:val="none" w:sz="0" w:space="0" w:color="auto"/>
        <w:bottom w:val="none" w:sz="0" w:space="0" w:color="auto"/>
        <w:right w:val="none" w:sz="0" w:space="0" w:color="auto"/>
      </w:divBdr>
    </w:div>
    <w:div w:id="218321500">
      <w:bodyDiv w:val="1"/>
      <w:marLeft w:val="0"/>
      <w:marRight w:val="0"/>
      <w:marTop w:val="0"/>
      <w:marBottom w:val="0"/>
      <w:divBdr>
        <w:top w:val="none" w:sz="0" w:space="0" w:color="auto"/>
        <w:left w:val="none" w:sz="0" w:space="0" w:color="auto"/>
        <w:bottom w:val="none" w:sz="0" w:space="0" w:color="auto"/>
        <w:right w:val="none" w:sz="0" w:space="0" w:color="auto"/>
      </w:divBdr>
    </w:div>
    <w:div w:id="218635831">
      <w:bodyDiv w:val="1"/>
      <w:marLeft w:val="0"/>
      <w:marRight w:val="0"/>
      <w:marTop w:val="0"/>
      <w:marBottom w:val="0"/>
      <w:divBdr>
        <w:top w:val="none" w:sz="0" w:space="0" w:color="auto"/>
        <w:left w:val="none" w:sz="0" w:space="0" w:color="auto"/>
        <w:bottom w:val="none" w:sz="0" w:space="0" w:color="auto"/>
        <w:right w:val="none" w:sz="0" w:space="0" w:color="auto"/>
      </w:divBdr>
    </w:div>
    <w:div w:id="222105525">
      <w:bodyDiv w:val="1"/>
      <w:marLeft w:val="0"/>
      <w:marRight w:val="0"/>
      <w:marTop w:val="0"/>
      <w:marBottom w:val="0"/>
      <w:divBdr>
        <w:top w:val="none" w:sz="0" w:space="0" w:color="auto"/>
        <w:left w:val="none" w:sz="0" w:space="0" w:color="auto"/>
        <w:bottom w:val="none" w:sz="0" w:space="0" w:color="auto"/>
        <w:right w:val="none" w:sz="0" w:space="0" w:color="auto"/>
      </w:divBdr>
    </w:div>
    <w:div w:id="225142406">
      <w:bodyDiv w:val="1"/>
      <w:marLeft w:val="0"/>
      <w:marRight w:val="0"/>
      <w:marTop w:val="0"/>
      <w:marBottom w:val="0"/>
      <w:divBdr>
        <w:top w:val="none" w:sz="0" w:space="0" w:color="auto"/>
        <w:left w:val="none" w:sz="0" w:space="0" w:color="auto"/>
        <w:bottom w:val="none" w:sz="0" w:space="0" w:color="auto"/>
        <w:right w:val="none" w:sz="0" w:space="0" w:color="auto"/>
      </w:divBdr>
    </w:div>
    <w:div w:id="229660215">
      <w:bodyDiv w:val="1"/>
      <w:marLeft w:val="0"/>
      <w:marRight w:val="0"/>
      <w:marTop w:val="0"/>
      <w:marBottom w:val="0"/>
      <w:divBdr>
        <w:top w:val="none" w:sz="0" w:space="0" w:color="auto"/>
        <w:left w:val="none" w:sz="0" w:space="0" w:color="auto"/>
        <w:bottom w:val="none" w:sz="0" w:space="0" w:color="auto"/>
        <w:right w:val="none" w:sz="0" w:space="0" w:color="auto"/>
      </w:divBdr>
    </w:div>
    <w:div w:id="232816151">
      <w:bodyDiv w:val="1"/>
      <w:marLeft w:val="0"/>
      <w:marRight w:val="0"/>
      <w:marTop w:val="0"/>
      <w:marBottom w:val="0"/>
      <w:divBdr>
        <w:top w:val="none" w:sz="0" w:space="0" w:color="auto"/>
        <w:left w:val="none" w:sz="0" w:space="0" w:color="auto"/>
        <w:bottom w:val="none" w:sz="0" w:space="0" w:color="auto"/>
        <w:right w:val="none" w:sz="0" w:space="0" w:color="auto"/>
      </w:divBdr>
    </w:div>
    <w:div w:id="234322399">
      <w:bodyDiv w:val="1"/>
      <w:marLeft w:val="0"/>
      <w:marRight w:val="0"/>
      <w:marTop w:val="0"/>
      <w:marBottom w:val="0"/>
      <w:divBdr>
        <w:top w:val="none" w:sz="0" w:space="0" w:color="auto"/>
        <w:left w:val="none" w:sz="0" w:space="0" w:color="auto"/>
        <w:bottom w:val="none" w:sz="0" w:space="0" w:color="auto"/>
        <w:right w:val="none" w:sz="0" w:space="0" w:color="auto"/>
      </w:divBdr>
    </w:div>
    <w:div w:id="237060468">
      <w:bodyDiv w:val="1"/>
      <w:marLeft w:val="0"/>
      <w:marRight w:val="0"/>
      <w:marTop w:val="0"/>
      <w:marBottom w:val="0"/>
      <w:divBdr>
        <w:top w:val="none" w:sz="0" w:space="0" w:color="auto"/>
        <w:left w:val="none" w:sz="0" w:space="0" w:color="auto"/>
        <w:bottom w:val="none" w:sz="0" w:space="0" w:color="auto"/>
        <w:right w:val="none" w:sz="0" w:space="0" w:color="auto"/>
      </w:divBdr>
    </w:div>
    <w:div w:id="237637251">
      <w:bodyDiv w:val="1"/>
      <w:marLeft w:val="0"/>
      <w:marRight w:val="0"/>
      <w:marTop w:val="0"/>
      <w:marBottom w:val="0"/>
      <w:divBdr>
        <w:top w:val="none" w:sz="0" w:space="0" w:color="auto"/>
        <w:left w:val="none" w:sz="0" w:space="0" w:color="auto"/>
        <w:bottom w:val="none" w:sz="0" w:space="0" w:color="auto"/>
        <w:right w:val="none" w:sz="0" w:space="0" w:color="auto"/>
      </w:divBdr>
    </w:div>
    <w:div w:id="238255243">
      <w:bodyDiv w:val="1"/>
      <w:marLeft w:val="0"/>
      <w:marRight w:val="0"/>
      <w:marTop w:val="0"/>
      <w:marBottom w:val="0"/>
      <w:divBdr>
        <w:top w:val="none" w:sz="0" w:space="0" w:color="auto"/>
        <w:left w:val="none" w:sz="0" w:space="0" w:color="auto"/>
        <w:bottom w:val="none" w:sz="0" w:space="0" w:color="auto"/>
        <w:right w:val="none" w:sz="0" w:space="0" w:color="auto"/>
      </w:divBdr>
    </w:div>
    <w:div w:id="244655229">
      <w:bodyDiv w:val="1"/>
      <w:marLeft w:val="0"/>
      <w:marRight w:val="0"/>
      <w:marTop w:val="0"/>
      <w:marBottom w:val="0"/>
      <w:divBdr>
        <w:top w:val="none" w:sz="0" w:space="0" w:color="auto"/>
        <w:left w:val="none" w:sz="0" w:space="0" w:color="auto"/>
        <w:bottom w:val="none" w:sz="0" w:space="0" w:color="auto"/>
        <w:right w:val="none" w:sz="0" w:space="0" w:color="auto"/>
      </w:divBdr>
    </w:div>
    <w:div w:id="245113615">
      <w:bodyDiv w:val="1"/>
      <w:marLeft w:val="0"/>
      <w:marRight w:val="0"/>
      <w:marTop w:val="0"/>
      <w:marBottom w:val="0"/>
      <w:divBdr>
        <w:top w:val="none" w:sz="0" w:space="0" w:color="auto"/>
        <w:left w:val="none" w:sz="0" w:space="0" w:color="auto"/>
        <w:bottom w:val="none" w:sz="0" w:space="0" w:color="auto"/>
        <w:right w:val="none" w:sz="0" w:space="0" w:color="auto"/>
      </w:divBdr>
    </w:div>
    <w:div w:id="247690030">
      <w:bodyDiv w:val="1"/>
      <w:marLeft w:val="0"/>
      <w:marRight w:val="0"/>
      <w:marTop w:val="0"/>
      <w:marBottom w:val="0"/>
      <w:divBdr>
        <w:top w:val="none" w:sz="0" w:space="0" w:color="auto"/>
        <w:left w:val="none" w:sz="0" w:space="0" w:color="auto"/>
        <w:bottom w:val="none" w:sz="0" w:space="0" w:color="auto"/>
        <w:right w:val="none" w:sz="0" w:space="0" w:color="auto"/>
      </w:divBdr>
    </w:div>
    <w:div w:id="249119154">
      <w:bodyDiv w:val="1"/>
      <w:marLeft w:val="0"/>
      <w:marRight w:val="0"/>
      <w:marTop w:val="0"/>
      <w:marBottom w:val="0"/>
      <w:divBdr>
        <w:top w:val="none" w:sz="0" w:space="0" w:color="auto"/>
        <w:left w:val="none" w:sz="0" w:space="0" w:color="auto"/>
        <w:bottom w:val="none" w:sz="0" w:space="0" w:color="auto"/>
        <w:right w:val="none" w:sz="0" w:space="0" w:color="auto"/>
      </w:divBdr>
    </w:div>
    <w:div w:id="249586927">
      <w:bodyDiv w:val="1"/>
      <w:marLeft w:val="0"/>
      <w:marRight w:val="0"/>
      <w:marTop w:val="0"/>
      <w:marBottom w:val="0"/>
      <w:divBdr>
        <w:top w:val="none" w:sz="0" w:space="0" w:color="auto"/>
        <w:left w:val="none" w:sz="0" w:space="0" w:color="auto"/>
        <w:bottom w:val="none" w:sz="0" w:space="0" w:color="auto"/>
        <w:right w:val="none" w:sz="0" w:space="0" w:color="auto"/>
      </w:divBdr>
    </w:div>
    <w:div w:id="253981032">
      <w:bodyDiv w:val="1"/>
      <w:marLeft w:val="0"/>
      <w:marRight w:val="0"/>
      <w:marTop w:val="0"/>
      <w:marBottom w:val="0"/>
      <w:divBdr>
        <w:top w:val="none" w:sz="0" w:space="0" w:color="auto"/>
        <w:left w:val="none" w:sz="0" w:space="0" w:color="auto"/>
        <w:bottom w:val="none" w:sz="0" w:space="0" w:color="auto"/>
        <w:right w:val="none" w:sz="0" w:space="0" w:color="auto"/>
      </w:divBdr>
    </w:div>
    <w:div w:id="254635963">
      <w:bodyDiv w:val="1"/>
      <w:marLeft w:val="0"/>
      <w:marRight w:val="0"/>
      <w:marTop w:val="0"/>
      <w:marBottom w:val="0"/>
      <w:divBdr>
        <w:top w:val="none" w:sz="0" w:space="0" w:color="auto"/>
        <w:left w:val="none" w:sz="0" w:space="0" w:color="auto"/>
        <w:bottom w:val="none" w:sz="0" w:space="0" w:color="auto"/>
        <w:right w:val="none" w:sz="0" w:space="0" w:color="auto"/>
      </w:divBdr>
    </w:div>
    <w:div w:id="256795677">
      <w:bodyDiv w:val="1"/>
      <w:marLeft w:val="0"/>
      <w:marRight w:val="0"/>
      <w:marTop w:val="0"/>
      <w:marBottom w:val="0"/>
      <w:divBdr>
        <w:top w:val="none" w:sz="0" w:space="0" w:color="auto"/>
        <w:left w:val="none" w:sz="0" w:space="0" w:color="auto"/>
        <w:bottom w:val="none" w:sz="0" w:space="0" w:color="auto"/>
        <w:right w:val="none" w:sz="0" w:space="0" w:color="auto"/>
      </w:divBdr>
    </w:div>
    <w:div w:id="257714889">
      <w:bodyDiv w:val="1"/>
      <w:marLeft w:val="0"/>
      <w:marRight w:val="0"/>
      <w:marTop w:val="0"/>
      <w:marBottom w:val="0"/>
      <w:divBdr>
        <w:top w:val="none" w:sz="0" w:space="0" w:color="auto"/>
        <w:left w:val="none" w:sz="0" w:space="0" w:color="auto"/>
        <w:bottom w:val="none" w:sz="0" w:space="0" w:color="auto"/>
        <w:right w:val="none" w:sz="0" w:space="0" w:color="auto"/>
      </w:divBdr>
    </w:div>
    <w:div w:id="258105841">
      <w:bodyDiv w:val="1"/>
      <w:marLeft w:val="0"/>
      <w:marRight w:val="0"/>
      <w:marTop w:val="0"/>
      <w:marBottom w:val="0"/>
      <w:divBdr>
        <w:top w:val="none" w:sz="0" w:space="0" w:color="auto"/>
        <w:left w:val="none" w:sz="0" w:space="0" w:color="auto"/>
        <w:bottom w:val="none" w:sz="0" w:space="0" w:color="auto"/>
        <w:right w:val="none" w:sz="0" w:space="0" w:color="auto"/>
      </w:divBdr>
    </w:div>
    <w:div w:id="259729030">
      <w:bodyDiv w:val="1"/>
      <w:marLeft w:val="0"/>
      <w:marRight w:val="0"/>
      <w:marTop w:val="0"/>
      <w:marBottom w:val="0"/>
      <w:divBdr>
        <w:top w:val="none" w:sz="0" w:space="0" w:color="auto"/>
        <w:left w:val="none" w:sz="0" w:space="0" w:color="auto"/>
        <w:bottom w:val="none" w:sz="0" w:space="0" w:color="auto"/>
        <w:right w:val="none" w:sz="0" w:space="0" w:color="auto"/>
      </w:divBdr>
    </w:div>
    <w:div w:id="266036576">
      <w:bodyDiv w:val="1"/>
      <w:marLeft w:val="0"/>
      <w:marRight w:val="0"/>
      <w:marTop w:val="0"/>
      <w:marBottom w:val="0"/>
      <w:divBdr>
        <w:top w:val="none" w:sz="0" w:space="0" w:color="auto"/>
        <w:left w:val="none" w:sz="0" w:space="0" w:color="auto"/>
        <w:bottom w:val="none" w:sz="0" w:space="0" w:color="auto"/>
        <w:right w:val="none" w:sz="0" w:space="0" w:color="auto"/>
      </w:divBdr>
    </w:div>
    <w:div w:id="267549669">
      <w:bodyDiv w:val="1"/>
      <w:marLeft w:val="0"/>
      <w:marRight w:val="0"/>
      <w:marTop w:val="0"/>
      <w:marBottom w:val="0"/>
      <w:divBdr>
        <w:top w:val="none" w:sz="0" w:space="0" w:color="auto"/>
        <w:left w:val="none" w:sz="0" w:space="0" w:color="auto"/>
        <w:bottom w:val="none" w:sz="0" w:space="0" w:color="auto"/>
        <w:right w:val="none" w:sz="0" w:space="0" w:color="auto"/>
      </w:divBdr>
    </w:div>
    <w:div w:id="270554524">
      <w:bodyDiv w:val="1"/>
      <w:marLeft w:val="0"/>
      <w:marRight w:val="0"/>
      <w:marTop w:val="0"/>
      <w:marBottom w:val="0"/>
      <w:divBdr>
        <w:top w:val="none" w:sz="0" w:space="0" w:color="auto"/>
        <w:left w:val="none" w:sz="0" w:space="0" w:color="auto"/>
        <w:bottom w:val="none" w:sz="0" w:space="0" w:color="auto"/>
        <w:right w:val="none" w:sz="0" w:space="0" w:color="auto"/>
      </w:divBdr>
    </w:div>
    <w:div w:id="271788430">
      <w:bodyDiv w:val="1"/>
      <w:marLeft w:val="0"/>
      <w:marRight w:val="0"/>
      <w:marTop w:val="0"/>
      <w:marBottom w:val="0"/>
      <w:divBdr>
        <w:top w:val="none" w:sz="0" w:space="0" w:color="auto"/>
        <w:left w:val="none" w:sz="0" w:space="0" w:color="auto"/>
        <w:bottom w:val="none" w:sz="0" w:space="0" w:color="auto"/>
        <w:right w:val="none" w:sz="0" w:space="0" w:color="auto"/>
      </w:divBdr>
    </w:div>
    <w:div w:id="280846551">
      <w:bodyDiv w:val="1"/>
      <w:marLeft w:val="0"/>
      <w:marRight w:val="0"/>
      <w:marTop w:val="0"/>
      <w:marBottom w:val="0"/>
      <w:divBdr>
        <w:top w:val="none" w:sz="0" w:space="0" w:color="auto"/>
        <w:left w:val="none" w:sz="0" w:space="0" w:color="auto"/>
        <w:bottom w:val="none" w:sz="0" w:space="0" w:color="auto"/>
        <w:right w:val="none" w:sz="0" w:space="0" w:color="auto"/>
      </w:divBdr>
    </w:div>
    <w:div w:id="284165198">
      <w:bodyDiv w:val="1"/>
      <w:marLeft w:val="0"/>
      <w:marRight w:val="0"/>
      <w:marTop w:val="0"/>
      <w:marBottom w:val="0"/>
      <w:divBdr>
        <w:top w:val="none" w:sz="0" w:space="0" w:color="auto"/>
        <w:left w:val="none" w:sz="0" w:space="0" w:color="auto"/>
        <w:bottom w:val="none" w:sz="0" w:space="0" w:color="auto"/>
        <w:right w:val="none" w:sz="0" w:space="0" w:color="auto"/>
      </w:divBdr>
    </w:div>
    <w:div w:id="285892605">
      <w:bodyDiv w:val="1"/>
      <w:marLeft w:val="0"/>
      <w:marRight w:val="0"/>
      <w:marTop w:val="0"/>
      <w:marBottom w:val="0"/>
      <w:divBdr>
        <w:top w:val="none" w:sz="0" w:space="0" w:color="auto"/>
        <w:left w:val="none" w:sz="0" w:space="0" w:color="auto"/>
        <w:bottom w:val="none" w:sz="0" w:space="0" w:color="auto"/>
        <w:right w:val="none" w:sz="0" w:space="0" w:color="auto"/>
      </w:divBdr>
    </w:div>
    <w:div w:id="291911569">
      <w:bodyDiv w:val="1"/>
      <w:marLeft w:val="0"/>
      <w:marRight w:val="0"/>
      <w:marTop w:val="0"/>
      <w:marBottom w:val="0"/>
      <w:divBdr>
        <w:top w:val="none" w:sz="0" w:space="0" w:color="auto"/>
        <w:left w:val="none" w:sz="0" w:space="0" w:color="auto"/>
        <w:bottom w:val="none" w:sz="0" w:space="0" w:color="auto"/>
        <w:right w:val="none" w:sz="0" w:space="0" w:color="auto"/>
      </w:divBdr>
    </w:div>
    <w:div w:id="292488246">
      <w:bodyDiv w:val="1"/>
      <w:marLeft w:val="0"/>
      <w:marRight w:val="0"/>
      <w:marTop w:val="0"/>
      <w:marBottom w:val="0"/>
      <w:divBdr>
        <w:top w:val="none" w:sz="0" w:space="0" w:color="auto"/>
        <w:left w:val="none" w:sz="0" w:space="0" w:color="auto"/>
        <w:bottom w:val="none" w:sz="0" w:space="0" w:color="auto"/>
        <w:right w:val="none" w:sz="0" w:space="0" w:color="auto"/>
      </w:divBdr>
    </w:div>
    <w:div w:id="293994695">
      <w:bodyDiv w:val="1"/>
      <w:marLeft w:val="0"/>
      <w:marRight w:val="0"/>
      <w:marTop w:val="0"/>
      <w:marBottom w:val="0"/>
      <w:divBdr>
        <w:top w:val="none" w:sz="0" w:space="0" w:color="auto"/>
        <w:left w:val="none" w:sz="0" w:space="0" w:color="auto"/>
        <w:bottom w:val="none" w:sz="0" w:space="0" w:color="auto"/>
        <w:right w:val="none" w:sz="0" w:space="0" w:color="auto"/>
      </w:divBdr>
    </w:div>
    <w:div w:id="299268360">
      <w:bodyDiv w:val="1"/>
      <w:marLeft w:val="0"/>
      <w:marRight w:val="0"/>
      <w:marTop w:val="0"/>
      <w:marBottom w:val="0"/>
      <w:divBdr>
        <w:top w:val="none" w:sz="0" w:space="0" w:color="auto"/>
        <w:left w:val="none" w:sz="0" w:space="0" w:color="auto"/>
        <w:bottom w:val="none" w:sz="0" w:space="0" w:color="auto"/>
        <w:right w:val="none" w:sz="0" w:space="0" w:color="auto"/>
      </w:divBdr>
    </w:div>
    <w:div w:id="302663091">
      <w:bodyDiv w:val="1"/>
      <w:marLeft w:val="0"/>
      <w:marRight w:val="0"/>
      <w:marTop w:val="0"/>
      <w:marBottom w:val="0"/>
      <w:divBdr>
        <w:top w:val="none" w:sz="0" w:space="0" w:color="auto"/>
        <w:left w:val="none" w:sz="0" w:space="0" w:color="auto"/>
        <w:bottom w:val="none" w:sz="0" w:space="0" w:color="auto"/>
        <w:right w:val="none" w:sz="0" w:space="0" w:color="auto"/>
      </w:divBdr>
    </w:div>
    <w:div w:id="303043742">
      <w:bodyDiv w:val="1"/>
      <w:marLeft w:val="0"/>
      <w:marRight w:val="0"/>
      <w:marTop w:val="0"/>
      <w:marBottom w:val="0"/>
      <w:divBdr>
        <w:top w:val="none" w:sz="0" w:space="0" w:color="auto"/>
        <w:left w:val="none" w:sz="0" w:space="0" w:color="auto"/>
        <w:bottom w:val="none" w:sz="0" w:space="0" w:color="auto"/>
        <w:right w:val="none" w:sz="0" w:space="0" w:color="auto"/>
      </w:divBdr>
    </w:div>
    <w:div w:id="303505440">
      <w:bodyDiv w:val="1"/>
      <w:marLeft w:val="0"/>
      <w:marRight w:val="0"/>
      <w:marTop w:val="0"/>
      <w:marBottom w:val="0"/>
      <w:divBdr>
        <w:top w:val="none" w:sz="0" w:space="0" w:color="auto"/>
        <w:left w:val="none" w:sz="0" w:space="0" w:color="auto"/>
        <w:bottom w:val="none" w:sz="0" w:space="0" w:color="auto"/>
        <w:right w:val="none" w:sz="0" w:space="0" w:color="auto"/>
      </w:divBdr>
    </w:div>
    <w:div w:id="308487633">
      <w:bodyDiv w:val="1"/>
      <w:marLeft w:val="0"/>
      <w:marRight w:val="0"/>
      <w:marTop w:val="0"/>
      <w:marBottom w:val="0"/>
      <w:divBdr>
        <w:top w:val="none" w:sz="0" w:space="0" w:color="auto"/>
        <w:left w:val="none" w:sz="0" w:space="0" w:color="auto"/>
        <w:bottom w:val="none" w:sz="0" w:space="0" w:color="auto"/>
        <w:right w:val="none" w:sz="0" w:space="0" w:color="auto"/>
      </w:divBdr>
    </w:div>
    <w:div w:id="309214261">
      <w:bodyDiv w:val="1"/>
      <w:marLeft w:val="0"/>
      <w:marRight w:val="0"/>
      <w:marTop w:val="0"/>
      <w:marBottom w:val="0"/>
      <w:divBdr>
        <w:top w:val="none" w:sz="0" w:space="0" w:color="auto"/>
        <w:left w:val="none" w:sz="0" w:space="0" w:color="auto"/>
        <w:bottom w:val="none" w:sz="0" w:space="0" w:color="auto"/>
        <w:right w:val="none" w:sz="0" w:space="0" w:color="auto"/>
      </w:divBdr>
    </w:div>
    <w:div w:id="312025150">
      <w:bodyDiv w:val="1"/>
      <w:marLeft w:val="0"/>
      <w:marRight w:val="0"/>
      <w:marTop w:val="0"/>
      <w:marBottom w:val="0"/>
      <w:divBdr>
        <w:top w:val="none" w:sz="0" w:space="0" w:color="auto"/>
        <w:left w:val="none" w:sz="0" w:space="0" w:color="auto"/>
        <w:bottom w:val="none" w:sz="0" w:space="0" w:color="auto"/>
        <w:right w:val="none" w:sz="0" w:space="0" w:color="auto"/>
      </w:divBdr>
    </w:div>
    <w:div w:id="312415080">
      <w:bodyDiv w:val="1"/>
      <w:marLeft w:val="0"/>
      <w:marRight w:val="0"/>
      <w:marTop w:val="0"/>
      <w:marBottom w:val="0"/>
      <w:divBdr>
        <w:top w:val="none" w:sz="0" w:space="0" w:color="auto"/>
        <w:left w:val="none" w:sz="0" w:space="0" w:color="auto"/>
        <w:bottom w:val="none" w:sz="0" w:space="0" w:color="auto"/>
        <w:right w:val="none" w:sz="0" w:space="0" w:color="auto"/>
      </w:divBdr>
    </w:div>
    <w:div w:id="312947444">
      <w:bodyDiv w:val="1"/>
      <w:marLeft w:val="0"/>
      <w:marRight w:val="0"/>
      <w:marTop w:val="0"/>
      <w:marBottom w:val="0"/>
      <w:divBdr>
        <w:top w:val="none" w:sz="0" w:space="0" w:color="auto"/>
        <w:left w:val="none" w:sz="0" w:space="0" w:color="auto"/>
        <w:bottom w:val="none" w:sz="0" w:space="0" w:color="auto"/>
        <w:right w:val="none" w:sz="0" w:space="0" w:color="auto"/>
      </w:divBdr>
    </w:div>
    <w:div w:id="314527125">
      <w:bodyDiv w:val="1"/>
      <w:marLeft w:val="0"/>
      <w:marRight w:val="0"/>
      <w:marTop w:val="0"/>
      <w:marBottom w:val="0"/>
      <w:divBdr>
        <w:top w:val="none" w:sz="0" w:space="0" w:color="auto"/>
        <w:left w:val="none" w:sz="0" w:space="0" w:color="auto"/>
        <w:bottom w:val="none" w:sz="0" w:space="0" w:color="auto"/>
        <w:right w:val="none" w:sz="0" w:space="0" w:color="auto"/>
      </w:divBdr>
    </w:div>
    <w:div w:id="322392150">
      <w:bodyDiv w:val="1"/>
      <w:marLeft w:val="0"/>
      <w:marRight w:val="0"/>
      <w:marTop w:val="0"/>
      <w:marBottom w:val="0"/>
      <w:divBdr>
        <w:top w:val="none" w:sz="0" w:space="0" w:color="auto"/>
        <w:left w:val="none" w:sz="0" w:space="0" w:color="auto"/>
        <w:bottom w:val="none" w:sz="0" w:space="0" w:color="auto"/>
        <w:right w:val="none" w:sz="0" w:space="0" w:color="auto"/>
      </w:divBdr>
    </w:div>
    <w:div w:id="323583711">
      <w:bodyDiv w:val="1"/>
      <w:marLeft w:val="0"/>
      <w:marRight w:val="0"/>
      <w:marTop w:val="0"/>
      <w:marBottom w:val="0"/>
      <w:divBdr>
        <w:top w:val="none" w:sz="0" w:space="0" w:color="auto"/>
        <w:left w:val="none" w:sz="0" w:space="0" w:color="auto"/>
        <w:bottom w:val="none" w:sz="0" w:space="0" w:color="auto"/>
        <w:right w:val="none" w:sz="0" w:space="0" w:color="auto"/>
      </w:divBdr>
    </w:div>
    <w:div w:id="324087748">
      <w:bodyDiv w:val="1"/>
      <w:marLeft w:val="0"/>
      <w:marRight w:val="0"/>
      <w:marTop w:val="0"/>
      <w:marBottom w:val="0"/>
      <w:divBdr>
        <w:top w:val="none" w:sz="0" w:space="0" w:color="auto"/>
        <w:left w:val="none" w:sz="0" w:space="0" w:color="auto"/>
        <w:bottom w:val="none" w:sz="0" w:space="0" w:color="auto"/>
        <w:right w:val="none" w:sz="0" w:space="0" w:color="auto"/>
      </w:divBdr>
    </w:div>
    <w:div w:id="326370549">
      <w:bodyDiv w:val="1"/>
      <w:marLeft w:val="0"/>
      <w:marRight w:val="0"/>
      <w:marTop w:val="0"/>
      <w:marBottom w:val="0"/>
      <w:divBdr>
        <w:top w:val="none" w:sz="0" w:space="0" w:color="auto"/>
        <w:left w:val="none" w:sz="0" w:space="0" w:color="auto"/>
        <w:bottom w:val="none" w:sz="0" w:space="0" w:color="auto"/>
        <w:right w:val="none" w:sz="0" w:space="0" w:color="auto"/>
      </w:divBdr>
    </w:div>
    <w:div w:id="326632404">
      <w:bodyDiv w:val="1"/>
      <w:marLeft w:val="0"/>
      <w:marRight w:val="0"/>
      <w:marTop w:val="0"/>
      <w:marBottom w:val="0"/>
      <w:divBdr>
        <w:top w:val="none" w:sz="0" w:space="0" w:color="auto"/>
        <w:left w:val="none" w:sz="0" w:space="0" w:color="auto"/>
        <w:bottom w:val="none" w:sz="0" w:space="0" w:color="auto"/>
        <w:right w:val="none" w:sz="0" w:space="0" w:color="auto"/>
      </w:divBdr>
    </w:div>
    <w:div w:id="332535639">
      <w:bodyDiv w:val="1"/>
      <w:marLeft w:val="0"/>
      <w:marRight w:val="0"/>
      <w:marTop w:val="0"/>
      <w:marBottom w:val="0"/>
      <w:divBdr>
        <w:top w:val="none" w:sz="0" w:space="0" w:color="auto"/>
        <w:left w:val="none" w:sz="0" w:space="0" w:color="auto"/>
        <w:bottom w:val="none" w:sz="0" w:space="0" w:color="auto"/>
        <w:right w:val="none" w:sz="0" w:space="0" w:color="auto"/>
      </w:divBdr>
    </w:div>
    <w:div w:id="335808142">
      <w:bodyDiv w:val="1"/>
      <w:marLeft w:val="0"/>
      <w:marRight w:val="0"/>
      <w:marTop w:val="0"/>
      <w:marBottom w:val="0"/>
      <w:divBdr>
        <w:top w:val="none" w:sz="0" w:space="0" w:color="auto"/>
        <w:left w:val="none" w:sz="0" w:space="0" w:color="auto"/>
        <w:bottom w:val="none" w:sz="0" w:space="0" w:color="auto"/>
        <w:right w:val="none" w:sz="0" w:space="0" w:color="auto"/>
      </w:divBdr>
    </w:div>
    <w:div w:id="336349941">
      <w:bodyDiv w:val="1"/>
      <w:marLeft w:val="0"/>
      <w:marRight w:val="0"/>
      <w:marTop w:val="0"/>
      <w:marBottom w:val="0"/>
      <w:divBdr>
        <w:top w:val="none" w:sz="0" w:space="0" w:color="auto"/>
        <w:left w:val="none" w:sz="0" w:space="0" w:color="auto"/>
        <w:bottom w:val="none" w:sz="0" w:space="0" w:color="auto"/>
        <w:right w:val="none" w:sz="0" w:space="0" w:color="auto"/>
      </w:divBdr>
    </w:div>
    <w:div w:id="340856711">
      <w:bodyDiv w:val="1"/>
      <w:marLeft w:val="0"/>
      <w:marRight w:val="0"/>
      <w:marTop w:val="0"/>
      <w:marBottom w:val="0"/>
      <w:divBdr>
        <w:top w:val="none" w:sz="0" w:space="0" w:color="auto"/>
        <w:left w:val="none" w:sz="0" w:space="0" w:color="auto"/>
        <w:bottom w:val="none" w:sz="0" w:space="0" w:color="auto"/>
        <w:right w:val="none" w:sz="0" w:space="0" w:color="auto"/>
      </w:divBdr>
    </w:div>
    <w:div w:id="352659554">
      <w:bodyDiv w:val="1"/>
      <w:marLeft w:val="0"/>
      <w:marRight w:val="0"/>
      <w:marTop w:val="0"/>
      <w:marBottom w:val="0"/>
      <w:divBdr>
        <w:top w:val="none" w:sz="0" w:space="0" w:color="auto"/>
        <w:left w:val="none" w:sz="0" w:space="0" w:color="auto"/>
        <w:bottom w:val="none" w:sz="0" w:space="0" w:color="auto"/>
        <w:right w:val="none" w:sz="0" w:space="0" w:color="auto"/>
      </w:divBdr>
    </w:div>
    <w:div w:id="355085224">
      <w:bodyDiv w:val="1"/>
      <w:marLeft w:val="0"/>
      <w:marRight w:val="0"/>
      <w:marTop w:val="0"/>
      <w:marBottom w:val="0"/>
      <w:divBdr>
        <w:top w:val="none" w:sz="0" w:space="0" w:color="auto"/>
        <w:left w:val="none" w:sz="0" w:space="0" w:color="auto"/>
        <w:bottom w:val="none" w:sz="0" w:space="0" w:color="auto"/>
        <w:right w:val="none" w:sz="0" w:space="0" w:color="auto"/>
      </w:divBdr>
    </w:div>
    <w:div w:id="355237232">
      <w:bodyDiv w:val="1"/>
      <w:marLeft w:val="0"/>
      <w:marRight w:val="0"/>
      <w:marTop w:val="0"/>
      <w:marBottom w:val="0"/>
      <w:divBdr>
        <w:top w:val="none" w:sz="0" w:space="0" w:color="auto"/>
        <w:left w:val="none" w:sz="0" w:space="0" w:color="auto"/>
        <w:bottom w:val="none" w:sz="0" w:space="0" w:color="auto"/>
        <w:right w:val="none" w:sz="0" w:space="0" w:color="auto"/>
      </w:divBdr>
    </w:div>
    <w:div w:id="358701406">
      <w:bodyDiv w:val="1"/>
      <w:marLeft w:val="0"/>
      <w:marRight w:val="0"/>
      <w:marTop w:val="0"/>
      <w:marBottom w:val="0"/>
      <w:divBdr>
        <w:top w:val="none" w:sz="0" w:space="0" w:color="auto"/>
        <w:left w:val="none" w:sz="0" w:space="0" w:color="auto"/>
        <w:bottom w:val="none" w:sz="0" w:space="0" w:color="auto"/>
        <w:right w:val="none" w:sz="0" w:space="0" w:color="auto"/>
      </w:divBdr>
    </w:div>
    <w:div w:id="360781706">
      <w:bodyDiv w:val="1"/>
      <w:marLeft w:val="0"/>
      <w:marRight w:val="0"/>
      <w:marTop w:val="0"/>
      <w:marBottom w:val="0"/>
      <w:divBdr>
        <w:top w:val="none" w:sz="0" w:space="0" w:color="auto"/>
        <w:left w:val="none" w:sz="0" w:space="0" w:color="auto"/>
        <w:bottom w:val="none" w:sz="0" w:space="0" w:color="auto"/>
        <w:right w:val="none" w:sz="0" w:space="0" w:color="auto"/>
      </w:divBdr>
    </w:div>
    <w:div w:id="362563915">
      <w:bodyDiv w:val="1"/>
      <w:marLeft w:val="0"/>
      <w:marRight w:val="0"/>
      <w:marTop w:val="0"/>
      <w:marBottom w:val="0"/>
      <w:divBdr>
        <w:top w:val="none" w:sz="0" w:space="0" w:color="auto"/>
        <w:left w:val="none" w:sz="0" w:space="0" w:color="auto"/>
        <w:bottom w:val="none" w:sz="0" w:space="0" w:color="auto"/>
        <w:right w:val="none" w:sz="0" w:space="0" w:color="auto"/>
      </w:divBdr>
    </w:div>
    <w:div w:id="370691716">
      <w:bodyDiv w:val="1"/>
      <w:marLeft w:val="0"/>
      <w:marRight w:val="0"/>
      <w:marTop w:val="0"/>
      <w:marBottom w:val="0"/>
      <w:divBdr>
        <w:top w:val="none" w:sz="0" w:space="0" w:color="auto"/>
        <w:left w:val="none" w:sz="0" w:space="0" w:color="auto"/>
        <w:bottom w:val="none" w:sz="0" w:space="0" w:color="auto"/>
        <w:right w:val="none" w:sz="0" w:space="0" w:color="auto"/>
      </w:divBdr>
    </w:div>
    <w:div w:id="370962168">
      <w:bodyDiv w:val="1"/>
      <w:marLeft w:val="0"/>
      <w:marRight w:val="0"/>
      <w:marTop w:val="0"/>
      <w:marBottom w:val="0"/>
      <w:divBdr>
        <w:top w:val="none" w:sz="0" w:space="0" w:color="auto"/>
        <w:left w:val="none" w:sz="0" w:space="0" w:color="auto"/>
        <w:bottom w:val="none" w:sz="0" w:space="0" w:color="auto"/>
        <w:right w:val="none" w:sz="0" w:space="0" w:color="auto"/>
      </w:divBdr>
    </w:div>
    <w:div w:id="375201769">
      <w:bodyDiv w:val="1"/>
      <w:marLeft w:val="0"/>
      <w:marRight w:val="0"/>
      <w:marTop w:val="0"/>
      <w:marBottom w:val="0"/>
      <w:divBdr>
        <w:top w:val="none" w:sz="0" w:space="0" w:color="auto"/>
        <w:left w:val="none" w:sz="0" w:space="0" w:color="auto"/>
        <w:bottom w:val="none" w:sz="0" w:space="0" w:color="auto"/>
        <w:right w:val="none" w:sz="0" w:space="0" w:color="auto"/>
      </w:divBdr>
    </w:div>
    <w:div w:id="380711336">
      <w:bodyDiv w:val="1"/>
      <w:marLeft w:val="0"/>
      <w:marRight w:val="0"/>
      <w:marTop w:val="0"/>
      <w:marBottom w:val="0"/>
      <w:divBdr>
        <w:top w:val="none" w:sz="0" w:space="0" w:color="auto"/>
        <w:left w:val="none" w:sz="0" w:space="0" w:color="auto"/>
        <w:bottom w:val="none" w:sz="0" w:space="0" w:color="auto"/>
        <w:right w:val="none" w:sz="0" w:space="0" w:color="auto"/>
      </w:divBdr>
    </w:div>
    <w:div w:id="383990909">
      <w:bodyDiv w:val="1"/>
      <w:marLeft w:val="0"/>
      <w:marRight w:val="0"/>
      <w:marTop w:val="0"/>
      <w:marBottom w:val="0"/>
      <w:divBdr>
        <w:top w:val="none" w:sz="0" w:space="0" w:color="auto"/>
        <w:left w:val="none" w:sz="0" w:space="0" w:color="auto"/>
        <w:bottom w:val="none" w:sz="0" w:space="0" w:color="auto"/>
        <w:right w:val="none" w:sz="0" w:space="0" w:color="auto"/>
      </w:divBdr>
    </w:div>
    <w:div w:id="384372519">
      <w:bodyDiv w:val="1"/>
      <w:marLeft w:val="0"/>
      <w:marRight w:val="0"/>
      <w:marTop w:val="0"/>
      <w:marBottom w:val="0"/>
      <w:divBdr>
        <w:top w:val="none" w:sz="0" w:space="0" w:color="auto"/>
        <w:left w:val="none" w:sz="0" w:space="0" w:color="auto"/>
        <w:bottom w:val="none" w:sz="0" w:space="0" w:color="auto"/>
        <w:right w:val="none" w:sz="0" w:space="0" w:color="auto"/>
      </w:divBdr>
    </w:div>
    <w:div w:id="384724566">
      <w:bodyDiv w:val="1"/>
      <w:marLeft w:val="0"/>
      <w:marRight w:val="0"/>
      <w:marTop w:val="0"/>
      <w:marBottom w:val="0"/>
      <w:divBdr>
        <w:top w:val="none" w:sz="0" w:space="0" w:color="auto"/>
        <w:left w:val="none" w:sz="0" w:space="0" w:color="auto"/>
        <w:bottom w:val="none" w:sz="0" w:space="0" w:color="auto"/>
        <w:right w:val="none" w:sz="0" w:space="0" w:color="auto"/>
      </w:divBdr>
    </w:div>
    <w:div w:id="386102434">
      <w:bodyDiv w:val="1"/>
      <w:marLeft w:val="0"/>
      <w:marRight w:val="0"/>
      <w:marTop w:val="0"/>
      <w:marBottom w:val="0"/>
      <w:divBdr>
        <w:top w:val="none" w:sz="0" w:space="0" w:color="auto"/>
        <w:left w:val="none" w:sz="0" w:space="0" w:color="auto"/>
        <w:bottom w:val="none" w:sz="0" w:space="0" w:color="auto"/>
        <w:right w:val="none" w:sz="0" w:space="0" w:color="auto"/>
      </w:divBdr>
    </w:div>
    <w:div w:id="386149780">
      <w:bodyDiv w:val="1"/>
      <w:marLeft w:val="0"/>
      <w:marRight w:val="0"/>
      <w:marTop w:val="0"/>
      <w:marBottom w:val="0"/>
      <w:divBdr>
        <w:top w:val="none" w:sz="0" w:space="0" w:color="auto"/>
        <w:left w:val="none" w:sz="0" w:space="0" w:color="auto"/>
        <w:bottom w:val="none" w:sz="0" w:space="0" w:color="auto"/>
        <w:right w:val="none" w:sz="0" w:space="0" w:color="auto"/>
      </w:divBdr>
    </w:div>
    <w:div w:id="387534202">
      <w:bodyDiv w:val="1"/>
      <w:marLeft w:val="0"/>
      <w:marRight w:val="0"/>
      <w:marTop w:val="0"/>
      <w:marBottom w:val="0"/>
      <w:divBdr>
        <w:top w:val="none" w:sz="0" w:space="0" w:color="auto"/>
        <w:left w:val="none" w:sz="0" w:space="0" w:color="auto"/>
        <w:bottom w:val="none" w:sz="0" w:space="0" w:color="auto"/>
        <w:right w:val="none" w:sz="0" w:space="0" w:color="auto"/>
      </w:divBdr>
    </w:div>
    <w:div w:id="391469500">
      <w:bodyDiv w:val="1"/>
      <w:marLeft w:val="0"/>
      <w:marRight w:val="0"/>
      <w:marTop w:val="0"/>
      <w:marBottom w:val="0"/>
      <w:divBdr>
        <w:top w:val="none" w:sz="0" w:space="0" w:color="auto"/>
        <w:left w:val="none" w:sz="0" w:space="0" w:color="auto"/>
        <w:bottom w:val="none" w:sz="0" w:space="0" w:color="auto"/>
        <w:right w:val="none" w:sz="0" w:space="0" w:color="auto"/>
      </w:divBdr>
    </w:div>
    <w:div w:id="391733931">
      <w:bodyDiv w:val="1"/>
      <w:marLeft w:val="0"/>
      <w:marRight w:val="0"/>
      <w:marTop w:val="0"/>
      <w:marBottom w:val="0"/>
      <w:divBdr>
        <w:top w:val="none" w:sz="0" w:space="0" w:color="auto"/>
        <w:left w:val="none" w:sz="0" w:space="0" w:color="auto"/>
        <w:bottom w:val="none" w:sz="0" w:space="0" w:color="auto"/>
        <w:right w:val="none" w:sz="0" w:space="0" w:color="auto"/>
      </w:divBdr>
    </w:div>
    <w:div w:id="391930224">
      <w:bodyDiv w:val="1"/>
      <w:marLeft w:val="0"/>
      <w:marRight w:val="0"/>
      <w:marTop w:val="0"/>
      <w:marBottom w:val="0"/>
      <w:divBdr>
        <w:top w:val="none" w:sz="0" w:space="0" w:color="auto"/>
        <w:left w:val="none" w:sz="0" w:space="0" w:color="auto"/>
        <w:bottom w:val="none" w:sz="0" w:space="0" w:color="auto"/>
        <w:right w:val="none" w:sz="0" w:space="0" w:color="auto"/>
      </w:divBdr>
    </w:div>
    <w:div w:id="394008303">
      <w:bodyDiv w:val="1"/>
      <w:marLeft w:val="0"/>
      <w:marRight w:val="0"/>
      <w:marTop w:val="0"/>
      <w:marBottom w:val="0"/>
      <w:divBdr>
        <w:top w:val="none" w:sz="0" w:space="0" w:color="auto"/>
        <w:left w:val="none" w:sz="0" w:space="0" w:color="auto"/>
        <w:bottom w:val="none" w:sz="0" w:space="0" w:color="auto"/>
        <w:right w:val="none" w:sz="0" w:space="0" w:color="auto"/>
      </w:divBdr>
    </w:div>
    <w:div w:id="394739684">
      <w:bodyDiv w:val="1"/>
      <w:marLeft w:val="0"/>
      <w:marRight w:val="0"/>
      <w:marTop w:val="0"/>
      <w:marBottom w:val="0"/>
      <w:divBdr>
        <w:top w:val="none" w:sz="0" w:space="0" w:color="auto"/>
        <w:left w:val="none" w:sz="0" w:space="0" w:color="auto"/>
        <w:bottom w:val="none" w:sz="0" w:space="0" w:color="auto"/>
        <w:right w:val="none" w:sz="0" w:space="0" w:color="auto"/>
      </w:divBdr>
    </w:div>
    <w:div w:id="397561771">
      <w:bodyDiv w:val="1"/>
      <w:marLeft w:val="0"/>
      <w:marRight w:val="0"/>
      <w:marTop w:val="0"/>
      <w:marBottom w:val="0"/>
      <w:divBdr>
        <w:top w:val="none" w:sz="0" w:space="0" w:color="auto"/>
        <w:left w:val="none" w:sz="0" w:space="0" w:color="auto"/>
        <w:bottom w:val="none" w:sz="0" w:space="0" w:color="auto"/>
        <w:right w:val="none" w:sz="0" w:space="0" w:color="auto"/>
      </w:divBdr>
    </w:div>
    <w:div w:id="397674806">
      <w:bodyDiv w:val="1"/>
      <w:marLeft w:val="0"/>
      <w:marRight w:val="0"/>
      <w:marTop w:val="0"/>
      <w:marBottom w:val="0"/>
      <w:divBdr>
        <w:top w:val="none" w:sz="0" w:space="0" w:color="auto"/>
        <w:left w:val="none" w:sz="0" w:space="0" w:color="auto"/>
        <w:bottom w:val="none" w:sz="0" w:space="0" w:color="auto"/>
        <w:right w:val="none" w:sz="0" w:space="0" w:color="auto"/>
      </w:divBdr>
    </w:div>
    <w:div w:id="401221500">
      <w:bodyDiv w:val="1"/>
      <w:marLeft w:val="0"/>
      <w:marRight w:val="0"/>
      <w:marTop w:val="0"/>
      <w:marBottom w:val="0"/>
      <w:divBdr>
        <w:top w:val="none" w:sz="0" w:space="0" w:color="auto"/>
        <w:left w:val="none" w:sz="0" w:space="0" w:color="auto"/>
        <w:bottom w:val="none" w:sz="0" w:space="0" w:color="auto"/>
        <w:right w:val="none" w:sz="0" w:space="0" w:color="auto"/>
      </w:divBdr>
    </w:div>
    <w:div w:id="403797689">
      <w:bodyDiv w:val="1"/>
      <w:marLeft w:val="0"/>
      <w:marRight w:val="0"/>
      <w:marTop w:val="0"/>
      <w:marBottom w:val="0"/>
      <w:divBdr>
        <w:top w:val="none" w:sz="0" w:space="0" w:color="auto"/>
        <w:left w:val="none" w:sz="0" w:space="0" w:color="auto"/>
        <w:bottom w:val="none" w:sz="0" w:space="0" w:color="auto"/>
        <w:right w:val="none" w:sz="0" w:space="0" w:color="auto"/>
      </w:divBdr>
    </w:div>
    <w:div w:id="405803175">
      <w:bodyDiv w:val="1"/>
      <w:marLeft w:val="0"/>
      <w:marRight w:val="0"/>
      <w:marTop w:val="0"/>
      <w:marBottom w:val="0"/>
      <w:divBdr>
        <w:top w:val="none" w:sz="0" w:space="0" w:color="auto"/>
        <w:left w:val="none" w:sz="0" w:space="0" w:color="auto"/>
        <w:bottom w:val="none" w:sz="0" w:space="0" w:color="auto"/>
        <w:right w:val="none" w:sz="0" w:space="0" w:color="auto"/>
      </w:divBdr>
    </w:div>
    <w:div w:id="406806795">
      <w:bodyDiv w:val="1"/>
      <w:marLeft w:val="0"/>
      <w:marRight w:val="0"/>
      <w:marTop w:val="0"/>
      <w:marBottom w:val="0"/>
      <w:divBdr>
        <w:top w:val="none" w:sz="0" w:space="0" w:color="auto"/>
        <w:left w:val="none" w:sz="0" w:space="0" w:color="auto"/>
        <w:bottom w:val="none" w:sz="0" w:space="0" w:color="auto"/>
        <w:right w:val="none" w:sz="0" w:space="0" w:color="auto"/>
      </w:divBdr>
    </w:div>
    <w:div w:id="408499610">
      <w:bodyDiv w:val="1"/>
      <w:marLeft w:val="0"/>
      <w:marRight w:val="0"/>
      <w:marTop w:val="0"/>
      <w:marBottom w:val="0"/>
      <w:divBdr>
        <w:top w:val="none" w:sz="0" w:space="0" w:color="auto"/>
        <w:left w:val="none" w:sz="0" w:space="0" w:color="auto"/>
        <w:bottom w:val="none" w:sz="0" w:space="0" w:color="auto"/>
        <w:right w:val="none" w:sz="0" w:space="0" w:color="auto"/>
      </w:divBdr>
    </w:div>
    <w:div w:id="423963872">
      <w:bodyDiv w:val="1"/>
      <w:marLeft w:val="0"/>
      <w:marRight w:val="0"/>
      <w:marTop w:val="0"/>
      <w:marBottom w:val="0"/>
      <w:divBdr>
        <w:top w:val="none" w:sz="0" w:space="0" w:color="auto"/>
        <w:left w:val="none" w:sz="0" w:space="0" w:color="auto"/>
        <w:bottom w:val="none" w:sz="0" w:space="0" w:color="auto"/>
        <w:right w:val="none" w:sz="0" w:space="0" w:color="auto"/>
      </w:divBdr>
    </w:div>
    <w:div w:id="424812275">
      <w:bodyDiv w:val="1"/>
      <w:marLeft w:val="0"/>
      <w:marRight w:val="0"/>
      <w:marTop w:val="0"/>
      <w:marBottom w:val="0"/>
      <w:divBdr>
        <w:top w:val="none" w:sz="0" w:space="0" w:color="auto"/>
        <w:left w:val="none" w:sz="0" w:space="0" w:color="auto"/>
        <w:bottom w:val="none" w:sz="0" w:space="0" w:color="auto"/>
        <w:right w:val="none" w:sz="0" w:space="0" w:color="auto"/>
      </w:divBdr>
    </w:div>
    <w:div w:id="429668610">
      <w:bodyDiv w:val="1"/>
      <w:marLeft w:val="0"/>
      <w:marRight w:val="0"/>
      <w:marTop w:val="0"/>
      <w:marBottom w:val="0"/>
      <w:divBdr>
        <w:top w:val="none" w:sz="0" w:space="0" w:color="auto"/>
        <w:left w:val="none" w:sz="0" w:space="0" w:color="auto"/>
        <w:bottom w:val="none" w:sz="0" w:space="0" w:color="auto"/>
        <w:right w:val="none" w:sz="0" w:space="0" w:color="auto"/>
      </w:divBdr>
    </w:div>
    <w:div w:id="436604946">
      <w:bodyDiv w:val="1"/>
      <w:marLeft w:val="0"/>
      <w:marRight w:val="0"/>
      <w:marTop w:val="0"/>
      <w:marBottom w:val="0"/>
      <w:divBdr>
        <w:top w:val="none" w:sz="0" w:space="0" w:color="auto"/>
        <w:left w:val="none" w:sz="0" w:space="0" w:color="auto"/>
        <w:bottom w:val="none" w:sz="0" w:space="0" w:color="auto"/>
        <w:right w:val="none" w:sz="0" w:space="0" w:color="auto"/>
      </w:divBdr>
    </w:div>
    <w:div w:id="437144160">
      <w:bodyDiv w:val="1"/>
      <w:marLeft w:val="0"/>
      <w:marRight w:val="0"/>
      <w:marTop w:val="0"/>
      <w:marBottom w:val="0"/>
      <w:divBdr>
        <w:top w:val="none" w:sz="0" w:space="0" w:color="auto"/>
        <w:left w:val="none" w:sz="0" w:space="0" w:color="auto"/>
        <w:bottom w:val="none" w:sz="0" w:space="0" w:color="auto"/>
        <w:right w:val="none" w:sz="0" w:space="0" w:color="auto"/>
      </w:divBdr>
    </w:div>
    <w:div w:id="438333483">
      <w:bodyDiv w:val="1"/>
      <w:marLeft w:val="0"/>
      <w:marRight w:val="0"/>
      <w:marTop w:val="0"/>
      <w:marBottom w:val="0"/>
      <w:divBdr>
        <w:top w:val="none" w:sz="0" w:space="0" w:color="auto"/>
        <w:left w:val="none" w:sz="0" w:space="0" w:color="auto"/>
        <w:bottom w:val="none" w:sz="0" w:space="0" w:color="auto"/>
        <w:right w:val="none" w:sz="0" w:space="0" w:color="auto"/>
      </w:divBdr>
    </w:div>
    <w:div w:id="439296111">
      <w:bodyDiv w:val="1"/>
      <w:marLeft w:val="0"/>
      <w:marRight w:val="0"/>
      <w:marTop w:val="0"/>
      <w:marBottom w:val="0"/>
      <w:divBdr>
        <w:top w:val="none" w:sz="0" w:space="0" w:color="auto"/>
        <w:left w:val="none" w:sz="0" w:space="0" w:color="auto"/>
        <w:bottom w:val="none" w:sz="0" w:space="0" w:color="auto"/>
        <w:right w:val="none" w:sz="0" w:space="0" w:color="auto"/>
      </w:divBdr>
    </w:div>
    <w:div w:id="443891777">
      <w:bodyDiv w:val="1"/>
      <w:marLeft w:val="0"/>
      <w:marRight w:val="0"/>
      <w:marTop w:val="0"/>
      <w:marBottom w:val="0"/>
      <w:divBdr>
        <w:top w:val="none" w:sz="0" w:space="0" w:color="auto"/>
        <w:left w:val="none" w:sz="0" w:space="0" w:color="auto"/>
        <w:bottom w:val="none" w:sz="0" w:space="0" w:color="auto"/>
        <w:right w:val="none" w:sz="0" w:space="0" w:color="auto"/>
      </w:divBdr>
    </w:div>
    <w:div w:id="444034287">
      <w:bodyDiv w:val="1"/>
      <w:marLeft w:val="0"/>
      <w:marRight w:val="0"/>
      <w:marTop w:val="0"/>
      <w:marBottom w:val="0"/>
      <w:divBdr>
        <w:top w:val="none" w:sz="0" w:space="0" w:color="auto"/>
        <w:left w:val="none" w:sz="0" w:space="0" w:color="auto"/>
        <w:bottom w:val="none" w:sz="0" w:space="0" w:color="auto"/>
        <w:right w:val="none" w:sz="0" w:space="0" w:color="auto"/>
      </w:divBdr>
    </w:div>
    <w:div w:id="447546076">
      <w:bodyDiv w:val="1"/>
      <w:marLeft w:val="0"/>
      <w:marRight w:val="0"/>
      <w:marTop w:val="0"/>
      <w:marBottom w:val="0"/>
      <w:divBdr>
        <w:top w:val="none" w:sz="0" w:space="0" w:color="auto"/>
        <w:left w:val="none" w:sz="0" w:space="0" w:color="auto"/>
        <w:bottom w:val="none" w:sz="0" w:space="0" w:color="auto"/>
        <w:right w:val="none" w:sz="0" w:space="0" w:color="auto"/>
      </w:divBdr>
    </w:div>
    <w:div w:id="447746853">
      <w:bodyDiv w:val="1"/>
      <w:marLeft w:val="0"/>
      <w:marRight w:val="0"/>
      <w:marTop w:val="0"/>
      <w:marBottom w:val="0"/>
      <w:divBdr>
        <w:top w:val="none" w:sz="0" w:space="0" w:color="auto"/>
        <w:left w:val="none" w:sz="0" w:space="0" w:color="auto"/>
        <w:bottom w:val="none" w:sz="0" w:space="0" w:color="auto"/>
        <w:right w:val="none" w:sz="0" w:space="0" w:color="auto"/>
      </w:divBdr>
    </w:div>
    <w:div w:id="449401054">
      <w:bodyDiv w:val="1"/>
      <w:marLeft w:val="0"/>
      <w:marRight w:val="0"/>
      <w:marTop w:val="0"/>
      <w:marBottom w:val="0"/>
      <w:divBdr>
        <w:top w:val="none" w:sz="0" w:space="0" w:color="auto"/>
        <w:left w:val="none" w:sz="0" w:space="0" w:color="auto"/>
        <w:bottom w:val="none" w:sz="0" w:space="0" w:color="auto"/>
        <w:right w:val="none" w:sz="0" w:space="0" w:color="auto"/>
      </w:divBdr>
    </w:div>
    <w:div w:id="449858698">
      <w:bodyDiv w:val="1"/>
      <w:marLeft w:val="0"/>
      <w:marRight w:val="0"/>
      <w:marTop w:val="0"/>
      <w:marBottom w:val="0"/>
      <w:divBdr>
        <w:top w:val="none" w:sz="0" w:space="0" w:color="auto"/>
        <w:left w:val="none" w:sz="0" w:space="0" w:color="auto"/>
        <w:bottom w:val="none" w:sz="0" w:space="0" w:color="auto"/>
        <w:right w:val="none" w:sz="0" w:space="0" w:color="auto"/>
      </w:divBdr>
    </w:div>
    <w:div w:id="452138612">
      <w:bodyDiv w:val="1"/>
      <w:marLeft w:val="0"/>
      <w:marRight w:val="0"/>
      <w:marTop w:val="0"/>
      <w:marBottom w:val="0"/>
      <w:divBdr>
        <w:top w:val="none" w:sz="0" w:space="0" w:color="auto"/>
        <w:left w:val="none" w:sz="0" w:space="0" w:color="auto"/>
        <w:bottom w:val="none" w:sz="0" w:space="0" w:color="auto"/>
        <w:right w:val="none" w:sz="0" w:space="0" w:color="auto"/>
      </w:divBdr>
    </w:div>
    <w:div w:id="453064879">
      <w:bodyDiv w:val="1"/>
      <w:marLeft w:val="0"/>
      <w:marRight w:val="0"/>
      <w:marTop w:val="0"/>
      <w:marBottom w:val="0"/>
      <w:divBdr>
        <w:top w:val="none" w:sz="0" w:space="0" w:color="auto"/>
        <w:left w:val="none" w:sz="0" w:space="0" w:color="auto"/>
        <w:bottom w:val="none" w:sz="0" w:space="0" w:color="auto"/>
        <w:right w:val="none" w:sz="0" w:space="0" w:color="auto"/>
      </w:divBdr>
    </w:div>
    <w:div w:id="455411394">
      <w:bodyDiv w:val="1"/>
      <w:marLeft w:val="0"/>
      <w:marRight w:val="0"/>
      <w:marTop w:val="0"/>
      <w:marBottom w:val="0"/>
      <w:divBdr>
        <w:top w:val="none" w:sz="0" w:space="0" w:color="auto"/>
        <w:left w:val="none" w:sz="0" w:space="0" w:color="auto"/>
        <w:bottom w:val="none" w:sz="0" w:space="0" w:color="auto"/>
        <w:right w:val="none" w:sz="0" w:space="0" w:color="auto"/>
      </w:divBdr>
    </w:div>
    <w:div w:id="461462477">
      <w:bodyDiv w:val="1"/>
      <w:marLeft w:val="0"/>
      <w:marRight w:val="0"/>
      <w:marTop w:val="0"/>
      <w:marBottom w:val="0"/>
      <w:divBdr>
        <w:top w:val="none" w:sz="0" w:space="0" w:color="auto"/>
        <w:left w:val="none" w:sz="0" w:space="0" w:color="auto"/>
        <w:bottom w:val="none" w:sz="0" w:space="0" w:color="auto"/>
        <w:right w:val="none" w:sz="0" w:space="0" w:color="auto"/>
      </w:divBdr>
    </w:div>
    <w:div w:id="464009917">
      <w:bodyDiv w:val="1"/>
      <w:marLeft w:val="0"/>
      <w:marRight w:val="0"/>
      <w:marTop w:val="0"/>
      <w:marBottom w:val="0"/>
      <w:divBdr>
        <w:top w:val="none" w:sz="0" w:space="0" w:color="auto"/>
        <w:left w:val="none" w:sz="0" w:space="0" w:color="auto"/>
        <w:bottom w:val="none" w:sz="0" w:space="0" w:color="auto"/>
        <w:right w:val="none" w:sz="0" w:space="0" w:color="auto"/>
      </w:divBdr>
    </w:div>
    <w:div w:id="464589116">
      <w:bodyDiv w:val="1"/>
      <w:marLeft w:val="0"/>
      <w:marRight w:val="0"/>
      <w:marTop w:val="0"/>
      <w:marBottom w:val="0"/>
      <w:divBdr>
        <w:top w:val="none" w:sz="0" w:space="0" w:color="auto"/>
        <w:left w:val="none" w:sz="0" w:space="0" w:color="auto"/>
        <w:bottom w:val="none" w:sz="0" w:space="0" w:color="auto"/>
        <w:right w:val="none" w:sz="0" w:space="0" w:color="auto"/>
      </w:divBdr>
      <w:divsChild>
        <w:div w:id="281309020">
          <w:marLeft w:val="691"/>
          <w:marRight w:val="0"/>
          <w:marTop w:val="0"/>
          <w:marBottom w:val="0"/>
          <w:divBdr>
            <w:top w:val="none" w:sz="0" w:space="0" w:color="auto"/>
            <w:left w:val="none" w:sz="0" w:space="0" w:color="auto"/>
            <w:bottom w:val="none" w:sz="0" w:space="0" w:color="auto"/>
            <w:right w:val="none" w:sz="0" w:space="0" w:color="auto"/>
          </w:divBdr>
        </w:div>
        <w:div w:id="388458360">
          <w:marLeft w:val="691"/>
          <w:marRight w:val="0"/>
          <w:marTop w:val="0"/>
          <w:marBottom w:val="0"/>
          <w:divBdr>
            <w:top w:val="none" w:sz="0" w:space="0" w:color="auto"/>
            <w:left w:val="none" w:sz="0" w:space="0" w:color="auto"/>
            <w:bottom w:val="none" w:sz="0" w:space="0" w:color="auto"/>
            <w:right w:val="none" w:sz="0" w:space="0" w:color="auto"/>
          </w:divBdr>
        </w:div>
        <w:div w:id="398286287">
          <w:marLeft w:val="691"/>
          <w:marRight w:val="0"/>
          <w:marTop w:val="0"/>
          <w:marBottom w:val="0"/>
          <w:divBdr>
            <w:top w:val="none" w:sz="0" w:space="0" w:color="auto"/>
            <w:left w:val="none" w:sz="0" w:space="0" w:color="auto"/>
            <w:bottom w:val="none" w:sz="0" w:space="0" w:color="auto"/>
            <w:right w:val="none" w:sz="0" w:space="0" w:color="auto"/>
          </w:divBdr>
        </w:div>
        <w:div w:id="750085780">
          <w:marLeft w:val="691"/>
          <w:marRight w:val="0"/>
          <w:marTop w:val="0"/>
          <w:marBottom w:val="0"/>
          <w:divBdr>
            <w:top w:val="none" w:sz="0" w:space="0" w:color="auto"/>
            <w:left w:val="none" w:sz="0" w:space="0" w:color="auto"/>
            <w:bottom w:val="none" w:sz="0" w:space="0" w:color="auto"/>
            <w:right w:val="none" w:sz="0" w:space="0" w:color="auto"/>
          </w:divBdr>
        </w:div>
        <w:div w:id="761149498">
          <w:marLeft w:val="691"/>
          <w:marRight w:val="0"/>
          <w:marTop w:val="0"/>
          <w:marBottom w:val="0"/>
          <w:divBdr>
            <w:top w:val="none" w:sz="0" w:space="0" w:color="auto"/>
            <w:left w:val="none" w:sz="0" w:space="0" w:color="auto"/>
            <w:bottom w:val="none" w:sz="0" w:space="0" w:color="auto"/>
            <w:right w:val="none" w:sz="0" w:space="0" w:color="auto"/>
          </w:divBdr>
        </w:div>
        <w:div w:id="895317820">
          <w:marLeft w:val="691"/>
          <w:marRight w:val="0"/>
          <w:marTop w:val="0"/>
          <w:marBottom w:val="0"/>
          <w:divBdr>
            <w:top w:val="none" w:sz="0" w:space="0" w:color="auto"/>
            <w:left w:val="none" w:sz="0" w:space="0" w:color="auto"/>
            <w:bottom w:val="none" w:sz="0" w:space="0" w:color="auto"/>
            <w:right w:val="none" w:sz="0" w:space="0" w:color="auto"/>
          </w:divBdr>
        </w:div>
        <w:div w:id="909193192">
          <w:marLeft w:val="691"/>
          <w:marRight w:val="0"/>
          <w:marTop w:val="0"/>
          <w:marBottom w:val="0"/>
          <w:divBdr>
            <w:top w:val="none" w:sz="0" w:space="0" w:color="auto"/>
            <w:left w:val="none" w:sz="0" w:space="0" w:color="auto"/>
            <w:bottom w:val="none" w:sz="0" w:space="0" w:color="auto"/>
            <w:right w:val="none" w:sz="0" w:space="0" w:color="auto"/>
          </w:divBdr>
        </w:div>
        <w:div w:id="915627523">
          <w:marLeft w:val="691"/>
          <w:marRight w:val="0"/>
          <w:marTop w:val="0"/>
          <w:marBottom w:val="0"/>
          <w:divBdr>
            <w:top w:val="none" w:sz="0" w:space="0" w:color="auto"/>
            <w:left w:val="none" w:sz="0" w:space="0" w:color="auto"/>
            <w:bottom w:val="none" w:sz="0" w:space="0" w:color="auto"/>
            <w:right w:val="none" w:sz="0" w:space="0" w:color="auto"/>
          </w:divBdr>
        </w:div>
        <w:div w:id="1051225835">
          <w:marLeft w:val="691"/>
          <w:marRight w:val="0"/>
          <w:marTop w:val="0"/>
          <w:marBottom w:val="0"/>
          <w:divBdr>
            <w:top w:val="none" w:sz="0" w:space="0" w:color="auto"/>
            <w:left w:val="none" w:sz="0" w:space="0" w:color="auto"/>
            <w:bottom w:val="none" w:sz="0" w:space="0" w:color="auto"/>
            <w:right w:val="none" w:sz="0" w:space="0" w:color="auto"/>
          </w:divBdr>
        </w:div>
        <w:div w:id="1489862190">
          <w:marLeft w:val="691"/>
          <w:marRight w:val="0"/>
          <w:marTop w:val="0"/>
          <w:marBottom w:val="0"/>
          <w:divBdr>
            <w:top w:val="none" w:sz="0" w:space="0" w:color="auto"/>
            <w:left w:val="none" w:sz="0" w:space="0" w:color="auto"/>
            <w:bottom w:val="none" w:sz="0" w:space="0" w:color="auto"/>
            <w:right w:val="none" w:sz="0" w:space="0" w:color="auto"/>
          </w:divBdr>
        </w:div>
        <w:div w:id="1731658469">
          <w:marLeft w:val="691"/>
          <w:marRight w:val="0"/>
          <w:marTop w:val="0"/>
          <w:marBottom w:val="0"/>
          <w:divBdr>
            <w:top w:val="none" w:sz="0" w:space="0" w:color="auto"/>
            <w:left w:val="none" w:sz="0" w:space="0" w:color="auto"/>
            <w:bottom w:val="none" w:sz="0" w:space="0" w:color="auto"/>
            <w:right w:val="none" w:sz="0" w:space="0" w:color="auto"/>
          </w:divBdr>
        </w:div>
        <w:div w:id="1903253199">
          <w:marLeft w:val="691"/>
          <w:marRight w:val="0"/>
          <w:marTop w:val="0"/>
          <w:marBottom w:val="0"/>
          <w:divBdr>
            <w:top w:val="none" w:sz="0" w:space="0" w:color="auto"/>
            <w:left w:val="none" w:sz="0" w:space="0" w:color="auto"/>
            <w:bottom w:val="none" w:sz="0" w:space="0" w:color="auto"/>
            <w:right w:val="none" w:sz="0" w:space="0" w:color="auto"/>
          </w:divBdr>
        </w:div>
      </w:divsChild>
    </w:div>
    <w:div w:id="464616098">
      <w:bodyDiv w:val="1"/>
      <w:marLeft w:val="0"/>
      <w:marRight w:val="0"/>
      <w:marTop w:val="0"/>
      <w:marBottom w:val="0"/>
      <w:divBdr>
        <w:top w:val="none" w:sz="0" w:space="0" w:color="auto"/>
        <w:left w:val="none" w:sz="0" w:space="0" w:color="auto"/>
        <w:bottom w:val="none" w:sz="0" w:space="0" w:color="auto"/>
        <w:right w:val="none" w:sz="0" w:space="0" w:color="auto"/>
      </w:divBdr>
    </w:div>
    <w:div w:id="466630240">
      <w:bodyDiv w:val="1"/>
      <w:marLeft w:val="0"/>
      <w:marRight w:val="0"/>
      <w:marTop w:val="0"/>
      <w:marBottom w:val="0"/>
      <w:divBdr>
        <w:top w:val="none" w:sz="0" w:space="0" w:color="auto"/>
        <w:left w:val="none" w:sz="0" w:space="0" w:color="auto"/>
        <w:bottom w:val="none" w:sz="0" w:space="0" w:color="auto"/>
        <w:right w:val="none" w:sz="0" w:space="0" w:color="auto"/>
      </w:divBdr>
    </w:div>
    <w:div w:id="468128098">
      <w:bodyDiv w:val="1"/>
      <w:marLeft w:val="0"/>
      <w:marRight w:val="0"/>
      <w:marTop w:val="0"/>
      <w:marBottom w:val="0"/>
      <w:divBdr>
        <w:top w:val="none" w:sz="0" w:space="0" w:color="auto"/>
        <w:left w:val="none" w:sz="0" w:space="0" w:color="auto"/>
        <w:bottom w:val="none" w:sz="0" w:space="0" w:color="auto"/>
        <w:right w:val="none" w:sz="0" w:space="0" w:color="auto"/>
      </w:divBdr>
    </w:div>
    <w:div w:id="468596883">
      <w:bodyDiv w:val="1"/>
      <w:marLeft w:val="0"/>
      <w:marRight w:val="0"/>
      <w:marTop w:val="0"/>
      <w:marBottom w:val="0"/>
      <w:divBdr>
        <w:top w:val="none" w:sz="0" w:space="0" w:color="auto"/>
        <w:left w:val="none" w:sz="0" w:space="0" w:color="auto"/>
        <w:bottom w:val="none" w:sz="0" w:space="0" w:color="auto"/>
        <w:right w:val="none" w:sz="0" w:space="0" w:color="auto"/>
      </w:divBdr>
    </w:div>
    <w:div w:id="477306558">
      <w:bodyDiv w:val="1"/>
      <w:marLeft w:val="0"/>
      <w:marRight w:val="0"/>
      <w:marTop w:val="0"/>
      <w:marBottom w:val="0"/>
      <w:divBdr>
        <w:top w:val="none" w:sz="0" w:space="0" w:color="auto"/>
        <w:left w:val="none" w:sz="0" w:space="0" w:color="auto"/>
        <w:bottom w:val="none" w:sz="0" w:space="0" w:color="auto"/>
        <w:right w:val="none" w:sz="0" w:space="0" w:color="auto"/>
      </w:divBdr>
    </w:div>
    <w:div w:id="477454406">
      <w:bodyDiv w:val="1"/>
      <w:marLeft w:val="0"/>
      <w:marRight w:val="0"/>
      <w:marTop w:val="0"/>
      <w:marBottom w:val="0"/>
      <w:divBdr>
        <w:top w:val="none" w:sz="0" w:space="0" w:color="auto"/>
        <w:left w:val="none" w:sz="0" w:space="0" w:color="auto"/>
        <w:bottom w:val="none" w:sz="0" w:space="0" w:color="auto"/>
        <w:right w:val="none" w:sz="0" w:space="0" w:color="auto"/>
      </w:divBdr>
    </w:div>
    <w:div w:id="478183177">
      <w:bodyDiv w:val="1"/>
      <w:marLeft w:val="0"/>
      <w:marRight w:val="0"/>
      <w:marTop w:val="0"/>
      <w:marBottom w:val="0"/>
      <w:divBdr>
        <w:top w:val="none" w:sz="0" w:space="0" w:color="auto"/>
        <w:left w:val="none" w:sz="0" w:space="0" w:color="auto"/>
        <w:bottom w:val="none" w:sz="0" w:space="0" w:color="auto"/>
        <w:right w:val="none" w:sz="0" w:space="0" w:color="auto"/>
      </w:divBdr>
    </w:div>
    <w:div w:id="480271964">
      <w:bodyDiv w:val="1"/>
      <w:marLeft w:val="0"/>
      <w:marRight w:val="0"/>
      <w:marTop w:val="0"/>
      <w:marBottom w:val="0"/>
      <w:divBdr>
        <w:top w:val="none" w:sz="0" w:space="0" w:color="auto"/>
        <w:left w:val="none" w:sz="0" w:space="0" w:color="auto"/>
        <w:bottom w:val="none" w:sz="0" w:space="0" w:color="auto"/>
        <w:right w:val="none" w:sz="0" w:space="0" w:color="auto"/>
      </w:divBdr>
    </w:div>
    <w:div w:id="481429530">
      <w:bodyDiv w:val="1"/>
      <w:marLeft w:val="0"/>
      <w:marRight w:val="0"/>
      <w:marTop w:val="0"/>
      <w:marBottom w:val="0"/>
      <w:divBdr>
        <w:top w:val="none" w:sz="0" w:space="0" w:color="auto"/>
        <w:left w:val="none" w:sz="0" w:space="0" w:color="auto"/>
        <w:bottom w:val="none" w:sz="0" w:space="0" w:color="auto"/>
        <w:right w:val="none" w:sz="0" w:space="0" w:color="auto"/>
      </w:divBdr>
    </w:div>
    <w:div w:id="492335651">
      <w:bodyDiv w:val="1"/>
      <w:marLeft w:val="0"/>
      <w:marRight w:val="0"/>
      <w:marTop w:val="0"/>
      <w:marBottom w:val="0"/>
      <w:divBdr>
        <w:top w:val="none" w:sz="0" w:space="0" w:color="auto"/>
        <w:left w:val="none" w:sz="0" w:space="0" w:color="auto"/>
        <w:bottom w:val="none" w:sz="0" w:space="0" w:color="auto"/>
        <w:right w:val="none" w:sz="0" w:space="0" w:color="auto"/>
      </w:divBdr>
    </w:div>
    <w:div w:id="493379275">
      <w:bodyDiv w:val="1"/>
      <w:marLeft w:val="0"/>
      <w:marRight w:val="0"/>
      <w:marTop w:val="0"/>
      <w:marBottom w:val="0"/>
      <w:divBdr>
        <w:top w:val="none" w:sz="0" w:space="0" w:color="auto"/>
        <w:left w:val="none" w:sz="0" w:space="0" w:color="auto"/>
        <w:bottom w:val="none" w:sz="0" w:space="0" w:color="auto"/>
        <w:right w:val="none" w:sz="0" w:space="0" w:color="auto"/>
      </w:divBdr>
    </w:div>
    <w:div w:id="493765091">
      <w:bodyDiv w:val="1"/>
      <w:marLeft w:val="0"/>
      <w:marRight w:val="0"/>
      <w:marTop w:val="0"/>
      <w:marBottom w:val="0"/>
      <w:divBdr>
        <w:top w:val="none" w:sz="0" w:space="0" w:color="auto"/>
        <w:left w:val="none" w:sz="0" w:space="0" w:color="auto"/>
        <w:bottom w:val="none" w:sz="0" w:space="0" w:color="auto"/>
        <w:right w:val="none" w:sz="0" w:space="0" w:color="auto"/>
      </w:divBdr>
    </w:div>
    <w:div w:id="494540335">
      <w:bodyDiv w:val="1"/>
      <w:marLeft w:val="0"/>
      <w:marRight w:val="0"/>
      <w:marTop w:val="0"/>
      <w:marBottom w:val="0"/>
      <w:divBdr>
        <w:top w:val="none" w:sz="0" w:space="0" w:color="auto"/>
        <w:left w:val="none" w:sz="0" w:space="0" w:color="auto"/>
        <w:bottom w:val="none" w:sz="0" w:space="0" w:color="auto"/>
        <w:right w:val="none" w:sz="0" w:space="0" w:color="auto"/>
      </w:divBdr>
    </w:div>
    <w:div w:id="499084746">
      <w:bodyDiv w:val="1"/>
      <w:marLeft w:val="0"/>
      <w:marRight w:val="0"/>
      <w:marTop w:val="0"/>
      <w:marBottom w:val="0"/>
      <w:divBdr>
        <w:top w:val="none" w:sz="0" w:space="0" w:color="auto"/>
        <w:left w:val="none" w:sz="0" w:space="0" w:color="auto"/>
        <w:bottom w:val="none" w:sz="0" w:space="0" w:color="auto"/>
        <w:right w:val="none" w:sz="0" w:space="0" w:color="auto"/>
      </w:divBdr>
    </w:div>
    <w:div w:id="499125484">
      <w:bodyDiv w:val="1"/>
      <w:marLeft w:val="0"/>
      <w:marRight w:val="0"/>
      <w:marTop w:val="0"/>
      <w:marBottom w:val="0"/>
      <w:divBdr>
        <w:top w:val="none" w:sz="0" w:space="0" w:color="auto"/>
        <w:left w:val="none" w:sz="0" w:space="0" w:color="auto"/>
        <w:bottom w:val="none" w:sz="0" w:space="0" w:color="auto"/>
        <w:right w:val="none" w:sz="0" w:space="0" w:color="auto"/>
      </w:divBdr>
    </w:div>
    <w:div w:id="500005944">
      <w:bodyDiv w:val="1"/>
      <w:marLeft w:val="0"/>
      <w:marRight w:val="0"/>
      <w:marTop w:val="0"/>
      <w:marBottom w:val="0"/>
      <w:divBdr>
        <w:top w:val="none" w:sz="0" w:space="0" w:color="auto"/>
        <w:left w:val="none" w:sz="0" w:space="0" w:color="auto"/>
        <w:bottom w:val="none" w:sz="0" w:space="0" w:color="auto"/>
        <w:right w:val="none" w:sz="0" w:space="0" w:color="auto"/>
      </w:divBdr>
    </w:div>
    <w:div w:id="501900375">
      <w:bodyDiv w:val="1"/>
      <w:marLeft w:val="0"/>
      <w:marRight w:val="0"/>
      <w:marTop w:val="0"/>
      <w:marBottom w:val="0"/>
      <w:divBdr>
        <w:top w:val="none" w:sz="0" w:space="0" w:color="auto"/>
        <w:left w:val="none" w:sz="0" w:space="0" w:color="auto"/>
        <w:bottom w:val="none" w:sz="0" w:space="0" w:color="auto"/>
        <w:right w:val="none" w:sz="0" w:space="0" w:color="auto"/>
      </w:divBdr>
    </w:div>
    <w:div w:id="501970585">
      <w:bodyDiv w:val="1"/>
      <w:marLeft w:val="0"/>
      <w:marRight w:val="0"/>
      <w:marTop w:val="0"/>
      <w:marBottom w:val="0"/>
      <w:divBdr>
        <w:top w:val="none" w:sz="0" w:space="0" w:color="auto"/>
        <w:left w:val="none" w:sz="0" w:space="0" w:color="auto"/>
        <w:bottom w:val="none" w:sz="0" w:space="0" w:color="auto"/>
        <w:right w:val="none" w:sz="0" w:space="0" w:color="auto"/>
      </w:divBdr>
    </w:div>
    <w:div w:id="507645702">
      <w:bodyDiv w:val="1"/>
      <w:marLeft w:val="0"/>
      <w:marRight w:val="0"/>
      <w:marTop w:val="0"/>
      <w:marBottom w:val="0"/>
      <w:divBdr>
        <w:top w:val="none" w:sz="0" w:space="0" w:color="auto"/>
        <w:left w:val="none" w:sz="0" w:space="0" w:color="auto"/>
        <w:bottom w:val="none" w:sz="0" w:space="0" w:color="auto"/>
        <w:right w:val="none" w:sz="0" w:space="0" w:color="auto"/>
      </w:divBdr>
    </w:div>
    <w:div w:id="508252974">
      <w:bodyDiv w:val="1"/>
      <w:marLeft w:val="0"/>
      <w:marRight w:val="0"/>
      <w:marTop w:val="0"/>
      <w:marBottom w:val="0"/>
      <w:divBdr>
        <w:top w:val="none" w:sz="0" w:space="0" w:color="auto"/>
        <w:left w:val="none" w:sz="0" w:space="0" w:color="auto"/>
        <w:bottom w:val="none" w:sz="0" w:space="0" w:color="auto"/>
        <w:right w:val="none" w:sz="0" w:space="0" w:color="auto"/>
      </w:divBdr>
    </w:div>
    <w:div w:id="510872676">
      <w:bodyDiv w:val="1"/>
      <w:marLeft w:val="0"/>
      <w:marRight w:val="0"/>
      <w:marTop w:val="0"/>
      <w:marBottom w:val="0"/>
      <w:divBdr>
        <w:top w:val="none" w:sz="0" w:space="0" w:color="auto"/>
        <w:left w:val="none" w:sz="0" w:space="0" w:color="auto"/>
        <w:bottom w:val="none" w:sz="0" w:space="0" w:color="auto"/>
        <w:right w:val="none" w:sz="0" w:space="0" w:color="auto"/>
      </w:divBdr>
    </w:div>
    <w:div w:id="511916992">
      <w:bodyDiv w:val="1"/>
      <w:marLeft w:val="0"/>
      <w:marRight w:val="0"/>
      <w:marTop w:val="0"/>
      <w:marBottom w:val="0"/>
      <w:divBdr>
        <w:top w:val="none" w:sz="0" w:space="0" w:color="auto"/>
        <w:left w:val="none" w:sz="0" w:space="0" w:color="auto"/>
        <w:bottom w:val="none" w:sz="0" w:space="0" w:color="auto"/>
        <w:right w:val="none" w:sz="0" w:space="0" w:color="auto"/>
      </w:divBdr>
    </w:div>
    <w:div w:id="511988997">
      <w:bodyDiv w:val="1"/>
      <w:marLeft w:val="0"/>
      <w:marRight w:val="0"/>
      <w:marTop w:val="0"/>
      <w:marBottom w:val="0"/>
      <w:divBdr>
        <w:top w:val="none" w:sz="0" w:space="0" w:color="auto"/>
        <w:left w:val="none" w:sz="0" w:space="0" w:color="auto"/>
        <w:bottom w:val="none" w:sz="0" w:space="0" w:color="auto"/>
        <w:right w:val="none" w:sz="0" w:space="0" w:color="auto"/>
      </w:divBdr>
    </w:div>
    <w:div w:id="514156633">
      <w:bodyDiv w:val="1"/>
      <w:marLeft w:val="0"/>
      <w:marRight w:val="0"/>
      <w:marTop w:val="0"/>
      <w:marBottom w:val="0"/>
      <w:divBdr>
        <w:top w:val="none" w:sz="0" w:space="0" w:color="auto"/>
        <w:left w:val="none" w:sz="0" w:space="0" w:color="auto"/>
        <w:bottom w:val="none" w:sz="0" w:space="0" w:color="auto"/>
        <w:right w:val="none" w:sz="0" w:space="0" w:color="auto"/>
      </w:divBdr>
    </w:div>
    <w:div w:id="514417758">
      <w:bodyDiv w:val="1"/>
      <w:marLeft w:val="0"/>
      <w:marRight w:val="0"/>
      <w:marTop w:val="0"/>
      <w:marBottom w:val="0"/>
      <w:divBdr>
        <w:top w:val="none" w:sz="0" w:space="0" w:color="auto"/>
        <w:left w:val="none" w:sz="0" w:space="0" w:color="auto"/>
        <w:bottom w:val="none" w:sz="0" w:space="0" w:color="auto"/>
        <w:right w:val="none" w:sz="0" w:space="0" w:color="auto"/>
      </w:divBdr>
    </w:div>
    <w:div w:id="519902979">
      <w:bodyDiv w:val="1"/>
      <w:marLeft w:val="0"/>
      <w:marRight w:val="0"/>
      <w:marTop w:val="0"/>
      <w:marBottom w:val="0"/>
      <w:divBdr>
        <w:top w:val="none" w:sz="0" w:space="0" w:color="auto"/>
        <w:left w:val="none" w:sz="0" w:space="0" w:color="auto"/>
        <w:bottom w:val="none" w:sz="0" w:space="0" w:color="auto"/>
        <w:right w:val="none" w:sz="0" w:space="0" w:color="auto"/>
      </w:divBdr>
    </w:div>
    <w:div w:id="525679901">
      <w:bodyDiv w:val="1"/>
      <w:marLeft w:val="0"/>
      <w:marRight w:val="0"/>
      <w:marTop w:val="0"/>
      <w:marBottom w:val="0"/>
      <w:divBdr>
        <w:top w:val="none" w:sz="0" w:space="0" w:color="auto"/>
        <w:left w:val="none" w:sz="0" w:space="0" w:color="auto"/>
        <w:bottom w:val="none" w:sz="0" w:space="0" w:color="auto"/>
        <w:right w:val="none" w:sz="0" w:space="0" w:color="auto"/>
      </w:divBdr>
    </w:div>
    <w:div w:id="525752098">
      <w:bodyDiv w:val="1"/>
      <w:marLeft w:val="0"/>
      <w:marRight w:val="0"/>
      <w:marTop w:val="0"/>
      <w:marBottom w:val="0"/>
      <w:divBdr>
        <w:top w:val="none" w:sz="0" w:space="0" w:color="auto"/>
        <w:left w:val="none" w:sz="0" w:space="0" w:color="auto"/>
        <w:bottom w:val="none" w:sz="0" w:space="0" w:color="auto"/>
        <w:right w:val="none" w:sz="0" w:space="0" w:color="auto"/>
      </w:divBdr>
    </w:div>
    <w:div w:id="527256986">
      <w:bodyDiv w:val="1"/>
      <w:marLeft w:val="0"/>
      <w:marRight w:val="0"/>
      <w:marTop w:val="0"/>
      <w:marBottom w:val="0"/>
      <w:divBdr>
        <w:top w:val="none" w:sz="0" w:space="0" w:color="auto"/>
        <w:left w:val="none" w:sz="0" w:space="0" w:color="auto"/>
        <w:bottom w:val="none" w:sz="0" w:space="0" w:color="auto"/>
        <w:right w:val="none" w:sz="0" w:space="0" w:color="auto"/>
      </w:divBdr>
    </w:div>
    <w:div w:id="528879162">
      <w:bodyDiv w:val="1"/>
      <w:marLeft w:val="0"/>
      <w:marRight w:val="0"/>
      <w:marTop w:val="0"/>
      <w:marBottom w:val="0"/>
      <w:divBdr>
        <w:top w:val="none" w:sz="0" w:space="0" w:color="auto"/>
        <w:left w:val="none" w:sz="0" w:space="0" w:color="auto"/>
        <w:bottom w:val="none" w:sz="0" w:space="0" w:color="auto"/>
        <w:right w:val="none" w:sz="0" w:space="0" w:color="auto"/>
      </w:divBdr>
    </w:div>
    <w:div w:id="529732372">
      <w:bodyDiv w:val="1"/>
      <w:marLeft w:val="0"/>
      <w:marRight w:val="0"/>
      <w:marTop w:val="0"/>
      <w:marBottom w:val="0"/>
      <w:divBdr>
        <w:top w:val="none" w:sz="0" w:space="0" w:color="auto"/>
        <w:left w:val="none" w:sz="0" w:space="0" w:color="auto"/>
        <w:bottom w:val="none" w:sz="0" w:space="0" w:color="auto"/>
        <w:right w:val="none" w:sz="0" w:space="0" w:color="auto"/>
      </w:divBdr>
    </w:div>
    <w:div w:id="530536048">
      <w:bodyDiv w:val="1"/>
      <w:marLeft w:val="0"/>
      <w:marRight w:val="0"/>
      <w:marTop w:val="0"/>
      <w:marBottom w:val="0"/>
      <w:divBdr>
        <w:top w:val="none" w:sz="0" w:space="0" w:color="auto"/>
        <w:left w:val="none" w:sz="0" w:space="0" w:color="auto"/>
        <w:bottom w:val="none" w:sz="0" w:space="0" w:color="auto"/>
        <w:right w:val="none" w:sz="0" w:space="0" w:color="auto"/>
      </w:divBdr>
    </w:div>
    <w:div w:id="531235254">
      <w:bodyDiv w:val="1"/>
      <w:marLeft w:val="0"/>
      <w:marRight w:val="0"/>
      <w:marTop w:val="0"/>
      <w:marBottom w:val="0"/>
      <w:divBdr>
        <w:top w:val="none" w:sz="0" w:space="0" w:color="auto"/>
        <w:left w:val="none" w:sz="0" w:space="0" w:color="auto"/>
        <w:bottom w:val="none" w:sz="0" w:space="0" w:color="auto"/>
        <w:right w:val="none" w:sz="0" w:space="0" w:color="auto"/>
      </w:divBdr>
    </w:div>
    <w:div w:id="532690916">
      <w:bodyDiv w:val="1"/>
      <w:marLeft w:val="0"/>
      <w:marRight w:val="0"/>
      <w:marTop w:val="0"/>
      <w:marBottom w:val="0"/>
      <w:divBdr>
        <w:top w:val="none" w:sz="0" w:space="0" w:color="auto"/>
        <w:left w:val="none" w:sz="0" w:space="0" w:color="auto"/>
        <w:bottom w:val="none" w:sz="0" w:space="0" w:color="auto"/>
        <w:right w:val="none" w:sz="0" w:space="0" w:color="auto"/>
      </w:divBdr>
    </w:div>
    <w:div w:id="535388795">
      <w:bodyDiv w:val="1"/>
      <w:marLeft w:val="0"/>
      <w:marRight w:val="0"/>
      <w:marTop w:val="0"/>
      <w:marBottom w:val="0"/>
      <w:divBdr>
        <w:top w:val="none" w:sz="0" w:space="0" w:color="auto"/>
        <w:left w:val="none" w:sz="0" w:space="0" w:color="auto"/>
        <w:bottom w:val="none" w:sz="0" w:space="0" w:color="auto"/>
        <w:right w:val="none" w:sz="0" w:space="0" w:color="auto"/>
      </w:divBdr>
    </w:div>
    <w:div w:id="539246297">
      <w:bodyDiv w:val="1"/>
      <w:marLeft w:val="0"/>
      <w:marRight w:val="0"/>
      <w:marTop w:val="0"/>
      <w:marBottom w:val="0"/>
      <w:divBdr>
        <w:top w:val="none" w:sz="0" w:space="0" w:color="auto"/>
        <w:left w:val="none" w:sz="0" w:space="0" w:color="auto"/>
        <w:bottom w:val="none" w:sz="0" w:space="0" w:color="auto"/>
        <w:right w:val="none" w:sz="0" w:space="0" w:color="auto"/>
      </w:divBdr>
    </w:div>
    <w:div w:id="540479992">
      <w:bodyDiv w:val="1"/>
      <w:marLeft w:val="0"/>
      <w:marRight w:val="0"/>
      <w:marTop w:val="0"/>
      <w:marBottom w:val="0"/>
      <w:divBdr>
        <w:top w:val="none" w:sz="0" w:space="0" w:color="auto"/>
        <w:left w:val="none" w:sz="0" w:space="0" w:color="auto"/>
        <w:bottom w:val="none" w:sz="0" w:space="0" w:color="auto"/>
        <w:right w:val="none" w:sz="0" w:space="0" w:color="auto"/>
      </w:divBdr>
    </w:div>
    <w:div w:id="544559334">
      <w:bodyDiv w:val="1"/>
      <w:marLeft w:val="0"/>
      <w:marRight w:val="0"/>
      <w:marTop w:val="0"/>
      <w:marBottom w:val="0"/>
      <w:divBdr>
        <w:top w:val="none" w:sz="0" w:space="0" w:color="auto"/>
        <w:left w:val="none" w:sz="0" w:space="0" w:color="auto"/>
        <w:bottom w:val="none" w:sz="0" w:space="0" w:color="auto"/>
        <w:right w:val="none" w:sz="0" w:space="0" w:color="auto"/>
      </w:divBdr>
    </w:div>
    <w:div w:id="544954248">
      <w:bodyDiv w:val="1"/>
      <w:marLeft w:val="0"/>
      <w:marRight w:val="0"/>
      <w:marTop w:val="0"/>
      <w:marBottom w:val="0"/>
      <w:divBdr>
        <w:top w:val="none" w:sz="0" w:space="0" w:color="auto"/>
        <w:left w:val="none" w:sz="0" w:space="0" w:color="auto"/>
        <w:bottom w:val="none" w:sz="0" w:space="0" w:color="auto"/>
        <w:right w:val="none" w:sz="0" w:space="0" w:color="auto"/>
      </w:divBdr>
    </w:div>
    <w:div w:id="545264900">
      <w:bodyDiv w:val="1"/>
      <w:marLeft w:val="0"/>
      <w:marRight w:val="0"/>
      <w:marTop w:val="0"/>
      <w:marBottom w:val="0"/>
      <w:divBdr>
        <w:top w:val="none" w:sz="0" w:space="0" w:color="auto"/>
        <w:left w:val="none" w:sz="0" w:space="0" w:color="auto"/>
        <w:bottom w:val="none" w:sz="0" w:space="0" w:color="auto"/>
        <w:right w:val="none" w:sz="0" w:space="0" w:color="auto"/>
      </w:divBdr>
    </w:div>
    <w:div w:id="547452060">
      <w:bodyDiv w:val="1"/>
      <w:marLeft w:val="0"/>
      <w:marRight w:val="0"/>
      <w:marTop w:val="0"/>
      <w:marBottom w:val="0"/>
      <w:divBdr>
        <w:top w:val="none" w:sz="0" w:space="0" w:color="auto"/>
        <w:left w:val="none" w:sz="0" w:space="0" w:color="auto"/>
        <w:bottom w:val="none" w:sz="0" w:space="0" w:color="auto"/>
        <w:right w:val="none" w:sz="0" w:space="0" w:color="auto"/>
      </w:divBdr>
    </w:div>
    <w:div w:id="548810428">
      <w:bodyDiv w:val="1"/>
      <w:marLeft w:val="0"/>
      <w:marRight w:val="0"/>
      <w:marTop w:val="0"/>
      <w:marBottom w:val="0"/>
      <w:divBdr>
        <w:top w:val="none" w:sz="0" w:space="0" w:color="auto"/>
        <w:left w:val="none" w:sz="0" w:space="0" w:color="auto"/>
        <w:bottom w:val="none" w:sz="0" w:space="0" w:color="auto"/>
        <w:right w:val="none" w:sz="0" w:space="0" w:color="auto"/>
      </w:divBdr>
    </w:div>
    <w:div w:id="549388580">
      <w:bodyDiv w:val="1"/>
      <w:marLeft w:val="0"/>
      <w:marRight w:val="0"/>
      <w:marTop w:val="0"/>
      <w:marBottom w:val="0"/>
      <w:divBdr>
        <w:top w:val="none" w:sz="0" w:space="0" w:color="auto"/>
        <w:left w:val="none" w:sz="0" w:space="0" w:color="auto"/>
        <w:bottom w:val="none" w:sz="0" w:space="0" w:color="auto"/>
        <w:right w:val="none" w:sz="0" w:space="0" w:color="auto"/>
      </w:divBdr>
    </w:div>
    <w:div w:id="552350637">
      <w:bodyDiv w:val="1"/>
      <w:marLeft w:val="0"/>
      <w:marRight w:val="0"/>
      <w:marTop w:val="0"/>
      <w:marBottom w:val="0"/>
      <w:divBdr>
        <w:top w:val="none" w:sz="0" w:space="0" w:color="auto"/>
        <w:left w:val="none" w:sz="0" w:space="0" w:color="auto"/>
        <w:bottom w:val="none" w:sz="0" w:space="0" w:color="auto"/>
        <w:right w:val="none" w:sz="0" w:space="0" w:color="auto"/>
      </w:divBdr>
    </w:div>
    <w:div w:id="553851811">
      <w:bodyDiv w:val="1"/>
      <w:marLeft w:val="0"/>
      <w:marRight w:val="0"/>
      <w:marTop w:val="0"/>
      <w:marBottom w:val="0"/>
      <w:divBdr>
        <w:top w:val="none" w:sz="0" w:space="0" w:color="auto"/>
        <w:left w:val="none" w:sz="0" w:space="0" w:color="auto"/>
        <w:bottom w:val="none" w:sz="0" w:space="0" w:color="auto"/>
        <w:right w:val="none" w:sz="0" w:space="0" w:color="auto"/>
      </w:divBdr>
    </w:div>
    <w:div w:id="554390801">
      <w:bodyDiv w:val="1"/>
      <w:marLeft w:val="0"/>
      <w:marRight w:val="0"/>
      <w:marTop w:val="0"/>
      <w:marBottom w:val="0"/>
      <w:divBdr>
        <w:top w:val="none" w:sz="0" w:space="0" w:color="auto"/>
        <w:left w:val="none" w:sz="0" w:space="0" w:color="auto"/>
        <w:bottom w:val="none" w:sz="0" w:space="0" w:color="auto"/>
        <w:right w:val="none" w:sz="0" w:space="0" w:color="auto"/>
      </w:divBdr>
    </w:div>
    <w:div w:id="555511394">
      <w:bodyDiv w:val="1"/>
      <w:marLeft w:val="0"/>
      <w:marRight w:val="0"/>
      <w:marTop w:val="0"/>
      <w:marBottom w:val="0"/>
      <w:divBdr>
        <w:top w:val="none" w:sz="0" w:space="0" w:color="auto"/>
        <w:left w:val="none" w:sz="0" w:space="0" w:color="auto"/>
        <w:bottom w:val="none" w:sz="0" w:space="0" w:color="auto"/>
        <w:right w:val="none" w:sz="0" w:space="0" w:color="auto"/>
      </w:divBdr>
    </w:div>
    <w:div w:id="556016267">
      <w:bodyDiv w:val="1"/>
      <w:marLeft w:val="0"/>
      <w:marRight w:val="0"/>
      <w:marTop w:val="0"/>
      <w:marBottom w:val="0"/>
      <w:divBdr>
        <w:top w:val="none" w:sz="0" w:space="0" w:color="auto"/>
        <w:left w:val="none" w:sz="0" w:space="0" w:color="auto"/>
        <w:bottom w:val="none" w:sz="0" w:space="0" w:color="auto"/>
        <w:right w:val="none" w:sz="0" w:space="0" w:color="auto"/>
      </w:divBdr>
    </w:div>
    <w:div w:id="559681341">
      <w:bodyDiv w:val="1"/>
      <w:marLeft w:val="0"/>
      <w:marRight w:val="0"/>
      <w:marTop w:val="0"/>
      <w:marBottom w:val="0"/>
      <w:divBdr>
        <w:top w:val="none" w:sz="0" w:space="0" w:color="auto"/>
        <w:left w:val="none" w:sz="0" w:space="0" w:color="auto"/>
        <w:bottom w:val="none" w:sz="0" w:space="0" w:color="auto"/>
        <w:right w:val="none" w:sz="0" w:space="0" w:color="auto"/>
      </w:divBdr>
    </w:div>
    <w:div w:id="560365268">
      <w:bodyDiv w:val="1"/>
      <w:marLeft w:val="0"/>
      <w:marRight w:val="0"/>
      <w:marTop w:val="0"/>
      <w:marBottom w:val="0"/>
      <w:divBdr>
        <w:top w:val="none" w:sz="0" w:space="0" w:color="auto"/>
        <w:left w:val="none" w:sz="0" w:space="0" w:color="auto"/>
        <w:bottom w:val="none" w:sz="0" w:space="0" w:color="auto"/>
        <w:right w:val="none" w:sz="0" w:space="0" w:color="auto"/>
      </w:divBdr>
    </w:div>
    <w:div w:id="560555239">
      <w:bodyDiv w:val="1"/>
      <w:marLeft w:val="0"/>
      <w:marRight w:val="0"/>
      <w:marTop w:val="0"/>
      <w:marBottom w:val="0"/>
      <w:divBdr>
        <w:top w:val="none" w:sz="0" w:space="0" w:color="auto"/>
        <w:left w:val="none" w:sz="0" w:space="0" w:color="auto"/>
        <w:bottom w:val="none" w:sz="0" w:space="0" w:color="auto"/>
        <w:right w:val="none" w:sz="0" w:space="0" w:color="auto"/>
      </w:divBdr>
    </w:div>
    <w:div w:id="560989011">
      <w:bodyDiv w:val="1"/>
      <w:marLeft w:val="0"/>
      <w:marRight w:val="0"/>
      <w:marTop w:val="0"/>
      <w:marBottom w:val="0"/>
      <w:divBdr>
        <w:top w:val="none" w:sz="0" w:space="0" w:color="auto"/>
        <w:left w:val="none" w:sz="0" w:space="0" w:color="auto"/>
        <w:bottom w:val="none" w:sz="0" w:space="0" w:color="auto"/>
        <w:right w:val="none" w:sz="0" w:space="0" w:color="auto"/>
      </w:divBdr>
    </w:div>
    <w:div w:id="564609342">
      <w:bodyDiv w:val="1"/>
      <w:marLeft w:val="0"/>
      <w:marRight w:val="0"/>
      <w:marTop w:val="0"/>
      <w:marBottom w:val="0"/>
      <w:divBdr>
        <w:top w:val="none" w:sz="0" w:space="0" w:color="auto"/>
        <w:left w:val="none" w:sz="0" w:space="0" w:color="auto"/>
        <w:bottom w:val="none" w:sz="0" w:space="0" w:color="auto"/>
        <w:right w:val="none" w:sz="0" w:space="0" w:color="auto"/>
      </w:divBdr>
    </w:div>
    <w:div w:id="567034954">
      <w:bodyDiv w:val="1"/>
      <w:marLeft w:val="0"/>
      <w:marRight w:val="0"/>
      <w:marTop w:val="0"/>
      <w:marBottom w:val="0"/>
      <w:divBdr>
        <w:top w:val="none" w:sz="0" w:space="0" w:color="auto"/>
        <w:left w:val="none" w:sz="0" w:space="0" w:color="auto"/>
        <w:bottom w:val="none" w:sz="0" w:space="0" w:color="auto"/>
        <w:right w:val="none" w:sz="0" w:space="0" w:color="auto"/>
      </w:divBdr>
    </w:div>
    <w:div w:id="567422012">
      <w:bodyDiv w:val="1"/>
      <w:marLeft w:val="0"/>
      <w:marRight w:val="0"/>
      <w:marTop w:val="0"/>
      <w:marBottom w:val="0"/>
      <w:divBdr>
        <w:top w:val="none" w:sz="0" w:space="0" w:color="auto"/>
        <w:left w:val="none" w:sz="0" w:space="0" w:color="auto"/>
        <w:bottom w:val="none" w:sz="0" w:space="0" w:color="auto"/>
        <w:right w:val="none" w:sz="0" w:space="0" w:color="auto"/>
      </w:divBdr>
    </w:div>
    <w:div w:id="567764371">
      <w:bodyDiv w:val="1"/>
      <w:marLeft w:val="0"/>
      <w:marRight w:val="0"/>
      <w:marTop w:val="0"/>
      <w:marBottom w:val="0"/>
      <w:divBdr>
        <w:top w:val="none" w:sz="0" w:space="0" w:color="auto"/>
        <w:left w:val="none" w:sz="0" w:space="0" w:color="auto"/>
        <w:bottom w:val="none" w:sz="0" w:space="0" w:color="auto"/>
        <w:right w:val="none" w:sz="0" w:space="0" w:color="auto"/>
      </w:divBdr>
    </w:div>
    <w:div w:id="574516858">
      <w:bodyDiv w:val="1"/>
      <w:marLeft w:val="0"/>
      <w:marRight w:val="0"/>
      <w:marTop w:val="0"/>
      <w:marBottom w:val="0"/>
      <w:divBdr>
        <w:top w:val="none" w:sz="0" w:space="0" w:color="auto"/>
        <w:left w:val="none" w:sz="0" w:space="0" w:color="auto"/>
        <w:bottom w:val="none" w:sz="0" w:space="0" w:color="auto"/>
        <w:right w:val="none" w:sz="0" w:space="0" w:color="auto"/>
      </w:divBdr>
    </w:div>
    <w:div w:id="580532489">
      <w:bodyDiv w:val="1"/>
      <w:marLeft w:val="0"/>
      <w:marRight w:val="0"/>
      <w:marTop w:val="0"/>
      <w:marBottom w:val="0"/>
      <w:divBdr>
        <w:top w:val="none" w:sz="0" w:space="0" w:color="auto"/>
        <w:left w:val="none" w:sz="0" w:space="0" w:color="auto"/>
        <w:bottom w:val="none" w:sz="0" w:space="0" w:color="auto"/>
        <w:right w:val="none" w:sz="0" w:space="0" w:color="auto"/>
      </w:divBdr>
      <w:divsChild>
        <w:div w:id="1979874175">
          <w:marLeft w:val="0"/>
          <w:marRight w:val="0"/>
          <w:marTop w:val="0"/>
          <w:marBottom w:val="0"/>
          <w:divBdr>
            <w:top w:val="none" w:sz="0" w:space="0" w:color="auto"/>
            <w:left w:val="none" w:sz="0" w:space="0" w:color="auto"/>
            <w:bottom w:val="none" w:sz="0" w:space="0" w:color="auto"/>
            <w:right w:val="none" w:sz="0" w:space="0" w:color="auto"/>
          </w:divBdr>
        </w:div>
        <w:div w:id="272709236">
          <w:marLeft w:val="0"/>
          <w:marRight w:val="0"/>
          <w:marTop w:val="0"/>
          <w:marBottom w:val="0"/>
          <w:divBdr>
            <w:top w:val="none" w:sz="0" w:space="0" w:color="auto"/>
            <w:left w:val="none" w:sz="0" w:space="0" w:color="auto"/>
            <w:bottom w:val="none" w:sz="0" w:space="0" w:color="auto"/>
            <w:right w:val="none" w:sz="0" w:space="0" w:color="auto"/>
          </w:divBdr>
        </w:div>
      </w:divsChild>
    </w:div>
    <w:div w:id="586495702">
      <w:bodyDiv w:val="1"/>
      <w:marLeft w:val="0"/>
      <w:marRight w:val="0"/>
      <w:marTop w:val="0"/>
      <w:marBottom w:val="0"/>
      <w:divBdr>
        <w:top w:val="none" w:sz="0" w:space="0" w:color="auto"/>
        <w:left w:val="none" w:sz="0" w:space="0" w:color="auto"/>
        <w:bottom w:val="none" w:sz="0" w:space="0" w:color="auto"/>
        <w:right w:val="none" w:sz="0" w:space="0" w:color="auto"/>
      </w:divBdr>
    </w:div>
    <w:div w:id="587620710">
      <w:bodyDiv w:val="1"/>
      <w:marLeft w:val="0"/>
      <w:marRight w:val="0"/>
      <w:marTop w:val="0"/>
      <w:marBottom w:val="0"/>
      <w:divBdr>
        <w:top w:val="none" w:sz="0" w:space="0" w:color="auto"/>
        <w:left w:val="none" w:sz="0" w:space="0" w:color="auto"/>
        <w:bottom w:val="none" w:sz="0" w:space="0" w:color="auto"/>
        <w:right w:val="none" w:sz="0" w:space="0" w:color="auto"/>
      </w:divBdr>
    </w:div>
    <w:div w:id="589124295">
      <w:bodyDiv w:val="1"/>
      <w:marLeft w:val="0"/>
      <w:marRight w:val="0"/>
      <w:marTop w:val="0"/>
      <w:marBottom w:val="0"/>
      <w:divBdr>
        <w:top w:val="none" w:sz="0" w:space="0" w:color="auto"/>
        <w:left w:val="none" w:sz="0" w:space="0" w:color="auto"/>
        <w:bottom w:val="none" w:sz="0" w:space="0" w:color="auto"/>
        <w:right w:val="none" w:sz="0" w:space="0" w:color="auto"/>
      </w:divBdr>
    </w:div>
    <w:div w:id="589587505">
      <w:bodyDiv w:val="1"/>
      <w:marLeft w:val="0"/>
      <w:marRight w:val="0"/>
      <w:marTop w:val="0"/>
      <w:marBottom w:val="0"/>
      <w:divBdr>
        <w:top w:val="none" w:sz="0" w:space="0" w:color="auto"/>
        <w:left w:val="none" w:sz="0" w:space="0" w:color="auto"/>
        <w:bottom w:val="none" w:sz="0" w:space="0" w:color="auto"/>
        <w:right w:val="none" w:sz="0" w:space="0" w:color="auto"/>
      </w:divBdr>
    </w:div>
    <w:div w:id="593787794">
      <w:bodyDiv w:val="1"/>
      <w:marLeft w:val="0"/>
      <w:marRight w:val="0"/>
      <w:marTop w:val="0"/>
      <w:marBottom w:val="0"/>
      <w:divBdr>
        <w:top w:val="none" w:sz="0" w:space="0" w:color="auto"/>
        <w:left w:val="none" w:sz="0" w:space="0" w:color="auto"/>
        <w:bottom w:val="none" w:sz="0" w:space="0" w:color="auto"/>
        <w:right w:val="none" w:sz="0" w:space="0" w:color="auto"/>
      </w:divBdr>
    </w:div>
    <w:div w:id="594287763">
      <w:bodyDiv w:val="1"/>
      <w:marLeft w:val="0"/>
      <w:marRight w:val="0"/>
      <w:marTop w:val="0"/>
      <w:marBottom w:val="0"/>
      <w:divBdr>
        <w:top w:val="none" w:sz="0" w:space="0" w:color="auto"/>
        <w:left w:val="none" w:sz="0" w:space="0" w:color="auto"/>
        <w:bottom w:val="none" w:sz="0" w:space="0" w:color="auto"/>
        <w:right w:val="none" w:sz="0" w:space="0" w:color="auto"/>
      </w:divBdr>
    </w:div>
    <w:div w:id="596210964">
      <w:bodyDiv w:val="1"/>
      <w:marLeft w:val="0"/>
      <w:marRight w:val="0"/>
      <w:marTop w:val="0"/>
      <w:marBottom w:val="0"/>
      <w:divBdr>
        <w:top w:val="none" w:sz="0" w:space="0" w:color="auto"/>
        <w:left w:val="none" w:sz="0" w:space="0" w:color="auto"/>
        <w:bottom w:val="none" w:sz="0" w:space="0" w:color="auto"/>
        <w:right w:val="none" w:sz="0" w:space="0" w:color="auto"/>
      </w:divBdr>
    </w:div>
    <w:div w:id="596409471">
      <w:bodyDiv w:val="1"/>
      <w:marLeft w:val="0"/>
      <w:marRight w:val="0"/>
      <w:marTop w:val="0"/>
      <w:marBottom w:val="0"/>
      <w:divBdr>
        <w:top w:val="none" w:sz="0" w:space="0" w:color="auto"/>
        <w:left w:val="none" w:sz="0" w:space="0" w:color="auto"/>
        <w:bottom w:val="none" w:sz="0" w:space="0" w:color="auto"/>
        <w:right w:val="none" w:sz="0" w:space="0" w:color="auto"/>
      </w:divBdr>
    </w:div>
    <w:div w:id="605307236">
      <w:bodyDiv w:val="1"/>
      <w:marLeft w:val="0"/>
      <w:marRight w:val="0"/>
      <w:marTop w:val="0"/>
      <w:marBottom w:val="0"/>
      <w:divBdr>
        <w:top w:val="none" w:sz="0" w:space="0" w:color="auto"/>
        <w:left w:val="none" w:sz="0" w:space="0" w:color="auto"/>
        <w:bottom w:val="none" w:sz="0" w:space="0" w:color="auto"/>
        <w:right w:val="none" w:sz="0" w:space="0" w:color="auto"/>
      </w:divBdr>
    </w:div>
    <w:div w:id="612446484">
      <w:bodyDiv w:val="1"/>
      <w:marLeft w:val="0"/>
      <w:marRight w:val="0"/>
      <w:marTop w:val="0"/>
      <w:marBottom w:val="0"/>
      <w:divBdr>
        <w:top w:val="none" w:sz="0" w:space="0" w:color="auto"/>
        <w:left w:val="none" w:sz="0" w:space="0" w:color="auto"/>
        <w:bottom w:val="none" w:sz="0" w:space="0" w:color="auto"/>
        <w:right w:val="none" w:sz="0" w:space="0" w:color="auto"/>
      </w:divBdr>
    </w:div>
    <w:div w:id="619603780">
      <w:bodyDiv w:val="1"/>
      <w:marLeft w:val="0"/>
      <w:marRight w:val="0"/>
      <w:marTop w:val="0"/>
      <w:marBottom w:val="0"/>
      <w:divBdr>
        <w:top w:val="none" w:sz="0" w:space="0" w:color="auto"/>
        <w:left w:val="none" w:sz="0" w:space="0" w:color="auto"/>
        <w:bottom w:val="none" w:sz="0" w:space="0" w:color="auto"/>
        <w:right w:val="none" w:sz="0" w:space="0" w:color="auto"/>
      </w:divBdr>
    </w:div>
    <w:div w:id="620650300">
      <w:bodyDiv w:val="1"/>
      <w:marLeft w:val="0"/>
      <w:marRight w:val="0"/>
      <w:marTop w:val="0"/>
      <w:marBottom w:val="0"/>
      <w:divBdr>
        <w:top w:val="none" w:sz="0" w:space="0" w:color="auto"/>
        <w:left w:val="none" w:sz="0" w:space="0" w:color="auto"/>
        <w:bottom w:val="none" w:sz="0" w:space="0" w:color="auto"/>
        <w:right w:val="none" w:sz="0" w:space="0" w:color="auto"/>
      </w:divBdr>
    </w:div>
    <w:div w:id="624192854">
      <w:bodyDiv w:val="1"/>
      <w:marLeft w:val="0"/>
      <w:marRight w:val="0"/>
      <w:marTop w:val="0"/>
      <w:marBottom w:val="0"/>
      <w:divBdr>
        <w:top w:val="none" w:sz="0" w:space="0" w:color="auto"/>
        <w:left w:val="none" w:sz="0" w:space="0" w:color="auto"/>
        <w:bottom w:val="none" w:sz="0" w:space="0" w:color="auto"/>
        <w:right w:val="none" w:sz="0" w:space="0" w:color="auto"/>
      </w:divBdr>
    </w:div>
    <w:div w:id="629358822">
      <w:bodyDiv w:val="1"/>
      <w:marLeft w:val="0"/>
      <w:marRight w:val="0"/>
      <w:marTop w:val="0"/>
      <w:marBottom w:val="0"/>
      <w:divBdr>
        <w:top w:val="none" w:sz="0" w:space="0" w:color="auto"/>
        <w:left w:val="none" w:sz="0" w:space="0" w:color="auto"/>
        <w:bottom w:val="none" w:sz="0" w:space="0" w:color="auto"/>
        <w:right w:val="none" w:sz="0" w:space="0" w:color="auto"/>
      </w:divBdr>
    </w:div>
    <w:div w:id="631061867">
      <w:bodyDiv w:val="1"/>
      <w:marLeft w:val="0"/>
      <w:marRight w:val="0"/>
      <w:marTop w:val="0"/>
      <w:marBottom w:val="0"/>
      <w:divBdr>
        <w:top w:val="none" w:sz="0" w:space="0" w:color="auto"/>
        <w:left w:val="none" w:sz="0" w:space="0" w:color="auto"/>
        <w:bottom w:val="none" w:sz="0" w:space="0" w:color="auto"/>
        <w:right w:val="none" w:sz="0" w:space="0" w:color="auto"/>
      </w:divBdr>
    </w:div>
    <w:div w:id="632173138">
      <w:bodyDiv w:val="1"/>
      <w:marLeft w:val="0"/>
      <w:marRight w:val="0"/>
      <w:marTop w:val="0"/>
      <w:marBottom w:val="0"/>
      <w:divBdr>
        <w:top w:val="none" w:sz="0" w:space="0" w:color="auto"/>
        <w:left w:val="none" w:sz="0" w:space="0" w:color="auto"/>
        <w:bottom w:val="none" w:sz="0" w:space="0" w:color="auto"/>
        <w:right w:val="none" w:sz="0" w:space="0" w:color="auto"/>
      </w:divBdr>
    </w:div>
    <w:div w:id="632174352">
      <w:bodyDiv w:val="1"/>
      <w:marLeft w:val="0"/>
      <w:marRight w:val="0"/>
      <w:marTop w:val="0"/>
      <w:marBottom w:val="0"/>
      <w:divBdr>
        <w:top w:val="none" w:sz="0" w:space="0" w:color="auto"/>
        <w:left w:val="none" w:sz="0" w:space="0" w:color="auto"/>
        <w:bottom w:val="none" w:sz="0" w:space="0" w:color="auto"/>
        <w:right w:val="none" w:sz="0" w:space="0" w:color="auto"/>
      </w:divBdr>
    </w:div>
    <w:div w:id="634943519">
      <w:bodyDiv w:val="1"/>
      <w:marLeft w:val="0"/>
      <w:marRight w:val="0"/>
      <w:marTop w:val="0"/>
      <w:marBottom w:val="0"/>
      <w:divBdr>
        <w:top w:val="none" w:sz="0" w:space="0" w:color="auto"/>
        <w:left w:val="none" w:sz="0" w:space="0" w:color="auto"/>
        <w:bottom w:val="none" w:sz="0" w:space="0" w:color="auto"/>
        <w:right w:val="none" w:sz="0" w:space="0" w:color="auto"/>
      </w:divBdr>
    </w:div>
    <w:div w:id="641037880">
      <w:bodyDiv w:val="1"/>
      <w:marLeft w:val="0"/>
      <w:marRight w:val="0"/>
      <w:marTop w:val="0"/>
      <w:marBottom w:val="0"/>
      <w:divBdr>
        <w:top w:val="none" w:sz="0" w:space="0" w:color="auto"/>
        <w:left w:val="none" w:sz="0" w:space="0" w:color="auto"/>
        <w:bottom w:val="none" w:sz="0" w:space="0" w:color="auto"/>
        <w:right w:val="none" w:sz="0" w:space="0" w:color="auto"/>
      </w:divBdr>
    </w:div>
    <w:div w:id="641084873">
      <w:bodyDiv w:val="1"/>
      <w:marLeft w:val="0"/>
      <w:marRight w:val="0"/>
      <w:marTop w:val="0"/>
      <w:marBottom w:val="0"/>
      <w:divBdr>
        <w:top w:val="none" w:sz="0" w:space="0" w:color="auto"/>
        <w:left w:val="none" w:sz="0" w:space="0" w:color="auto"/>
        <w:bottom w:val="none" w:sz="0" w:space="0" w:color="auto"/>
        <w:right w:val="none" w:sz="0" w:space="0" w:color="auto"/>
      </w:divBdr>
    </w:div>
    <w:div w:id="641665263">
      <w:bodyDiv w:val="1"/>
      <w:marLeft w:val="0"/>
      <w:marRight w:val="0"/>
      <w:marTop w:val="0"/>
      <w:marBottom w:val="0"/>
      <w:divBdr>
        <w:top w:val="none" w:sz="0" w:space="0" w:color="auto"/>
        <w:left w:val="none" w:sz="0" w:space="0" w:color="auto"/>
        <w:bottom w:val="none" w:sz="0" w:space="0" w:color="auto"/>
        <w:right w:val="none" w:sz="0" w:space="0" w:color="auto"/>
      </w:divBdr>
    </w:div>
    <w:div w:id="644814885">
      <w:bodyDiv w:val="1"/>
      <w:marLeft w:val="0"/>
      <w:marRight w:val="0"/>
      <w:marTop w:val="0"/>
      <w:marBottom w:val="0"/>
      <w:divBdr>
        <w:top w:val="none" w:sz="0" w:space="0" w:color="auto"/>
        <w:left w:val="none" w:sz="0" w:space="0" w:color="auto"/>
        <w:bottom w:val="none" w:sz="0" w:space="0" w:color="auto"/>
        <w:right w:val="none" w:sz="0" w:space="0" w:color="auto"/>
      </w:divBdr>
    </w:div>
    <w:div w:id="649141013">
      <w:bodyDiv w:val="1"/>
      <w:marLeft w:val="0"/>
      <w:marRight w:val="0"/>
      <w:marTop w:val="0"/>
      <w:marBottom w:val="0"/>
      <w:divBdr>
        <w:top w:val="none" w:sz="0" w:space="0" w:color="auto"/>
        <w:left w:val="none" w:sz="0" w:space="0" w:color="auto"/>
        <w:bottom w:val="none" w:sz="0" w:space="0" w:color="auto"/>
        <w:right w:val="none" w:sz="0" w:space="0" w:color="auto"/>
      </w:divBdr>
      <w:divsChild>
        <w:div w:id="207225920">
          <w:marLeft w:val="0"/>
          <w:marRight w:val="0"/>
          <w:marTop w:val="0"/>
          <w:marBottom w:val="0"/>
          <w:divBdr>
            <w:top w:val="none" w:sz="0" w:space="0" w:color="auto"/>
            <w:left w:val="none" w:sz="0" w:space="0" w:color="auto"/>
            <w:bottom w:val="none" w:sz="0" w:space="0" w:color="auto"/>
            <w:right w:val="none" w:sz="0" w:space="0" w:color="auto"/>
          </w:divBdr>
        </w:div>
      </w:divsChild>
    </w:div>
    <w:div w:id="650405066">
      <w:bodyDiv w:val="1"/>
      <w:marLeft w:val="0"/>
      <w:marRight w:val="0"/>
      <w:marTop w:val="0"/>
      <w:marBottom w:val="0"/>
      <w:divBdr>
        <w:top w:val="none" w:sz="0" w:space="0" w:color="auto"/>
        <w:left w:val="none" w:sz="0" w:space="0" w:color="auto"/>
        <w:bottom w:val="none" w:sz="0" w:space="0" w:color="auto"/>
        <w:right w:val="none" w:sz="0" w:space="0" w:color="auto"/>
      </w:divBdr>
    </w:div>
    <w:div w:id="651063303">
      <w:bodyDiv w:val="1"/>
      <w:marLeft w:val="0"/>
      <w:marRight w:val="0"/>
      <w:marTop w:val="0"/>
      <w:marBottom w:val="0"/>
      <w:divBdr>
        <w:top w:val="none" w:sz="0" w:space="0" w:color="auto"/>
        <w:left w:val="none" w:sz="0" w:space="0" w:color="auto"/>
        <w:bottom w:val="none" w:sz="0" w:space="0" w:color="auto"/>
        <w:right w:val="none" w:sz="0" w:space="0" w:color="auto"/>
      </w:divBdr>
    </w:div>
    <w:div w:id="653801095">
      <w:bodyDiv w:val="1"/>
      <w:marLeft w:val="0"/>
      <w:marRight w:val="0"/>
      <w:marTop w:val="0"/>
      <w:marBottom w:val="0"/>
      <w:divBdr>
        <w:top w:val="none" w:sz="0" w:space="0" w:color="auto"/>
        <w:left w:val="none" w:sz="0" w:space="0" w:color="auto"/>
        <w:bottom w:val="none" w:sz="0" w:space="0" w:color="auto"/>
        <w:right w:val="none" w:sz="0" w:space="0" w:color="auto"/>
      </w:divBdr>
    </w:div>
    <w:div w:id="656416703">
      <w:bodyDiv w:val="1"/>
      <w:marLeft w:val="0"/>
      <w:marRight w:val="0"/>
      <w:marTop w:val="0"/>
      <w:marBottom w:val="0"/>
      <w:divBdr>
        <w:top w:val="none" w:sz="0" w:space="0" w:color="auto"/>
        <w:left w:val="none" w:sz="0" w:space="0" w:color="auto"/>
        <w:bottom w:val="none" w:sz="0" w:space="0" w:color="auto"/>
        <w:right w:val="none" w:sz="0" w:space="0" w:color="auto"/>
      </w:divBdr>
    </w:div>
    <w:div w:id="658313327">
      <w:bodyDiv w:val="1"/>
      <w:marLeft w:val="0"/>
      <w:marRight w:val="0"/>
      <w:marTop w:val="0"/>
      <w:marBottom w:val="0"/>
      <w:divBdr>
        <w:top w:val="none" w:sz="0" w:space="0" w:color="auto"/>
        <w:left w:val="none" w:sz="0" w:space="0" w:color="auto"/>
        <w:bottom w:val="none" w:sz="0" w:space="0" w:color="auto"/>
        <w:right w:val="none" w:sz="0" w:space="0" w:color="auto"/>
      </w:divBdr>
    </w:div>
    <w:div w:id="658387344">
      <w:bodyDiv w:val="1"/>
      <w:marLeft w:val="0"/>
      <w:marRight w:val="0"/>
      <w:marTop w:val="0"/>
      <w:marBottom w:val="0"/>
      <w:divBdr>
        <w:top w:val="none" w:sz="0" w:space="0" w:color="auto"/>
        <w:left w:val="none" w:sz="0" w:space="0" w:color="auto"/>
        <w:bottom w:val="none" w:sz="0" w:space="0" w:color="auto"/>
        <w:right w:val="none" w:sz="0" w:space="0" w:color="auto"/>
      </w:divBdr>
    </w:div>
    <w:div w:id="658538481">
      <w:bodyDiv w:val="1"/>
      <w:marLeft w:val="0"/>
      <w:marRight w:val="0"/>
      <w:marTop w:val="0"/>
      <w:marBottom w:val="0"/>
      <w:divBdr>
        <w:top w:val="none" w:sz="0" w:space="0" w:color="auto"/>
        <w:left w:val="none" w:sz="0" w:space="0" w:color="auto"/>
        <w:bottom w:val="none" w:sz="0" w:space="0" w:color="auto"/>
        <w:right w:val="none" w:sz="0" w:space="0" w:color="auto"/>
      </w:divBdr>
    </w:div>
    <w:div w:id="660474348">
      <w:bodyDiv w:val="1"/>
      <w:marLeft w:val="0"/>
      <w:marRight w:val="0"/>
      <w:marTop w:val="0"/>
      <w:marBottom w:val="0"/>
      <w:divBdr>
        <w:top w:val="none" w:sz="0" w:space="0" w:color="auto"/>
        <w:left w:val="none" w:sz="0" w:space="0" w:color="auto"/>
        <w:bottom w:val="none" w:sz="0" w:space="0" w:color="auto"/>
        <w:right w:val="none" w:sz="0" w:space="0" w:color="auto"/>
      </w:divBdr>
    </w:div>
    <w:div w:id="664356033">
      <w:bodyDiv w:val="1"/>
      <w:marLeft w:val="0"/>
      <w:marRight w:val="0"/>
      <w:marTop w:val="0"/>
      <w:marBottom w:val="0"/>
      <w:divBdr>
        <w:top w:val="none" w:sz="0" w:space="0" w:color="auto"/>
        <w:left w:val="none" w:sz="0" w:space="0" w:color="auto"/>
        <w:bottom w:val="none" w:sz="0" w:space="0" w:color="auto"/>
        <w:right w:val="none" w:sz="0" w:space="0" w:color="auto"/>
      </w:divBdr>
    </w:div>
    <w:div w:id="664406203">
      <w:bodyDiv w:val="1"/>
      <w:marLeft w:val="0"/>
      <w:marRight w:val="0"/>
      <w:marTop w:val="0"/>
      <w:marBottom w:val="0"/>
      <w:divBdr>
        <w:top w:val="none" w:sz="0" w:space="0" w:color="auto"/>
        <w:left w:val="none" w:sz="0" w:space="0" w:color="auto"/>
        <w:bottom w:val="none" w:sz="0" w:space="0" w:color="auto"/>
        <w:right w:val="none" w:sz="0" w:space="0" w:color="auto"/>
      </w:divBdr>
    </w:div>
    <w:div w:id="668564752">
      <w:bodyDiv w:val="1"/>
      <w:marLeft w:val="0"/>
      <w:marRight w:val="0"/>
      <w:marTop w:val="0"/>
      <w:marBottom w:val="0"/>
      <w:divBdr>
        <w:top w:val="none" w:sz="0" w:space="0" w:color="auto"/>
        <w:left w:val="none" w:sz="0" w:space="0" w:color="auto"/>
        <w:bottom w:val="none" w:sz="0" w:space="0" w:color="auto"/>
        <w:right w:val="none" w:sz="0" w:space="0" w:color="auto"/>
      </w:divBdr>
    </w:div>
    <w:div w:id="675232276">
      <w:bodyDiv w:val="1"/>
      <w:marLeft w:val="0"/>
      <w:marRight w:val="0"/>
      <w:marTop w:val="0"/>
      <w:marBottom w:val="0"/>
      <w:divBdr>
        <w:top w:val="none" w:sz="0" w:space="0" w:color="auto"/>
        <w:left w:val="none" w:sz="0" w:space="0" w:color="auto"/>
        <w:bottom w:val="none" w:sz="0" w:space="0" w:color="auto"/>
        <w:right w:val="none" w:sz="0" w:space="0" w:color="auto"/>
      </w:divBdr>
    </w:div>
    <w:div w:id="678044954">
      <w:bodyDiv w:val="1"/>
      <w:marLeft w:val="0"/>
      <w:marRight w:val="0"/>
      <w:marTop w:val="0"/>
      <w:marBottom w:val="0"/>
      <w:divBdr>
        <w:top w:val="none" w:sz="0" w:space="0" w:color="auto"/>
        <w:left w:val="none" w:sz="0" w:space="0" w:color="auto"/>
        <w:bottom w:val="none" w:sz="0" w:space="0" w:color="auto"/>
        <w:right w:val="none" w:sz="0" w:space="0" w:color="auto"/>
      </w:divBdr>
    </w:div>
    <w:div w:id="681393617">
      <w:bodyDiv w:val="1"/>
      <w:marLeft w:val="0"/>
      <w:marRight w:val="0"/>
      <w:marTop w:val="0"/>
      <w:marBottom w:val="0"/>
      <w:divBdr>
        <w:top w:val="none" w:sz="0" w:space="0" w:color="auto"/>
        <w:left w:val="none" w:sz="0" w:space="0" w:color="auto"/>
        <w:bottom w:val="none" w:sz="0" w:space="0" w:color="auto"/>
        <w:right w:val="none" w:sz="0" w:space="0" w:color="auto"/>
      </w:divBdr>
    </w:div>
    <w:div w:id="683439410">
      <w:bodyDiv w:val="1"/>
      <w:marLeft w:val="0"/>
      <w:marRight w:val="0"/>
      <w:marTop w:val="0"/>
      <w:marBottom w:val="0"/>
      <w:divBdr>
        <w:top w:val="none" w:sz="0" w:space="0" w:color="auto"/>
        <w:left w:val="none" w:sz="0" w:space="0" w:color="auto"/>
        <w:bottom w:val="none" w:sz="0" w:space="0" w:color="auto"/>
        <w:right w:val="none" w:sz="0" w:space="0" w:color="auto"/>
      </w:divBdr>
    </w:div>
    <w:div w:id="683702643">
      <w:bodyDiv w:val="1"/>
      <w:marLeft w:val="0"/>
      <w:marRight w:val="0"/>
      <w:marTop w:val="0"/>
      <w:marBottom w:val="0"/>
      <w:divBdr>
        <w:top w:val="none" w:sz="0" w:space="0" w:color="auto"/>
        <w:left w:val="none" w:sz="0" w:space="0" w:color="auto"/>
        <w:bottom w:val="none" w:sz="0" w:space="0" w:color="auto"/>
        <w:right w:val="none" w:sz="0" w:space="0" w:color="auto"/>
      </w:divBdr>
    </w:div>
    <w:div w:id="684675246">
      <w:bodyDiv w:val="1"/>
      <w:marLeft w:val="0"/>
      <w:marRight w:val="0"/>
      <w:marTop w:val="0"/>
      <w:marBottom w:val="0"/>
      <w:divBdr>
        <w:top w:val="none" w:sz="0" w:space="0" w:color="auto"/>
        <w:left w:val="none" w:sz="0" w:space="0" w:color="auto"/>
        <w:bottom w:val="none" w:sz="0" w:space="0" w:color="auto"/>
        <w:right w:val="none" w:sz="0" w:space="0" w:color="auto"/>
      </w:divBdr>
    </w:div>
    <w:div w:id="687219179">
      <w:bodyDiv w:val="1"/>
      <w:marLeft w:val="0"/>
      <w:marRight w:val="0"/>
      <w:marTop w:val="0"/>
      <w:marBottom w:val="0"/>
      <w:divBdr>
        <w:top w:val="none" w:sz="0" w:space="0" w:color="auto"/>
        <w:left w:val="none" w:sz="0" w:space="0" w:color="auto"/>
        <w:bottom w:val="none" w:sz="0" w:space="0" w:color="auto"/>
        <w:right w:val="none" w:sz="0" w:space="0" w:color="auto"/>
      </w:divBdr>
    </w:div>
    <w:div w:id="689264323">
      <w:bodyDiv w:val="1"/>
      <w:marLeft w:val="0"/>
      <w:marRight w:val="0"/>
      <w:marTop w:val="0"/>
      <w:marBottom w:val="0"/>
      <w:divBdr>
        <w:top w:val="none" w:sz="0" w:space="0" w:color="auto"/>
        <w:left w:val="none" w:sz="0" w:space="0" w:color="auto"/>
        <w:bottom w:val="none" w:sz="0" w:space="0" w:color="auto"/>
        <w:right w:val="none" w:sz="0" w:space="0" w:color="auto"/>
      </w:divBdr>
    </w:div>
    <w:div w:id="692193735">
      <w:bodyDiv w:val="1"/>
      <w:marLeft w:val="0"/>
      <w:marRight w:val="0"/>
      <w:marTop w:val="0"/>
      <w:marBottom w:val="0"/>
      <w:divBdr>
        <w:top w:val="none" w:sz="0" w:space="0" w:color="auto"/>
        <w:left w:val="none" w:sz="0" w:space="0" w:color="auto"/>
        <w:bottom w:val="none" w:sz="0" w:space="0" w:color="auto"/>
        <w:right w:val="none" w:sz="0" w:space="0" w:color="auto"/>
      </w:divBdr>
    </w:div>
    <w:div w:id="697585894">
      <w:bodyDiv w:val="1"/>
      <w:marLeft w:val="0"/>
      <w:marRight w:val="0"/>
      <w:marTop w:val="0"/>
      <w:marBottom w:val="0"/>
      <w:divBdr>
        <w:top w:val="none" w:sz="0" w:space="0" w:color="auto"/>
        <w:left w:val="none" w:sz="0" w:space="0" w:color="auto"/>
        <w:bottom w:val="none" w:sz="0" w:space="0" w:color="auto"/>
        <w:right w:val="none" w:sz="0" w:space="0" w:color="auto"/>
      </w:divBdr>
    </w:div>
    <w:div w:id="699016619">
      <w:bodyDiv w:val="1"/>
      <w:marLeft w:val="0"/>
      <w:marRight w:val="0"/>
      <w:marTop w:val="0"/>
      <w:marBottom w:val="0"/>
      <w:divBdr>
        <w:top w:val="none" w:sz="0" w:space="0" w:color="auto"/>
        <w:left w:val="none" w:sz="0" w:space="0" w:color="auto"/>
        <w:bottom w:val="none" w:sz="0" w:space="0" w:color="auto"/>
        <w:right w:val="none" w:sz="0" w:space="0" w:color="auto"/>
      </w:divBdr>
    </w:div>
    <w:div w:id="699281503">
      <w:bodyDiv w:val="1"/>
      <w:marLeft w:val="0"/>
      <w:marRight w:val="0"/>
      <w:marTop w:val="0"/>
      <w:marBottom w:val="0"/>
      <w:divBdr>
        <w:top w:val="none" w:sz="0" w:space="0" w:color="auto"/>
        <w:left w:val="none" w:sz="0" w:space="0" w:color="auto"/>
        <w:bottom w:val="none" w:sz="0" w:space="0" w:color="auto"/>
        <w:right w:val="none" w:sz="0" w:space="0" w:color="auto"/>
      </w:divBdr>
    </w:div>
    <w:div w:id="700588036">
      <w:bodyDiv w:val="1"/>
      <w:marLeft w:val="0"/>
      <w:marRight w:val="0"/>
      <w:marTop w:val="0"/>
      <w:marBottom w:val="0"/>
      <w:divBdr>
        <w:top w:val="none" w:sz="0" w:space="0" w:color="auto"/>
        <w:left w:val="none" w:sz="0" w:space="0" w:color="auto"/>
        <w:bottom w:val="none" w:sz="0" w:space="0" w:color="auto"/>
        <w:right w:val="none" w:sz="0" w:space="0" w:color="auto"/>
      </w:divBdr>
    </w:div>
    <w:div w:id="701706992">
      <w:bodyDiv w:val="1"/>
      <w:marLeft w:val="0"/>
      <w:marRight w:val="0"/>
      <w:marTop w:val="0"/>
      <w:marBottom w:val="0"/>
      <w:divBdr>
        <w:top w:val="none" w:sz="0" w:space="0" w:color="auto"/>
        <w:left w:val="none" w:sz="0" w:space="0" w:color="auto"/>
        <w:bottom w:val="none" w:sz="0" w:space="0" w:color="auto"/>
        <w:right w:val="none" w:sz="0" w:space="0" w:color="auto"/>
      </w:divBdr>
    </w:div>
    <w:div w:id="703216957">
      <w:bodyDiv w:val="1"/>
      <w:marLeft w:val="0"/>
      <w:marRight w:val="0"/>
      <w:marTop w:val="0"/>
      <w:marBottom w:val="0"/>
      <w:divBdr>
        <w:top w:val="none" w:sz="0" w:space="0" w:color="auto"/>
        <w:left w:val="none" w:sz="0" w:space="0" w:color="auto"/>
        <w:bottom w:val="none" w:sz="0" w:space="0" w:color="auto"/>
        <w:right w:val="none" w:sz="0" w:space="0" w:color="auto"/>
      </w:divBdr>
    </w:div>
    <w:div w:id="710154859">
      <w:bodyDiv w:val="1"/>
      <w:marLeft w:val="0"/>
      <w:marRight w:val="0"/>
      <w:marTop w:val="0"/>
      <w:marBottom w:val="0"/>
      <w:divBdr>
        <w:top w:val="none" w:sz="0" w:space="0" w:color="auto"/>
        <w:left w:val="none" w:sz="0" w:space="0" w:color="auto"/>
        <w:bottom w:val="none" w:sz="0" w:space="0" w:color="auto"/>
        <w:right w:val="none" w:sz="0" w:space="0" w:color="auto"/>
      </w:divBdr>
    </w:div>
    <w:div w:id="714356838">
      <w:bodyDiv w:val="1"/>
      <w:marLeft w:val="0"/>
      <w:marRight w:val="0"/>
      <w:marTop w:val="0"/>
      <w:marBottom w:val="0"/>
      <w:divBdr>
        <w:top w:val="none" w:sz="0" w:space="0" w:color="auto"/>
        <w:left w:val="none" w:sz="0" w:space="0" w:color="auto"/>
        <w:bottom w:val="none" w:sz="0" w:space="0" w:color="auto"/>
        <w:right w:val="none" w:sz="0" w:space="0" w:color="auto"/>
      </w:divBdr>
    </w:div>
    <w:div w:id="715786050">
      <w:bodyDiv w:val="1"/>
      <w:marLeft w:val="0"/>
      <w:marRight w:val="0"/>
      <w:marTop w:val="0"/>
      <w:marBottom w:val="0"/>
      <w:divBdr>
        <w:top w:val="none" w:sz="0" w:space="0" w:color="auto"/>
        <w:left w:val="none" w:sz="0" w:space="0" w:color="auto"/>
        <w:bottom w:val="none" w:sz="0" w:space="0" w:color="auto"/>
        <w:right w:val="none" w:sz="0" w:space="0" w:color="auto"/>
      </w:divBdr>
    </w:div>
    <w:div w:id="717054637">
      <w:bodyDiv w:val="1"/>
      <w:marLeft w:val="0"/>
      <w:marRight w:val="0"/>
      <w:marTop w:val="0"/>
      <w:marBottom w:val="0"/>
      <w:divBdr>
        <w:top w:val="none" w:sz="0" w:space="0" w:color="auto"/>
        <w:left w:val="none" w:sz="0" w:space="0" w:color="auto"/>
        <w:bottom w:val="none" w:sz="0" w:space="0" w:color="auto"/>
        <w:right w:val="none" w:sz="0" w:space="0" w:color="auto"/>
      </w:divBdr>
    </w:div>
    <w:div w:id="717824457">
      <w:bodyDiv w:val="1"/>
      <w:marLeft w:val="0"/>
      <w:marRight w:val="0"/>
      <w:marTop w:val="0"/>
      <w:marBottom w:val="0"/>
      <w:divBdr>
        <w:top w:val="none" w:sz="0" w:space="0" w:color="auto"/>
        <w:left w:val="none" w:sz="0" w:space="0" w:color="auto"/>
        <w:bottom w:val="none" w:sz="0" w:space="0" w:color="auto"/>
        <w:right w:val="none" w:sz="0" w:space="0" w:color="auto"/>
      </w:divBdr>
    </w:div>
    <w:div w:id="720373059">
      <w:bodyDiv w:val="1"/>
      <w:marLeft w:val="0"/>
      <w:marRight w:val="0"/>
      <w:marTop w:val="0"/>
      <w:marBottom w:val="0"/>
      <w:divBdr>
        <w:top w:val="none" w:sz="0" w:space="0" w:color="auto"/>
        <w:left w:val="none" w:sz="0" w:space="0" w:color="auto"/>
        <w:bottom w:val="none" w:sz="0" w:space="0" w:color="auto"/>
        <w:right w:val="none" w:sz="0" w:space="0" w:color="auto"/>
      </w:divBdr>
    </w:div>
    <w:div w:id="720908068">
      <w:bodyDiv w:val="1"/>
      <w:marLeft w:val="0"/>
      <w:marRight w:val="0"/>
      <w:marTop w:val="0"/>
      <w:marBottom w:val="0"/>
      <w:divBdr>
        <w:top w:val="none" w:sz="0" w:space="0" w:color="auto"/>
        <w:left w:val="none" w:sz="0" w:space="0" w:color="auto"/>
        <w:bottom w:val="none" w:sz="0" w:space="0" w:color="auto"/>
        <w:right w:val="none" w:sz="0" w:space="0" w:color="auto"/>
      </w:divBdr>
    </w:div>
    <w:div w:id="721750476">
      <w:bodyDiv w:val="1"/>
      <w:marLeft w:val="0"/>
      <w:marRight w:val="0"/>
      <w:marTop w:val="0"/>
      <w:marBottom w:val="0"/>
      <w:divBdr>
        <w:top w:val="none" w:sz="0" w:space="0" w:color="auto"/>
        <w:left w:val="none" w:sz="0" w:space="0" w:color="auto"/>
        <w:bottom w:val="none" w:sz="0" w:space="0" w:color="auto"/>
        <w:right w:val="none" w:sz="0" w:space="0" w:color="auto"/>
      </w:divBdr>
    </w:div>
    <w:div w:id="722019395">
      <w:bodyDiv w:val="1"/>
      <w:marLeft w:val="0"/>
      <w:marRight w:val="0"/>
      <w:marTop w:val="0"/>
      <w:marBottom w:val="0"/>
      <w:divBdr>
        <w:top w:val="none" w:sz="0" w:space="0" w:color="auto"/>
        <w:left w:val="none" w:sz="0" w:space="0" w:color="auto"/>
        <w:bottom w:val="none" w:sz="0" w:space="0" w:color="auto"/>
        <w:right w:val="none" w:sz="0" w:space="0" w:color="auto"/>
      </w:divBdr>
    </w:div>
    <w:div w:id="725370090">
      <w:bodyDiv w:val="1"/>
      <w:marLeft w:val="0"/>
      <w:marRight w:val="0"/>
      <w:marTop w:val="0"/>
      <w:marBottom w:val="0"/>
      <w:divBdr>
        <w:top w:val="none" w:sz="0" w:space="0" w:color="auto"/>
        <w:left w:val="none" w:sz="0" w:space="0" w:color="auto"/>
        <w:bottom w:val="none" w:sz="0" w:space="0" w:color="auto"/>
        <w:right w:val="none" w:sz="0" w:space="0" w:color="auto"/>
      </w:divBdr>
    </w:div>
    <w:div w:id="725954032">
      <w:bodyDiv w:val="1"/>
      <w:marLeft w:val="0"/>
      <w:marRight w:val="0"/>
      <w:marTop w:val="0"/>
      <w:marBottom w:val="0"/>
      <w:divBdr>
        <w:top w:val="none" w:sz="0" w:space="0" w:color="auto"/>
        <w:left w:val="none" w:sz="0" w:space="0" w:color="auto"/>
        <w:bottom w:val="none" w:sz="0" w:space="0" w:color="auto"/>
        <w:right w:val="none" w:sz="0" w:space="0" w:color="auto"/>
      </w:divBdr>
    </w:div>
    <w:div w:id="726685899">
      <w:bodyDiv w:val="1"/>
      <w:marLeft w:val="0"/>
      <w:marRight w:val="0"/>
      <w:marTop w:val="0"/>
      <w:marBottom w:val="0"/>
      <w:divBdr>
        <w:top w:val="none" w:sz="0" w:space="0" w:color="auto"/>
        <w:left w:val="none" w:sz="0" w:space="0" w:color="auto"/>
        <w:bottom w:val="none" w:sz="0" w:space="0" w:color="auto"/>
        <w:right w:val="none" w:sz="0" w:space="0" w:color="auto"/>
      </w:divBdr>
    </w:div>
    <w:div w:id="727385668">
      <w:bodyDiv w:val="1"/>
      <w:marLeft w:val="0"/>
      <w:marRight w:val="0"/>
      <w:marTop w:val="0"/>
      <w:marBottom w:val="0"/>
      <w:divBdr>
        <w:top w:val="none" w:sz="0" w:space="0" w:color="auto"/>
        <w:left w:val="none" w:sz="0" w:space="0" w:color="auto"/>
        <w:bottom w:val="none" w:sz="0" w:space="0" w:color="auto"/>
        <w:right w:val="none" w:sz="0" w:space="0" w:color="auto"/>
      </w:divBdr>
    </w:div>
    <w:div w:id="732780896">
      <w:bodyDiv w:val="1"/>
      <w:marLeft w:val="0"/>
      <w:marRight w:val="0"/>
      <w:marTop w:val="0"/>
      <w:marBottom w:val="0"/>
      <w:divBdr>
        <w:top w:val="none" w:sz="0" w:space="0" w:color="auto"/>
        <w:left w:val="none" w:sz="0" w:space="0" w:color="auto"/>
        <w:bottom w:val="none" w:sz="0" w:space="0" w:color="auto"/>
        <w:right w:val="none" w:sz="0" w:space="0" w:color="auto"/>
      </w:divBdr>
    </w:div>
    <w:div w:id="734862211">
      <w:bodyDiv w:val="1"/>
      <w:marLeft w:val="0"/>
      <w:marRight w:val="0"/>
      <w:marTop w:val="0"/>
      <w:marBottom w:val="0"/>
      <w:divBdr>
        <w:top w:val="none" w:sz="0" w:space="0" w:color="auto"/>
        <w:left w:val="none" w:sz="0" w:space="0" w:color="auto"/>
        <w:bottom w:val="none" w:sz="0" w:space="0" w:color="auto"/>
        <w:right w:val="none" w:sz="0" w:space="0" w:color="auto"/>
      </w:divBdr>
    </w:div>
    <w:div w:id="735321393">
      <w:bodyDiv w:val="1"/>
      <w:marLeft w:val="0"/>
      <w:marRight w:val="0"/>
      <w:marTop w:val="0"/>
      <w:marBottom w:val="0"/>
      <w:divBdr>
        <w:top w:val="none" w:sz="0" w:space="0" w:color="auto"/>
        <w:left w:val="none" w:sz="0" w:space="0" w:color="auto"/>
        <w:bottom w:val="none" w:sz="0" w:space="0" w:color="auto"/>
        <w:right w:val="none" w:sz="0" w:space="0" w:color="auto"/>
      </w:divBdr>
    </w:div>
    <w:div w:id="735395252">
      <w:bodyDiv w:val="1"/>
      <w:marLeft w:val="0"/>
      <w:marRight w:val="0"/>
      <w:marTop w:val="0"/>
      <w:marBottom w:val="0"/>
      <w:divBdr>
        <w:top w:val="none" w:sz="0" w:space="0" w:color="auto"/>
        <w:left w:val="none" w:sz="0" w:space="0" w:color="auto"/>
        <w:bottom w:val="none" w:sz="0" w:space="0" w:color="auto"/>
        <w:right w:val="none" w:sz="0" w:space="0" w:color="auto"/>
      </w:divBdr>
    </w:div>
    <w:div w:id="738601543">
      <w:bodyDiv w:val="1"/>
      <w:marLeft w:val="0"/>
      <w:marRight w:val="0"/>
      <w:marTop w:val="0"/>
      <w:marBottom w:val="0"/>
      <w:divBdr>
        <w:top w:val="none" w:sz="0" w:space="0" w:color="auto"/>
        <w:left w:val="none" w:sz="0" w:space="0" w:color="auto"/>
        <w:bottom w:val="none" w:sz="0" w:space="0" w:color="auto"/>
        <w:right w:val="none" w:sz="0" w:space="0" w:color="auto"/>
      </w:divBdr>
    </w:div>
    <w:div w:id="746148629">
      <w:bodyDiv w:val="1"/>
      <w:marLeft w:val="0"/>
      <w:marRight w:val="0"/>
      <w:marTop w:val="0"/>
      <w:marBottom w:val="0"/>
      <w:divBdr>
        <w:top w:val="none" w:sz="0" w:space="0" w:color="auto"/>
        <w:left w:val="none" w:sz="0" w:space="0" w:color="auto"/>
        <w:bottom w:val="none" w:sz="0" w:space="0" w:color="auto"/>
        <w:right w:val="none" w:sz="0" w:space="0" w:color="auto"/>
      </w:divBdr>
    </w:div>
    <w:div w:id="756512292">
      <w:bodyDiv w:val="1"/>
      <w:marLeft w:val="0"/>
      <w:marRight w:val="0"/>
      <w:marTop w:val="0"/>
      <w:marBottom w:val="0"/>
      <w:divBdr>
        <w:top w:val="none" w:sz="0" w:space="0" w:color="auto"/>
        <w:left w:val="none" w:sz="0" w:space="0" w:color="auto"/>
        <w:bottom w:val="none" w:sz="0" w:space="0" w:color="auto"/>
        <w:right w:val="none" w:sz="0" w:space="0" w:color="auto"/>
      </w:divBdr>
    </w:div>
    <w:div w:id="758259750">
      <w:bodyDiv w:val="1"/>
      <w:marLeft w:val="0"/>
      <w:marRight w:val="0"/>
      <w:marTop w:val="0"/>
      <w:marBottom w:val="0"/>
      <w:divBdr>
        <w:top w:val="none" w:sz="0" w:space="0" w:color="auto"/>
        <w:left w:val="none" w:sz="0" w:space="0" w:color="auto"/>
        <w:bottom w:val="none" w:sz="0" w:space="0" w:color="auto"/>
        <w:right w:val="none" w:sz="0" w:space="0" w:color="auto"/>
      </w:divBdr>
    </w:div>
    <w:div w:id="760223056">
      <w:bodyDiv w:val="1"/>
      <w:marLeft w:val="0"/>
      <w:marRight w:val="0"/>
      <w:marTop w:val="0"/>
      <w:marBottom w:val="0"/>
      <w:divBdr>
        <w:top w:val="none" w:sz="0" w:space="0" w:color="auto"/>
        <w:left w:val="none" w:sz="0" w:space="0" w:color="auto"/>
        <w:bottom w:val="none" w:sz="0" w:space="0" w:color="auto"/>
        <w:right w:val="none" w:sz="0" w:space="0" w:color="auto"/>
      </w:divBdr>
    </w:div>
    <w:div w:id="763233598">
      <w:bodyDiv w:val="1"/>
      <w:marLeft w:val="0"/>
      <w:marRight w:val="0"/>
      <w:marTop w:val="0"/>
      <w:marBottom w:val="0"/>
      <w:divBdr>
        <w:top w:val="none" w:sz="0" w:space="0" w:color="auto"/>
        <w:left w:val="none" w:sz="0" w:space="0" w:color="auto"/>
        <w:bottom w:val="none" w:sz="0" w:space="0" w:color="auto"/>
        <w:right w:val="none" w:sz="0" w:space="0" w:color="auto"/>
      </w:divBdr>
    </w:div>
    <w:div w:id="766077204">
      <w:bodyDiv w:val="1"/>
      <w:marLeft w:val="0"/>
      <w:marRight w:val="0"/>
      <w:marTop w:val="0"/>
      <w:marBottom w:val="0"/>
      <w:divBdr>
        <w:top w:val="none" w:sz="0" w:space="0" w:color="auto"/>
        <w:left w:val="none" w:sz="0" w:space="0" w:color="auto"/>
        <w:bottom w:val="none" w:sz="0" w:space="0" w:color="auto"/>
        <w:right w:val="none" w:sz="0" w:space="0" w:color="auto"/>
      </w:divBdr>
    </w:div>
    <w:div w:id="766463615">
      <w:bodyDiv w:val="1"/>
      <w:marLeft w:val="0"/>
      <w:marRight w:val="0"/>
      <w:marTop w:val="0"/>
      <w:marBottom w:val="0"/>
      <w:divBdr>
        <w:top w:val="none" w:sz="0" w:space="0" w:color="auto"/>
        <w:left w:val="none" w:sz="0" w:space="0" w:color="auto"/>
        <w:bottom w:val="none" w:sz="0" w:space="0" w:color="auto"/>
        <w:right w:val="none" w:sz="0" w:space="0" w:color="auto"/>
      </w:divBdr>
    </w:div>
    <w:div w:id="767038886">
      <w:bodyDiv w:val="1"/>
      <w:marLeft w:val="0"/>
      <w:marRight w:val="0"/>
      <w:marTop w:val="0"/>
      <w:marBottom w:val="0"/>
      <w:divBdr>
        <w:top w:val="none" w:sz="0" w:space="0" w:color="auto"/>
        <w:left w:val="none" w:sz="0" w:space="0" w:color="auto"/>
        <w:bottom w:val="none" w:sz="0" w:space="0" w:color="auto"/>
        <w:right w:val="none" w:sz="0" w:space="0" w:color="auto"/>
      </w:divBdr>
    </w:div>
    <w:div w:id="768040475">
      <w:bodyDiv w:val="1"/>
      <w:marLeft w:val="0"/>
      <w:marRight w:val="0"/>
      <w:marTop w:val="0"/>
      <w:marBottom w:val="0"/>
      <w:divBdr>
        <w:top w:val="none" w:sz="0" w:space="0" w:color="auto"/>
        <w:left w:val="none" w:sz="0" w:space="0" w:color="auto"/>
        <w:bottom w:val="none" w:sz="0" w:space="0" w:color="auto"/>
        <w:right w:val="none" w:sz="0" w:space="0" w:color="auto"/>
      </w:divBdr>
    </w:div>
    <w:div w:id="773329689">
      <w:bodyDiv w:val="1"/>
      <w:marLeft w:val="0"/>
      <w:marRight w:val="0"/>
      <w:marTop w:val="0"/>
      <w:marBottom w:val="0"/>
      <w:divBdr>
        <w:top w:val="none" w:sz="0" w:space="0" w:color="auto"/>
        <w:left w:val="none" w:sz="0" w:space="0" w:color="auto"/>
        <w:bottom w:val="none" w:sz="0" w:space="0" w:color="auto"/>
        <w:right w:val="none" w:sz="0" w:space="0" w:color="auto"/>
      </w:divBdr>
    </w:div>
    <w:div w:id="778643983">
      <w:bodyDiv w:val="1"/>
      <w:marLeft w:val="0"/>
      <w:marRight w:val="0"/>
      <w:marTop w:val="0"/>
      <w:marBottom w:val="0"/>
      <w:divBdr>
        <w:top w:val="none" w:sz="0" w:space="0" w:color="auto"/>
        <w:left w:val="none" w:sz="0" w:space="0" w:color="auto"/>
        <w:bottom w:val="none" w:sz="0" w:space="0" w:color="auto"/>
        <w:right w:val="none" w:sz="0" w:space="0" w:color="auto"/>
      </w:divBdr>
    </w:div>
    <w:div w:id="782311018">
      <w:bodyDiv w:val="1"/>
      <w:marLeft w:val="0"/>
      <w:marRight w:val="0"/>
      <w:marTop w:val="0"/>
      <w:marBottom w:val="0"/>
      <w:divBdr>
        <w:top w:val="none" w:sz="0" w:space="0" w:color="auto"/>
        <w:left w:val="none" w:sz="0" w:space="0" w:color="auto"/>
        <w:bottom w:val="none" w:sz="0" w:space="0" w:color="auto"/>
        <w:right w:val="none" w:sz="0" w:space="0" w:color="auto"/>
      </w:divBdr>
    </w:div>
    <w:div w:id="782387976">
      <w:bodyDiv w:val="1"/>
      <w:marLeft w:val="0"/>
      <w:marRight w:val="0"/>
      <w:marTop w:val="0"/>
      <w:marBottom w:val="0"/>
      <w:divBdr>
        <w:top w:val="none" w:sz="0" w:space="0" w:color="auto"/>
        <w:left w:val="none" w:sz="0" w:space="0" w:color="auto"/>
        <w:bottom w:val="none" w:sz="0" w:space="0" w:color="auto"/>
        <w:right w:val="none" w:sz="0" w:space="0" w:color="auto"/>
      </w:divBdr>
    </w:div>
    <w:div w:id="783886728">
      <w:bodyDiv w:val="1"/>
      <w:marLeft w:val="0"/>
      <w:marRight w:val="0"/>
      <w:marTop w:val="0"/>
      <w:marBottom w:val="0"/>
      <w:divBdr>
        <w:top w:val="none" w:sz="0" w:space="0" w:color="auto"/>
        <w:left w:val="none" w:sz="0" w:space="0" w:color="auto"/>
        <w:bottom w:val="none" w:sz="0" w:space="0" w:color="auto"/>
        <w:right w:val="none" w:sz="0" w:space="0" w:color="auto"/>
      </w:divBdr>
    </w:div>
    <w:div w:id="789015261">
      <w:bodyDiv w:val="1"/>
      <w:marLeft w:val="0"/>
      <w:marRight w:val="0"/>
      <w:marTop w:val="0"/>
      <w:marBottom w:val="0"/>
      <w:divBdr>
        <w:top w:val="none" w:sz="0" w:space="0" w:color="auto"/>
        <w:left w:val="none" w:sz="0" w:space="0" w:color="auto"/>
        <w:bottom w:val="none" w:sz="0" w:space="0" w:color="auto"/>
        <w:right w:val="none" w:sz="0" w:space="0" w:color="auto"/>
      </w:divBdr>
    </w:div>
    <w:div w:id="789713797">
      <w:bodyDiv w:val="1"/>
      <w:marLeft w:val="0"/>
      <w:marRight w:val="0"/>
      <w:marTop w:val="0"/>
      <w:marBottom w:val="0"/>
      <w:divBdr>
        <w:top w:val="none" w:sz="0" w:space="0" w:color="auto"/>
        <w:left w:val="none" w:sz="0" w:space="0" w:color="auto"/>
        <w:bottom w:val="none" w:sz="0" w:space="0" w:color="auto"/>
        <w:right w:val="none" w:sz="0" w:space="0" w:color="auto"/>
      </w:divBdr>
    </w:div>
    <w:div w:id="791021839">
      <w:bodyDiv w:val="1"/>
      <w:marLeft w:val="0"/>
      <w:marRight w:val="0"/>
      <w:marTop w:val="0"/>
      <w:marBottom w:val="0"/>
      <w:divBdr>
        <w:top w:val="none" w:sz="0" w:space="0" w:color="auto"/>
        <w:left w:val="none" w:sz="0" w:space="0" w:color="auto"/>
        <w:bottom w:val="none" w:sz="0" w:space="0" w:color="auto"/>
        <w:right w:val="none" w:sz="0" w:space="0" w:color="auto"/>
      </w:divBdr>
    </w:div>
    <w:div w:id="792209097">
      <w:bodyDiv w:val="1"/>
      <w:marLeft w:val="0"/>
      <w:marRight w:val="0"/>
      <w:marTop w:val="0"/>
      <w:marBottom w:val="0"/>
      <w:divBdr>
        <w:top w:val="none" w:sz="0" w:space="0" w:color="auto"/>
        <w:left w:val="none" w:sz="0" w:space="0" w:color="auto"/>
        <w:bottom w:val="none" w:sz="0" w:space="0" w:color="auto"/>
        <w:right w:val="none" w:sz="0" w:space="0" w:color="auto"/>
      </w:divBdr>
    </w:div>
    <w:div w:id="792745949">
      <w:bodyDiv w:val="1"/>
      <w:marLeft w:val="0"/>
      <w:marRight w:val="0"/>
      <w:marTop w:val="0"/>
      <w:marBottom w:val="0"/>
      <w:divBdr>
        <w:top w:val="none" w:sz="0" w:space="0" w:color="auto"/>
        <w:left w:val="none" w:sz="0" w:space="0" w:color="auto"/>
        <w:bottom w:val="none" w:sz="0" w:space="0" w:color="auto"/>
        <w:right w:val="none" w:sz="0" w:space="0" w:color="auto"/>
      </w:divBdr>
    </w:div>
    <w:div w:id="796340674">
      <w:bodyDiv w:val="1"/>
      <w:marLeft w:val="0"/>
      <w:marRight w:val="0"/>
      <w:marTop w:val="0"/>
      <w:marBottom w:val="0"/>
      <w:divBdr>
        <w:top w:val="none" w:sz="0" w:space="0" w:color="auto"/>
        <w:left w:val="none" w:sz="0" w:space="0" w:color="auto"/>
        <w:bottom w:val="none" w:sz="0" w:space="0" w:color="auto"/>
        <w:right w:val="none" w:sz="0" w:space="0" w:color="auto"/>
      </w:divBdr>
    </w:div>
    <w:div w:id="796416019">
      <w:bodyDiv w:val="1"/>
      <w:marLeft w:val="0"/>
      <w:marRight w:val="0"/>
      <w:marTop w:val="0"/>
      <w:marBottom w:val="0"/>
      <w:divBdr>
        <w:top w:val="none" w:sz="0" w:space="0" w:color="auto"/>
        <w:left w:val="none" w:sz="0" w:space="0" w:color="auto"/>
        <w:bottom w:val="none" w:sz="0" w:space="0" w:color="auto"/>
        <w:right w:val="none" w:sz="0" w:space="0" w:color="auto"/>
      </w:divBdr>
    </w:div>
    <w:div w:id="799496450">
      <w:bodyDiv w:val="1"/>
      <w:marLeft w:val="0"/>
      <w:marRight w:val="0"/>
      <w:marTop w:val="0"/>
      <w:marBottom w:val="0"/>
      <w:divBdr>
        <w:top w:val="none" w:sz="0" w:space="0" w:color="auto"/>
        <w:left w:val="none" w:sz="0" w:space="0" w:color="auto"/>
        <w:bottom w:val="none" w:sz="0" w:space="0" w:color="auto"/>
        <w:right w:val="none" w:sz="0" w:space="0" w:color="auto"/>
      </w:divBdr>
    </w:div>
    <w:div w:id="801002708">
      <w:bodyDiv w:val="1"/>
      <w:marLeft w:val="0"/>
      <w:marRight w:val="0"/>
      <w:marTop w:val="0"/>
      <w:marBottom w:val="0"/>
      <w:divBdr>
        <w:top w:val="none" w:sz="0" w:space="0" w:color="auto"/>
        <w:left w:val="none" w:sz="0" w:space="0" w:color="auto"/>
        <w:bottom w:val="none" w:sz="0" w:space="0" w:color="auto"/>
        <w:right w:val="none" w:sz="0" w:space="0" w:color="auto"/>
      </w:divBdr>
    </w:div>
    <w:div w:id="801382779">
      <w:bodyDiv w:val="1"/>
      <w:marLeft w:val="0"/>
      <w:marRight w:val="0"/>
      <w:marTop w:val="0"/>
      <w:marBottom w:val="0"/>
      <w:divBdr>
        <w:top w:val="none" w:sz="0" w:space="0" w:color="auto"/>
        <w:left w:val="none" w:sz="0" w:space="0" w:color="auto"/>
        <w:bottom w:val="none" w:sz="0" w:space="0" w:color="auto"/>
        <w:right w:val="none" w:sz="0" w:space="0" w:color="auto"/>
      </w:divBdr>
    </w:div>
    <w:div w:id="804083651">
      <w:bodyDiv w:val="1"/>
      <w:marLeft w:val="0"/>
      <w:marRight w:val="0"/>
      <w:marTop w:val="0"/>
      <w:marBottom w:val="0"/>
      <w:divBdr>
        <w:top w:val="none" w:sz="0" w:space="0" w:color="auto"/>
        <w:left w:val="none" w:sz="0" w:space="0" w:color="auto"/>
        <w:bottom w:val="none" w:sz="0" w:space="0" w:color="auto"/>
        <w:right w:val="none" w:sz="0" w:space="0" w:color="auto"/>
      </w:divBdr>
    </w:div>
    <w:div w:id="805007281">
      <w:bodyDiv w:val="1"/>
      <w:marLeft w:val="0"/>
      <w:marRight w:val="0"/>
      <w:marTop w:val="0"/>
      <w:marBottom w:val="0"/>
      <w:divBdr>
        <w:top w:val="none" w:sz="0" w:space="0" w:color="auto"/>
        <w:left w:val="none" w:sz="0" w:space="0" w:color="auto"/>
        <w:bottom w:val="none" w:sz="0" w:space="0" w:color="auto"/>
        <w:right w:val="none" w:sz="0" w:space="0" w:color="auto"/>
      </w:divBdr>
    </w:div>
    <w:div w:id="807626556">
      <w:bodyDiv w:val="1"/>
      <w:marLeft w:val="0"/>
      <w:marRight w:val="0"/>
      <w:marTop w:val="0"/>
      <w:marBottom w:val="0"/>
      <w:divBdr>
        <w:top w:val="none" w:sz="0" w:space="0" w:color="auto"/>
        <w:left w:val="none" w:sz="0" w:space="0" w:color="auto"/>
        <w:bottom w:val="none" w:sz="0" w:space="0" w:color="auto"/>
        <w:right w:val="none" w:sz="0" w:space="0" w:color="auto"/>
      </w:divBdr>
    </w:div>
    <w:div w:id="807666749">
      <w:bodyDiv w:val="1"/>
      <w:marLeft w:val="0"/>
      <w:marRight w:val="0"/>
      <w:marTop w:val="0"/>
      <w:marBottom w:val="0"/>
      <w:divBdr>
        <w:top w:val="none" w:sz="0" w:space="0" w:color="auto"/>
        <w:left w:val="none" w:sz="0" w:space="0" w:color="auto"/>
        <w:bottom w:val="none" w:sz="0" w:space="0" w:color="auto"/>
        <w:right w:val="none" w:sz="0" w:space="0" w:color="auto"/>
      </w:divBdr>
    </w:div>
    <w:div w:id="810630756">
      <w:bodyDiv w:val="1"/>
      <w:marLeft w:val="0"/>
      <w:marRight w:val="0"/>
      <w:marTop w:val="0"/>
      <w:marBottom w:val="0"/>
      <w:divBdr>
        <w:top w:val="none" w:sz="0" w:space="0" w:color="auto"/>
        <w:left w:val="none" w:sz="0" w:space="0" w:color="auto"/>
        <w:bottom w:val="none" w:sz="0" w:space="0" w:color="auto"/>
        <w:right w:val="none" w:sz="0" w:space="0" w:color="auto"/>
      </w:divBdr>
    </w:div>
    <w:div w:id="810708798">
      <w:bodyDiv w:val="1"/>
      <w:marLeft w:val="0"/>
      <w:marRight w:val="0"/>
      <w:marTop w:val="0"/>
      <w:marBottom w:val="0"/>
      <w:divBdr>
        <w:top w:val="none" w:sz="0" w:space="0" w:color="auto"/>
        <w:left w:val="none" w:sz="0" w:space="0" w:color="auto"/>
        <w:bottom w:val="none" w:sz="0" w:space="0" w:color="auto"/>
        <w:right w:val="none" w:sz="0" w:space="0" w:color="auto"/>
      </w:divBdr>
    </w:div>
    <w:div w:id="813641121">
      <w:bodyDiv w:val="1"/>
      <w:marLeft w:val="0"/>
      <w:marRight w:val="0"/>
      <w:marTop w:val="0"/>
      <w:marBottom w:val="0"/>
      <w:divBdr>
        <w:top w:val="none" w:sz="0" w:space="0" w:color="auto"/>
        <w:left w:val="none" w:sz="0" w:space="0" w:color="auto"/>
        <w:bottom w:val="none" w:sz="0" w:space="0" w:color="auto"/>
        <w:right w:val="none" w:sz="0" w:space="0" w:color="auto"/>
      </w:divBdr>
    </w:div>
    <w:div w:id="815533113">
      <w:bodyDiv w:val="1"/>
      <w:marLeft w:val="0"/>
      <w:marRight w:val="0"/>
      <w:marTop w:val="0"/>
      <w:marBottom w:val="0"/>
      <w:divBdr>
        <w:top w:val="none" w:sz="0" w:space="0" w:color="auto"/>
        <w:left w:val="none" w:sz="0" w:space="0" w:color="auto"/>
        <w:bottom w:val="none" w:sz="0" w:space="0" w:color="auto"/>
        <w:right w:val="none" w:sz="0" w:space="0" w:color="auto"/>
      </w:divBdr>
    </w:div>
    <w:div w:id="819731515">
      <w:bodyDiv w:val="1"/>
      <w:marLeft w:val="0"/>
      <w:marRight w:val="0"/>
      <w:marTop w:val="0"/>
      <w:marBottom w:val="0"/>
      <w:divBdr>
        <w:top w:val="none" w:sz="0" w:space="0" w:color="auto"/>
        <w:left w:val="none" w:sz="0" w:space="0" w:color="auto"/>
        <w:bottom w:val="none" w:sz="0" w:space="0" w:color="auto"/>
        <w:right w:val="none" w:sz="0" w:space="0" w:color="auto"/>
      </w:divBdr>
    </w:div>
    <w:div w:id="820314370">
      <w:bodyDiv w:val="1"/>
      <w:marLeft w:val="0"/>
      <w:marRight w:val="0"/>
      <w:marTop w:val="0"/>
      <w:marBottom w:val="0"/>
      <w:divBdr>
        <w:top w:val="none" w:sz="0" w:space="0" w:color="auto"/>
        <w:left w:val="none" w:sz="0" w:space="0" w:color="auto"/>
        <w:bottom w:val="none" w:sz="0" w:space="0" w:color="auto"/>
        <w:right w:val="none" w:sz="0" w:space="0" w:color="auto"/>
      </w:divBdr>
    </w:div>
    <w:div w:id="824082099">
      <w:bodyDiv w:val="1"/>
      <w:marLeft w:val="0"/>
      <w:marRight w:val="0"/>
      <w:marTop w:val="0"/>
      <w:marBottom w:val="0"/>
      <w:divBdr>
        <w:top w:val="none" w:sz="0" w:space="0" w:color="auto"/>
        <w:left w:val="none" w:sz="0" w:space="0" w:color="auto"/>
        <w:bottom w:val="none" w:sz="0" w:space="0" w:color="auto"/>
        <w:right w:val="none" w:sz="0" w:space="0" w:color="auto"/>
      </w:divBdr>
    </w:div>
    <w:div w:id="825633551">
      <w:bodyDiv w:val="1"/>
      <w:marLeft w:val="0"/>
      <w:marRight w:val="0"/>
      <w:marTop w:val="0"/>
      <w:marBottom w:val="0"/>
      <w:divBdr>
        <w:top w:val="none" w:sz="0" w:space="0" w:color="auto"/>
        <w:left w:val="none" w:sz="0" w:space="0" w:color="auto"/>
        <w:bottom w:val="none" w:sz="0" w:space="0" w:color="auto"/>
        <w:right w:val="none" w:sz="0" w:space="0" w:color="auto"/>
      </w:divBdr>
    </w:div>
    <w:div w:id="826868354">
      <w:bodyDiv w:val="1"/>
      <w:marLeft w:val="0"/>
      <w:marRight w:val="0"/>
      <w:marTop w:val="0"/>
      <w:marBottom w:val="0"/>
      <w:divBdr>
        <w:top w:val="none" w:sz="0" w:space="0" w:color="auto"/>
        <w:left w:val="none" w:sz="0" w:space="0" w:color="auto"/>
        <w:bottom w:val="none" w:sz="0" w:space="0" w:color="auto"/>
        <w:right w:val="none" w:sz="0" w:space="0" w:color="auto"/>
      </w:divBdr>
    </w:div>
    <w:div w:id="827404357">
      <w:bodyDiv w:val="1"/>
      <w:marLeft w:val="0"/>
      <w:marRight w:val="0"/>
      <w:marTop w:val="0"/>
      <w:marBottom w:val="0"/>
      <w:divBdr>
        <w:top w:val="none" w:sz="0" w:space="0" w:color="auto"/>
        <w:left w:val="none" w:sz="0" w:space="0" w:color="auto"/>
        <w:bottom w:val="none" w:sz="0" w:space="0" w:color="auto"/>
        <w:right w:val="none" w:sz="0" w:space="0" w:color="auto"/>
      </w:divBdr>
    </w:div>
    <w:div w:id="830370754">
      <w:bodyDiv w:val="1"/>
      <w:marLeft w:val="0"/>
      <w:marRight w:val="0"/>
      <w:marTop w:val="0"/>
      <w:marBottom w:val="0"/>
      <w:divBdr>
        <w:top w:val="none" w:sz="0" w:space="0" w:color="auto"/>
        <w:left w:val="none" w:sz="0" w:space="0" w:color="auto"/>
        <w:bottom w:val="none" w:sz="0" w:space="0" w:color="auto"/>
        <w:right w:val="none" w:sz="0" w:space="0" w:color="auto"/>
      </w:divBdr>
    </w:div>
    <w:div w:id="830482956">
      <w:bodyDiv w:val="1"/>
      <w:marLeft w:val="0"/>
      <w:marRight w:val="0"/>
      <w:marTop w:val="0"/>
      <w:marBottom w:val="0"/>
      <w:divBdr>
        <w:top w:val="none" w:sz="0" w:space="0" w:color="auto"/>
        <w:left w:val="none" w:sz="0" w:space="0" w:color="auto"/>
        <w:bottom w:val="none" w:sz="0" w:space="0" w:color="auto"/>
        <w:right w:val="none" w:sz="0" w:space="0" w:color="auto"/>
      </w:divBdr>
    </w:div>
    <w:div w:id="830486102">
      <w:bodyDiv w:val="1"/>
      <w:marLeft w:val="0"/>
      <w:marRight w:val="0"/>
      <w:marTop w:val="0"/>
      <w:marBottom w:val="0"/>
      <w:divBdr>
        <w:top w:val="none" w:sz="0" w:space="0" w:color="auto"/>
        <w:left w:val="none" w:sz="0" w:space="0" w:color="auto"/>
        <w:bottom w:val="none" w:sz="0" w:space="0" w:color="auto"/>
        <w:right w:val="none" w:sz="0" w:space="0" w:color="auto"/>
      </w:divBdr>
    </w:div>
    <w:div w:id="834029588">
      <w:bodyDiv w:val="1"/>
      <w:marLeft w:val="0"/>
      <w:marRight w:val="0"/>
      <w:marTop w:val="0"/>
      <w:marBottom w:val="0"/>
      <w:divBdr>
        <w:top w:val="none" w:sz="0" w:space="0" w:color="auto"/>
        <w:left w:val="none" w:sz="0" w:space="0" w:color="auto"/>
        <w:bottom w:val="none" w:sz="0" w:space="0" w:color="auto"/>
        <w:right w:val="none" w:sz="0" w:space="0" w:color="auto"/>
      </w:divBdr>
    </w:div>
    <w:div w:id="834036281">
      <w:bodyDiv w:val="1"/>
      <w:marLeft w:val="0"/>
      <w:marRight w:val="0"/>
      <w:marTop w:val="0"/>
      <w:marBottom w:val="0"/>
      <w:divBdr>
        <w:top w:val="none" w:sz="0" w:space="0" w:color="auto"/>
        <w:left w:val="none" w:sz="0" w:space="0" w:color="auto"/>
        <w:bottom w:val="none" w:sz="0" w:space="0" w:color="auto"/>
        <w:right w:val="none" w:sz="0" w:space="0" w:color="auto"/>
      </w:divBdr>
    </w:div>
    <w:div w:id="838352832">
      <w:bodyDiv w:val="1"/>
      <w:marLeft w:val="0"/>
      <w:marRight w:val="0"/>
      <w:marTop w:val="0"/>
      <w:marBottom w:val="0"/>
      <w:divBdr>
        <w:top w:val="none" w:sz="0" w:space="0" w:color="auto"/>
        <w:left w:val="none" w:sz="0" w:space="0" w:color="auto"/>
        <w:bottom w:val="none" w:sz="0" w:space="0" w:color="auto"/>
        <w:right w:val="none" w:sz="0" w:space="0" w:color="auto"/>
      </w:divBdr>
    </w:div>
    <w:div w:id="843857346">
      <w:bodyDiv w:val="1"/>
      <w:marLeft w:val="0"/>
      <w:marRight w:val="0"/>
      <w:marTop w:val="0"/>
      <w:marBottom w:val="0"/>
      <w:divBdr>
        <w:top w:val="none" w:sz="0" w:space="0" w:color="auto"/>
        <w:left w:val="none" w:sz="0" w:space="0" w:color="auto"/>
        <w:bottom w:val="none" w:sz="0" w:space="0" w:color="auto"/>
        <w:right w:val="none" w:sz="0" w:space="0" w:color="auto"/>
      </w:divBdr>
    </w:div>
    <w:div w:id="849417052">
      <w:bodyDiv w:val="1"/>
      <w:marLeft w:val="0"/>
      <w:marRight w:val="0"/>
      <w:marTop w:val="0"/>
      <w:marBottom w:val="0"/>
      <w:divBdr>
        <w:top w:val="none" w:sz="0" w:space="0" w:color="auto"/>
        <w:left w:val="none" w:sz="0" w:space="0" w:color="auto"/>
        <w:bottom w:val="none" w:sz="0" w:space="0" w:color="auto"/>
        <w:right w:val="none" w:sz="0" w:space="0" w:color="auto"/>
      </w:divBdr>
    </w:div>
    <w:div w:id="850988927">
      <w:bodyDiv w:val="1"/>
      <w:marLeft w:val="0"/>
      <w:marRight w:val="0"/>
      <w:marTop w:val="0"/>
      <w:marBottom w:val="0"/>
      <w:divBdr>
        <w:top w:val="none" w:sz="0" w:space="0" w:color="auto"/>
        <w:left w:val="none" w:sz="0" w:space="0" w:color="auto"/>
        <w:bottom w:val="none" w:sz="0" w:space="0" w:color="auto"/>
        <w:right w:val="none" w:sz="0" w:space="0" w:color="auto"/>
      </w:divBdr>
    </w:div>
    <w:div w:id="851845842">
      <w:bodyDiv w:val="1"/>
      <w:marLeft w:val="0"/>
      <w:marRight w:val="0"/>
      <w:marTop w:val="0"/>
      <w:marBottom w:val="0"/>
      <w:divBdr>
        <w:top w:val="none" w:sz="0" w:space="0" w:color="auto"/>
        <w:left w:val="none" w:sz="0" w:space="0" w:color="auto"/>
        <w:bottom w:val="none" w:sz="0" w:space="0" w:color="auto"/>
        <w:right w:val="none" w:sz="0" w:space="0" w:color="auto"/>
      </w:divBdr>
    </w:div>
    <w:div w:id="855385003">
      <w:bodyDiv w:val="1"/>
      <w:marLeft w:val="0"/>
      <w:marRight w:val="0"/>
      <w:marTop w:val="0"/>
      <w:marBottom w:val="0"/>
      <w:divBdr>
        <w:top w:val="none" w:sz="0" w:space="0" w:color="auto"/>
        <w:left w:val="none" w:sz="0" w:space="0" w:color="auto"/>
        <w:bottom w:val="none" w:sz="0" w:space="0" w:color="auto"/>
        <w:right w:val="none" w:sz="0" w:space="0" w:color="auto"/>
      </w:divBdr>
    </w:div>
    <w:div w:id="860316158">
      <w:bodyDiv w:val="1"/>
      <w:marLeft w:val="0"/>
      <w:marRight w:val="0"/>
      <w:marTop w:val="0"/>
      <w:marBottom w:val="0"/>
      <w:divBdr>
        <w:top w:val="none" w:sz="0" w:space="0" w:color="auto"/>
        <w:left w:val="none" w:sz="0" w:space="0" w:color="auto"/>
        <w:bottom w:val="none" w:sz="0" w:space="0" w:color="auto"/>
        <w:right w:val="none" w:sz="0" w:space="0" w:color="auto"/>
      </w:divBdr>
    </w:div>
    <w:div w:id="861551144">
      <w:bodyDiv w:val="1"/>
      <w:marLeft w:val="0"/>
      <w:marRight w:val="0"/>
      <w:marTop w:val="0"/>
      <w:marBottom w:val="0"/>
      <w:divBdr>
        <w:top w:val="none" w:sz="0" w:space="0" w:color="auto"/>
        <w:left w:val="none" w:sz="0" w:space="0" w:color="auto"/>
        <w:bottom w:val="none" w:sz="0" w:space="0" w:color="auto"/>
        <w:right w:val="none" w:sz="0" w:space="0" w:color="auto"/>
      </w:divBdr>
    </w:div>
    <w:div w:id="881479238">
      <w:bodyDiv w:val="1"/>
      <w:marLeft w:val="0"/>
      <w:marRight w:val="0"/>
      <w:marTop w:val="0"/>
      <w:marBottom w:val="0"/>
      <w:divBdr>
        <w:top w:val="none" w:sz="0" w:space="0" w:color="auto"/>
        <w:left w:val="none" w:sz="0" w:space="0" w:color="auto"/>
        <w:bottom w:val="none" w:sz="0" w:space="0" w:color="auto"/>
        <w:right w:val="none" w:sz="0" w:space="0" w:color="auto"/>
      </w:divBdr>
    </w:div>
    <w:div w:id="882015960">
      <w:bodyDiv w:val="1"/>
      <w:marLeft w:val="0"/>
      <w:marRight w:val="0"/>
      <w:marTop w:val="0"/>
      <w:marBottom w:val="0"/>
      <w:divBdr>
        <w:top w:val="none" w:sz="0" w:space="0" w:color="auto"/>
        <w:left w:val="none" w:sz="0" w:space="0" w:color="auto"/>
        <w:bottom w:val="none" w:sz="0" w:space="0" w:color="auto"/>
        <w:right w:val="none" w:sz="0" w:space="0" w:color="auto"/>
      </w:divBdr>
    </w:div>
    <w:div w:id="883833967">
      <w:bodyDiv w:val="1"/>
      <w:marLeft w:val="0"/>
      <w:marRight w:val="0"/>
      <w:marTop w:val="0"/>
      <w:marBottom w:val="0"/>
      <w:divBdr>
        <w:top w:val="none" w:sz="0" w:space="0" w:color="auto"/>
        <w:left w:val="none" w:sz="0" w:space="0" w:color="auto"/>
        <w:bottom w:val="none" w:sz="0" w:space="0" w:color="auto"/>
        <w:right w:val="none" w:sz="0" w:space="0" w:color="auto"/>
      </w:divBdr>
    </w:div>
    <w:div w:id="885484497">
      <w:bodyDiv w:val="1"/>
      <w:marLeft w:val="0"/>
      <w:marRight w:val="0"/>
      <w:marTop w:val="0"/>
      <w:marBottom w:val="0"/>
      <w:divBdr>
        <w:top w:val="none" w:sz="0" w:space="0" w:color="auto"/>
        <w:left w:val="none" w:sz="0" w:space="0" w:color="auto"/>
        <w:bottom w:val="none" w:sz="0" w:space="0" w:color="auto"/>
        <w:right w:val="none" w:sz="0" w:space="0" w:color="auto"/>
      </w:divBdr>
    </w:div>
    <w:div w:id="886066903">
      <w:bodyDiv w:val="1"/>
      <w:marLeft w:val="0"/>
      <w:marRight w:val="0"/>
      <w:marTop w:val="0"/>
      <w:marBottom w:val="0"/>
      <w:divBdr>
        <w:top w:val="none" w:sz="0" w:space="0" w:color="auto"/>
        <w:left w:val="none" w:sz="0" w:space="0" w:color="auto"/>
        <w:bottom w:val="none" w:sz="0" w:space="0" w:color="auto"/>
        <w:right w:val="none" w:sz="0" w:space="0" w:color="auto"/>
      </w:divBdr>
    </w:div>
    <w:div w:id="886453648">
      <w:bodyDiv w:val="1"/>
      <w:marLeft w:val="0"/>
      <w:marRight w:val="0"/>
      <w:marTop w:val="0"/>
      <w:marBottom w:val="0"/>
      <w:divBdr>
        <w:top w:val="none" w:sz="0" w:space="0" w:color="auto"/>
        <w:left w:val="none" w:sz="0" w:space="0" w:color="auto"/>
        <w:bottom w:val="none" w:sz="0" w:space="0" w:color="auto"/>
        <w:right w:val="none" w:sz="0" w:space="0" w:color="auto"/>
      </w:divBdr>
    </w:div>
    <w:div w:id="887841528">
      <w:bodyDiv w:val="1"/>
      <w:marLeft w:val="0"/>
      <w:marRight w:val="0"/>
      <w:marTop w:val="0"/>
      <w:marBottom w:val="0"/>
      <w:divBdr>
        <w:top w:val="none" w:sz="0" w:space="0" w:color="auto"/>
        <w:left w:val="none" w:sz="0" w:space="0" w:color="auto"/>
        <w:bottom w:val="none" w:sz="0" w:space="0" w:color="auto"/>
        <w:right w:val="none" w:sz="0" w:space="0" w:color="auto"/>
      </w:divBdr>
    </w:div>
    <w:div w:id="888565263">
      <w:bodyDiv w:val="1"/>
      <w:marLeft w:val="0"/>
      <w:marRight w:val="0"/>
      <w:marTop w:val="0"/>
      <w:marBottom w:val="0"/>
      <w:divBdr>
        <w:top w:val="none" w:sz="0" w:space="0" w:color="auto"/>
        <w:left w:val="none" w:sz="0" w:space="0" w:color="auto"/>
        <w:bottom w:val="none" w:sz="0" w:space="0" w:color="auto"/>
        <w:right w:val="none" w:sz="0" w:space="0" w:color="auto"/>
      </w:divBdr>
    </w:div>
    <w:div w:id="889927592">
      <w:bodyDiv w:val="1"/>
      <w:marLeft w:val="0"/>
      <w:marRight w:val="0"/>
      <w:marTop w:val="0"/>
      <w:marBottom w:val="0"/>
      <w:divBdr>
        <w:top w:val="none" w:sz="0" w:space="0" w:color="auto"/>
        <w:left w:val="none" w:sz="0" w:space="0" w:color="auto"/>
        <w:bottom w:val="none" w:sz="0" w:space="0" w:color="auto"/>
        <w:right w:val="none" w:sz="0" w:space="0" w:color="auto"/>
      </w:divBdr>
    </w:div>
    <w:div w:id="890651258">
      <w:bodyDiv w:val="1"/>
      <w:marLeft w:val="0"/>
      <w:marRight w:val="0"/>
      <w:marTop w:val="0"/>
      <w:marBottom w:val="0"/>
      <w:divBdr>
        <w:top w:val="none" w:sz="0" w:space="0" w:color="auto"/>
        <w:left w:val="none" w:sz="0" w:space="0" w:color="auto"/>
        <w:bottom w:val="none" w:sz="0" w:space="0" w:color="auto"/>
        <w:right w:val="none" w:sz="0" w:space="0" w:color="auto"/>
      </w:divBdr>
    </w:div>
    <w:div w:id="897017121">
      <w:bodyDiv w:val="1"/>
      <w:marLeft w:val="0"/>
      <w:marRight w:val="0"/>
      <w:marTop w:val="0"/>
      <w:marBottom w:val="0"/>
      <w:divBdr>
        <w:top w:val="none" w:sz="0" w:space="0" w:color="auto"/>
        <w:left w:val="none" w:sz="0" w:space="0" w:color="auto"/>
        <w:bottom w:val="none" w:sz="0" w:space="0" w:color="auto"/>
        <w:right w:val="none" w:sz="0" w:space="0" w:color="auto"/>
      </w:divBdr>
    </w:div>
    <w:div w:id="898368273">
      <w:bodyDiv w:val="1"/>
      <w:marLeft w:val="0"/>
      <w:marRight w:val="0"/>
      <w:marTop w:val="0"/>
      <w:marBottom w:val="0"/>
      <w:divBdr>
        <w:top w:val="none" w:sz="0" w:space="0" w:color="auto"/>
        <w:left w:val="none" w:sz="0" w:space="0" w:color="auto"/>
        <w:bottom w:val="none" w:sz="0" w:space="0" w:color="auto"/>
        <w:right w:val="none" w:sz="0" w:space="0" w:color="auto"/>
      </w:divBdr>
    </w:div>
    <w:div w:id="898596430">
      <w:bodyDiv w:val="1"/>
      <w:marLeft w:val="0"/>
      <w:marRight w:val="0"/>
      <w:marTop w:val="0"/>
      <w:marBottom w:val="0"/>
      <w:divBdr>
        <w:top w:val="none" w:sz="0" w:space="0" w:color="auto"/>
        <w:left w:val="none" w:sz="0" w:space="0" w:color="auto"/>
        <w:bottom w:val="none" w:sz="0" w:space="0" w:color="auto"/>
        <w:right w:val="none" w:sz="0" w:space="0" w:color="auto"/>
      </w:divBdr>
    </w:div>
    <w:div w:id="901064888">
      <w:bodyDiv w:val="1"/>
      <w:marLeft w:val="0"/>
      <w:marRight w:val="0"/>
      <w:marTop w:val="0"/>
      <w:marBottom w:val="0"/>
      <w:divBdr>
        <w:top w:val="none" w:sz="0" w:space="0" w:color="auto"/>
        <w:left w:val="none" w:sz="0" w:space="0" w:color="auto"/>
        <w:bottom w:val="none" w:sz="0" w:space="0" w:color="auto"/>
        <w:right w:val="none" w:sz="0" w:space="0" w:color="auto"/>
      </w:divBdr>
    </w:div>
    <w:div w:id="902370514">
      <w:bodyDiv w:val="1"/>
      <w:marLeft w:val="0"/>
      <w:marRight w:val="0"/>
      <w:marTop w:val="0"/>
      <w:marBottom w:val="0"/>
      <w:divBdr>
        <w:top w:val="none" w:sz="0" w:space="0" w:color="auto"/>
        <w:left w:val="none" w:sz="0" w:space="0" w:color="auto"/>
        <w:bottom w:val="none" w:sz="0" w:space="0" w:color="auto"/>
        <w:right w:val="none" w:sz="0" w:space="0" w:color="auto"/>
      </w:divBdr>
    </w:div>
    <w:div w:id="911432107">
      <w:bodyDiv w:val="1"/>
      <w:marLeft w:val="0"/>
      <w:marRight w:val="0"/>
      <w:marTop w:val="0"/>
      <w:marBottom w:val="0"/>
      <w:divBdr>
        <w:top w:val="none" w:sz="0" w:space="0" w:color="auto"/>
        <w:left w:val="none" w:sz="0" w:space="0" w:color="auto"/>
        <w:bottom w:val="none" w:sz="0" w:space="0" w:color="auto"/>
        <w:right w:val="none" w:sz="0" w:space="0" w:color="auto"/>
      </w:divBdr>
    </w:div>
    <w:div w:id="912591222">
      <w:bodyDiv w:val="1"/>
      <w:marLeft w:val="0"/>
      <w:marRight w:val="0"/>
      <w:marTop w:val="0"/>
      <w:marBottom w:val="0"/>
      <w:divBdr>
        <w:top w:val="none" w:sz="0" w:space="0" w:color="auto"/>
        <w:left w:val="none" w:sz="0" w:space="0" w:color="auto"/>
        <w:bottom w:val="none" w:sz="0" w:space="0" w:color="auto"/>
        <w:right w:val="none" w:sz="0" w:space="0" w:color="auto"/>
      </w:divBdr>
    </w:div>
    <w:div w:id="920405418">
      <w:bodyDiv w:val="1"/>
      <w:marLeft w:val="0"/>
      <w:marRight w:val="0"/>
      <w:marTop w:val="0"/>
      <w:marBottom w:val="0"/>
      <w:divBdr>
        <w:top w:val="none" w:sz="0" w:space="0" w:color="auto"/>
        <w:left w:val="none" w:sz="0" w:space="0" w:color="auto"/>
        <w:bottom w:val="none" w:sz="0" w:space="0" w:color="auto"/>
        <w:right w:val="none" w:sz="0" w:space="0" w:color="auto"/>
      </w:divBdr>
    </w:div>
    <w:div w:id="921764367">
      <w:bodyDiv w:val="1"/>
      <w:marLeft w:val="0"/>
      <w:marRight w:val="0"/>
      <w:marTop w:val="0"/>
      <w:marBottom w:val="0"/>
      <w:divBdr>
        <w:top w:val="none" w:sz="0" w:space="0" w:color="auto"/>
        <w:left w:val="none" w:sz="0" w:space="0" w:color="auto"/>
        <w:bottom w:val="none" w:sz="0" w:space="0" w:color="auto"/>
        <w:right w:val="none" w:sz="0" w:space="0" w:color="auto"/>
      </w:divBdr>
    </w:div>
    <w:div w:id="923683614">
      <w:bodyDiv w:val="1"/>
      <w:marLeft w:val="0"/>
      <w:marRight w:val="0"/>
      <w:marTop w:val="0"/>
      <w:marBottom w:val="0"/>
      <w:divBdr>
        <w:top w:val="none" w:sz="0" w:space="0" w:color="auto"/>
        <w:left w:val="none" w:sz="0" w:space="0" w:color="auto"/>
        <w:bottom w:val="none" w:sz="0" w:space="0" w:color="auto"/>
        <w:right w:val="none" w:sz="0" w:space="0" w:color="auto"/>
      </w:divBdr>
    </w:div>
    <w:div w:id="923800922">
      <w:bodyDiv w:val="1"/>
      <w:marLeft w:val="0"/>
      <w:marRight w:val="0"/>
      <w:marTop w:val="0"/>
      <w:marBottom w:val="0"/>
      <w:divBdr>
        <w:top w:val="none" w:sz="0" w:space="0" w:color="auto"/>
        <w:left w:val="none" w:sz="0" w:space="0" w:color="auto"/>
        <w:bottom w:val="none" w:sz="0" w:space="0" w:color="auto"/>
        <w:right w:val="none" w:sz="0" w:space="0" w:color="auto"/>
      </w:divBdr>
    </w:div>
    <w:div w:id="928346881">
      <w:bodyDiv w:val="1"/>
      <w:marLeft w:val="0"/>
      <w:marRight w:val="0"/>
      <w:marTop w:val="0"/>
      <w:marBottom w:val="0"/>
      <w:divBdr>
        <w:top w:val="none" w:sz="0" w:space="0" w:color="auto"/>
        <w:left w:val="none" w:sz="0" w:space="0" w:color="auto"/>
        <w:bottom w:val="none" w:sz="0" w:space="0" w:color="auto"/>
        <w:right w:val="none" w:sz="0" w:space="0" w:color="auto"/>
      </w:divBdr>
    </w:div>
    <w:div w:id="934485614">
      <w:bodyDiv w:val="1"/>
      <w:marLeft w:val="0"/>
      <w:marRight w:val="0"/>
      <w:marTop w:val="0"/>
      <w:marBottom w:val="0"/>
      <w:divBdr>
        <w:top w:val="none" w:sz="0" w:space="0" w:color="auto"/>
        <w:left w:val="none" w:sz="0" w:space="0" w:color="auto"/>
        <w:bottom w:val="none" w:sz="0" w:space="0" w:color="auto"/>
        <w:right w:val="none" w:sz="0" w:space="0" w:color="auto"/>
      </w:divBdr>
    </w:div>
    <w:div w:id="936863032">
      <w:bodyDiv w:val="1"/>
      <w:marLeft w:val="0"/>
      <w:marRight w:val="0"/>
      <w:marTop w:val="0"/>
      <w:marBottom w:val="0"/>
      <w:divBdr>
        <w:top w:val="none" w:sz="0" w:space="0" w:color="auto"/>
        <w:left w:val="none" w:sz="0" w:space="0" w:color="auto"/>
        <w:bottom w:val="none" w:sz="0" w:space="0" w:color="auto"/>
        <w:right w:val="none" w:sz="0" w:space="0" w:color="auto"/>
      </w:divBdr>
    </w:div>
    <w:div w:id="937524941">
      <w:bodyDiv w:val="1"/>
      <w:marLeft w:val="0"/>
      <w:marRight w:val="0"/>
      <w:marTop w:val="0"/>
      <w:marBottom w:val="0"/>
      <w:divBdr>
        <w:top w:val="none" w:sz="0" w:space="0" w:color="auto"/>
        <w:left w:val="none" w:sz="0" w:space="0" w:color="auto"/>
        <w:bottom w:val="none" w:sz="0" w:space="0" w:color="auto"/>
        <w:right w:val="none" w:sz="0" w:space="0" w:color="auto"/>
      </w:divBdr>
    </w:div>
    <w:div w:id="943729740">
      <w:bodyDiv w:val="1"/>
      <w:marLeft w:val="0"/>
      <w:marRight w:val="0"/>
      <w:marTop w:val="0"/>
      <w:marBottom w:val="0"/>
      <w:divBdr>
        <w:top w:val="none" w:sz="0" w:space="0" w:color="auto"/>
        <w:left w:val="none" w:sz="0" w:space="0" w:color="auto"/>
        <w:bottom w:val="none" w:sz="0" w:space="0" w:color="auto"/>
        <w:right w:val="none" w:sz="0" w:space="0" w:color="auto"/>
      </w:divBdr>
    </w:div>
    <w:div w:id="948585295">
      <w:bodyDiv w:val="1"/>
      <w:marLeft w:val="0"/>
      <w:marRight w:val="0"/>
      <w:marTop w:val="0"/>
      <w:marBottom w:val="0"/>
      <w:divBdr>
        <w:top w:val="none" w:sz="0" w:space="0" w:color="auto"/>
        <w:left w:val="none" w:sz="0" w:space="0" w:color="auto"/>
        <w:bottom w:val="none" w:sz="0" w:space="0" w:color="auto"/>
        <w:right w:val="none" w:sz="0" w:space="0" w:color="auto"/>
      </w:divBdr>
    </w:div>
    <w:div w:id="948855501">
      <w:bodyDiv w:val="1"/>
      <w:marLeft w:val="0"/>
      <w:marRight w:val="0"/>
      <w:marTop w:val="0"/>
      <w:marBottom w:val="0"/>
      <w:divBdr>
        <w:top w:val="none" w:sz="0" w:space="0" w:color="auto"/>
        <w:left w:val="none" w:sz="0" w:space="0" w:color="auto"/>
        <w:bottom w:val="none" w:sz="0" w:space="0" w:color="auto"/>
        <w:right w:val="none" w:sz="0" w:space="0" w:color="auto"/>
      </w:divBdr>
    </w:div>
    <w:div w:id="949236396">
      <w:bodyDiv w:val="1"/>
      <w:marLeft w:val="0"/>
      <w:marRight w:val="0"/>
      <w:marTop w:val="0"/>
      <w:marBottom w:val="0"/>
      <w:divBdr>
        <w:top w:val="none" w:sz="0" w:space="0" w:color="auto"/>
        <w:left w:val="none" w:sz="0" w:space="0" w:color="auto"/>
        <w:bottom w:val="none" w:sz="0" w:space="0" w:color="auto"/>
        <w:right w:val="none" w:sz="0" w:space="0" w:color="auto"/>
      </w:divBdr>
    </w:div>
    <w:div w:id="954749740">
      <w:bodyDiv w:val="1"/>
      <w:marLeft w:val="0"/>
      <w:marRight w:val="0"/>
      <w:marTop w:val="0"/>
      <w:marBottom w:val="0"/>
      <w:divBdr>
        <w:top w:val="none" w:sz="0" w:space="0" w:color="auto"/>
        <w:left w:val="none" w:sz="0" w:space="0" w:color="auto"/>
        <w:bottom w:val="none" w:sz="0" w:space="0" w:color="auto"/>
        <w:right w:val="none" w:sz="0" w:space="0" w:color="auto"/>
      </w:divBdr>
    </w:div>
    <w:div w:id="954752725">
      <w:bodyDiv w:val="1"/>
      <w:marLeft w:val="0"/>
      <w:marRight w:val="0"/>
      <w:marTop w:val="0"/>
      <w:marBottom w:val="0"/>
      <w:divBdr>
        <w:top w:val="none" w:sz="0" w:space="0" w:color="auto"/>
        <w:left w:val="none" w:sz="0" w:space="0" w:color="auto"/>
        <w:bottom w:val="none" w:sz="0" w:space="0" w:color="auto"/>
        <w:right w:val="none" w:sz="0" w:space="0" w:color="auto"/>
      </w:divBdr>
    </w:div>
    <w:div w:id="954826709">
      <w:bodyDiv w:val="1"/>
      <w:marLeft w:val="0"/>
      <w:marRight w:val="0"/>
      <w:marTop w:val="0"/>
      <w:marBottom w:val="0"/>
      <w:divBdr>
        <w:top w:val="none" w:sz="0" w:space="0" w:color="auto"/>
        <w:left w:val="none" w:sz="0" w:space="0" w:color="auto"/>
        <w:bottom w:val="none" w:sz="0" w:space="0" w:color="auto"/>
        <w:right w:val="none" w:sz="0" w:space="0" w:color="auto"/>
      </w:divBdr>
    </w:div>
    <w:div w:id="955793001">
      <w:bodyDiv w:val="1"/>
      <w:marLeft w:val="0"/>
      <w:marRight w:val="0"/>
      <w:marTop w:val="0"/>
      <w:marBottom w:val="0"/>
      <w:divBdr>
        <w:top w:val="none" w:sz="0" w:space="0" w:color="auto"/>
        <w:left w:val="none" w:sz="0" w:space="0" w:color="auto"/>
        <w:bottom w:val="none" w:sz="0" w:space="0" w:color="auto"/>
        <w:right w:val="none" w:sz="0" w:space="0" w:color="auto"/>
      </w:divBdr>
    </w:div>
    <w:div w:id="956760236">
      <w:bodyDiv w:val="1"/>
      <w:marLeft w:val="0"/>
      <w:marRight w:val="0"/>
      <w:marTop w:val="0"/>
      <w:marBottom w:val="0"/>
      <w:divBdr>
        <w:top w:val="none" w:sz="0" w:space="0" w:color="auto"/>
        <w:left w:val="none" w:sz="0" w:space="0" w:color="auto"/>
        <w:bottom w:val="none" w:sz="0" w:space="0" w:color="auto"/>
        <w:right w:val="none" w:sz="0" w:space="0" w:color="auto"/>
      </w:divBdr>
    </w:div>
    <w:div w:id="959534503">
      <w:bodyDiv w:val="1"/>
      <w:marLeft w:val="0"/>
      <w:marRight w:val="0"/>
      <w:marTop w:val="0"/>
      <w:marBottom w:val="0"/>
      <w:divBdr>
        <w:top w:val="none" w:sz="0" w:space="0" w:color="auto"/>
        <w:left w:val="none" w:sz="0" w:space="0" w:color="auto"/>
        <w:bottom w:val="none" w:sz="0" w:space="0" w:color="auto"/>
        <w:right w:val="none" w:sz="0" w:space="0" w:color="auto"/>
      </w:divBdr>
      <w:divsChild>
        <w:div w:id="179242823">
          <w:marLeft w:val="0"/>
          <w:marRight w:val="0"/>
          <w:marTop w:val="144"/>
          <w:marBottom w:val="144"/>
          <w:divBdr>
            <w:top w:val="none" w:sz="0" w:space="0" w:color="auto"/>
            <w:left w:val="none" w:sz="0" w:space="0" w:color="auto"/>
            <w:bottom w:val="none" w:sz="0" w:space="0" w:color="auto"/>
            <w:right w:val="none" w:sz="0" w:space="0" w:color="auto"/>
          </w:divBdr>
        </w:div>
      </w:divsChild>
    </w:div>
    <w:div w:id="963345046">
      <w:bodyDiv w:val="1"/>
      <w:marLeft w:val="0"/>
      <w:marRight w:val="0"/>
      <w:marTop w:val="0"/>
      <w:marBottom w:val="0"/>
      <w:divBdr>
        <w:top w:val="none" w:sz="0" w:space="0" w:color="auto"/>
        <w:left w:val="none" w:sz="0" w:space="0" w:color="auto"/>
        <w:bottom w:val="none" w:sz="0" w:space="0" w:color="auto"/>
        <w:right w:val="none" w:sz="0" w:space="0" w:color="auto"/>
      </w:divBdr>
    </w:div>
    <w:div w:id="966547432">
      <w:bodyDiv w:val="1"/>
      <w:marLeft w:val="0"/>
      <w:marRight w:val="0"/>
      <w:marTop w:val="0"/>
      <w:marBottom w:val="0"/>
      <w:divBdr>
        <w:top w:val="none" w:sz="0" w:space="0" w:color="auto"/>
        <w:left w:val="none" w:sz="0" w:space="0" w:color="auto"/>
        <w:bottom w:val="none" w:sz="0" w:space="0" w:color="auto"/>
        <w:right w:val="none" w:sz="0" w:space="0" w:color="auto"/>
      </w:divBdr>
    </w:div>
    <w:div w:id="971013935">
      <w:bodyDiv w:val="1"/>
      <w:marLeft w:val="0"/>
      <w:marRight w:val="0"/>
      <w:marTop w:val="0"/>
      <w:marBottom w:val="0"/>
      <w:divBdr>
        <w:top w:val="none" w:sz="0" w:space="0" w:color="auto"/>
        <w:left w:val="none" w:sz="0" w:space="0" w:color="auto"/>
        <w:bottom w:val="none" w:sz="0" w:space="0" w:color="auto"/>
        <w:right w:val="none" w:sz="0" w:space="0" w:color="auto"/>
      </w:divBdr>
    </w:div>
    <w:div w:id="972901437">
      <w:bodyDiv w:val="1"/>
      <w:marLeft w:val="0"/>
      <w:marRight w:val="0"/>
      <w:marTop w:val="0"/>
      <w:marBottom w:val="0"/>
      <w:divBdr>
        <w:top w:val="none" w:sz="0" w:space="0" w:color="auto"/>
        <w:left w:val="none" w:sz="0" w:space="0" w:color="auto"/>
        <w:bottom w:val="none" w:sz="0" w:space="0" w:color="auto"/>
        <w:right w:val="none" w:sz="0" w:space="0" w:color="auto"/>
      </w:divBdr>
    </w:div>
    <w:div w:id="975404717">
      <w:bodyDiv w:val="1"/>
      <w:marLeft w:val="0"/>
      <w:marRight w:val="0"/>
      <w:marTop w:val="0"/>
      <w:marBottom w:val="0"/>
      <w:divBdr>
        <w:top w:val="none" w:sz="0" w:space="0" w:color="auto"/>
        <w:left w:val="none" w:sz="0" w:space="0" w:color="auto"/>
        <w:bottom w:val="none" w:sz="0" w:space="0" w:color="auto"/>
        <w:right w:val="none" w:sz="0" w:space="0" w:color="auto"/>
      </w:divBdr>
    </w:div>
    <w:div w:id="975447962">
      <w:bodyDiv w:val="1"/>
      <w:marLeft w:val="0"/>
      <w:marRight w:val="0"/>
      <w:marTop w:val="0"/>
      <w:marBottom w:val="0"/>
      <w:divBdr>
        <w:top w:val="none" w:sz="0" w:space="0" w:color="auto"/>
        <w:left w:val="none" w:sz="0" w:space="0" w:color="auto"/>
        <w:bottom w:val="none" w:sz="0" w:space="0" w:color="auto"/>
        <w:right w:val="none" w:sz="0" w:space="0" w:color="auto"/>
      </w:divBdr>
    </w:div>
    <w:div w:id="982275224">
      <w:bodyDiv w:val="1"/>
      <w:marLeft w:val="0"/>
      <w:marRight w:val="0"/>
      <w:marTop w:val="0"/>
      <w:marBottom w:val="0"/>
      <w:divBdr>
        <w:top w:val="none" w:sz="0" w:space="0" w:color="auto"/>
        <w:left w:val="none" w:sz="0" w:space="0" w:color="auto"/>
        <w:bottom w:val="none" w:sz="0" w:space="0" w:color="auto"/>
        <w:right w:val="none" w:sz="0" w:space="0" w:color="auto"/>
      </w:divBdr>
    </w:div>
    <w:div w:id="985356432">
      <w:bodyDiv w:val="1"/>
      <w:marLeft w:val="0"/>
      <w:marRight w:val="0"/>
      <w:marTop w:val="0"/>
      <w:marBottom w:val="0"/>
      <w:divBdr>
        <w:top w:val="none" w:sz="0" w:space="0" w:color="auto"/>
        <w:left w:val="none" w:sz="0" w:space="0" w:color="auto"/>
        <w:bottom w:val="none" w:sz="0" w:space="0" w:color="auto"/>
        <w:right w:val="none" w:sz="0" w:space="0" w:color="auto"/>
      </w:divBdr>
    </w:div>
    <w:div w:id="989479807">
      <w:bodyDiv w:val="1"/>
      <w:marLeft w:val="0"/>
      <w:marRight w:val="0"/>
      <w:marTop w:val="0"/>
      <w:marBottom w:val="0"/>
      <w:divBdr>
        <w:top w:val="none" w:sz="0" w:space="0" w:color="auto"/>
        <w:left w:val="none" w:sz="0" w:space="0" w:color="auto"/>
        <w:bottom w:val="none" w:sz="0" w:space="0" w:color="auto"/>
        <w:right w:val="none" w:sz="0" w:space="0" w:color="auto"/>
      </w:divBdr>
    </w:div>
    <w:div w:id="990016264">
      <w:bodyDiv w:val="1"/>
      <w:marLeft w:val="0"/>
      <w:marRight w:val="0"/>
      <w:marTop w:val="0"/>
      <w:marBottom w:val="0"/>
      <w:divBdr>
        <w:top w:val="none" w:sz="0" w:space="0" w:color="auto"/>
        <w:left w:val="none" w:sz="0" w:space="0" w:color="auto"/>
        <w:bottom w:val="none" w:sz="0" w:space="0" w:color="auto"/>
        <w:right w:val="none" w:sz="0" w:space="0" w:color="auto"/>
      </w:divBdr>
    </w:div>
    <w:div w:id="992022076">
      <w:bodyDiv w:val="1"/>
      <w:marLeft w:val="0"/>
      <w:marRight w:val="0"/>
      <w:marTop w:val="0"/>
      <w:marBottom w:val="0"/>
      <w:divBdr>
        <w:top w:val="none" w:sz="0" w:space="0" w:color="auto"/>
        <w:left w:val="none" w:sz="0" w:space="0" w:color="auto"/>
        <w:bottom w:val="none" w:sz="0" w:space="0" w:color="auto"/>
        <w:right w:val="none" w:sz="0" w:space="0" w:color="auto"/>
      </w:divBdr>
    </w:div>
    <w:div w:id="992560047">
      <w:bodyDiv w:val="1"/>
      <w:marLeft w:val="0"/>
      <w:marRight w:val="0"/>
      <w:marTop w:val="0"/>
      <w:marBottom w:val="0"/>
      <w:divBdr>
        <w:top w:val="none" w:sz="0" w:space="0" w:color="auto"/>
        <w:left w:val="none" w:sz="0" w:space="0" w:color="auto"/>
        <w:bottom w:val="none" w:sz="0" w:space="0" w:color="auto"/>
        <w:right w:val="none" w:sz="0" w:space="0" w:color="auto"/>
      </w:divBdr>
    </w:div>
    <w:div w:id="1003822134">
      <w:bodyDiv w:val="1"/>
      <w:marLeft w:val="0"/>
      <w:marRight w:val="0"/>
      <w:marTop w:val="0"/>
      <w:marBottom w:val="0"/>
      <w:divBdr>
        <w:top w:val="none" w:sz="0" w:space="0" w:color="auto"/>
        <w:left w:val="none" w:sz="0" w:space="0" w:color="auto"/>
        <w:bottom w:val="none" w:sz="0" w:space="0" w:color="auto"/>
        <w:right w:val="none" w:sz="0" w:space="0" w:color="auto"/>
      </w:divBdr>
    </w:div>
    <w:div w:id="1006054156">
      <w:bodyDiv w:val="1"/>
      <w:marLeft w:val="0"/>
      <w:marRight w:val="0"/>
      <w:marTop w:val="0"/>
      <w:marBottom w:val="0"/>
      <w:divBdr>
        <w:top w:val="none" w:sz="0" w:space="0" w:color="auto"/>
        <w:left w:val="none" w:sz="0" w:space="0" w:color="auto"/>
        <w:bottom w:val="none" w:sz="0" w:space="0" w:color="auto"/>
        <w:right w:val="none" w:sz="0" w:space="0" w:color="auto"/>
      </w:divBdr>
    </w:div>
    <w:div w:id="1007102905">
      <w:bodyDiv w:val="1"/>
      <w:marLeft w:val="0"/>
      <w:marRight w:val="0"/>
      <w:marTop w:val="0"/>
      <w:marBottom w:val="0"/>
      <w:divBdr>
        <w:top w:val="none" w:sz="0" w:space="0" w:color="auto"/>
        <w:left w:val="none" w:sz="0" w:space="0" w:color="auto"/>
        <w:bottom w:val="none" w:sz="0" w:space="0" w:color="auto"/>
        <w:right w:val="none" w:sz="0" w:space="0" w:color="auto"/>
      </w:divBdr>
    </w:div>
    <w:div w:id="1007517192">
      <w:bodyDiv w:val="1"/>
      <w:marLeft w:val="0"/>
      <w:marRight w:val="0"/>
      <w:marTop w:val="0"/>
      <w:marBottom w:val="0"/>
      <w:divBdr>
        <w:top w:val="none" w:sz="0" w:space="0" w:color="auto"/>
        <w:left w:val="none" w:sz="0" w:space="0" w:color="auto"/>
        <w:bottom w:val="none" w:sz="0" w:space="0" w:color="auto"/>
        <w:right w:val="none" w:sz="0" w:space="0" w:color="auto"/>
      </w:divBdr>
    </w:div>
    <w:div w:id="1008141514">
      <w:bodyDiv w:val="1"/>
      <w:marLeft w:val="0"/>
      <w:marRight w:val="0"/>
      <w:marTop w:val="0"/>
      <w:marBottom w:val="0"/>
      <w:divBdr>
        <w:top w:val="none" w:sz="0" w:space="0" w:color="auto"/>
        <w:left w:val="none" w:sz="0" w:space="0" w:color="auto"/>
        <w:bottom w:val="none" w:sz="0" w:space="0" w:color="auto"/>
        <w:right w:val="none" w:sz="0" w:space="0" w:color="auto"/>
      </w:divBdr>
    </w:div>
    <w:div w:id="1009216177">
      <w:bodyDiv w:val="1"/>
      <w:marLeft w:val="0"/>
      <w:marRight w:val="0"/>
      <w:marTop w:val="0"/>
      <w:marBottom w:val="0"/>
      <w:divBdr>
        <w:top w:val="none" w:sz="0" w:space="0" w:color="auto"/>
        <w:left w:val="none" w:sz="0" w:space="0" w:color="auto"/>
        <w:bottom w:val="none" w:sz="0" w:space="0" w:color="auto"/>
        <w:right w:val="none" w:sz="0" w:space="0" w:color="auto"/>
      </w:divBdr>
    </w:div>
    <w:div w:id="1010452795">
      <w:bodyDiv w:val="1"/>
      <w:marLeft w:val="0"/>
      <w:marRight w:val="0"/>
      <w:marTop w:val="0"/>
      <w:marBottom w:val="0"/>
      <w:divBdr>
        <w:top w:val="none" w:sz="0" w:space="0" w:color="auto"/>
        <w:left w:val="none" w:sz="0" w:space="0" w:color="auto"/>
        <w:bottom w:val="none" w:sz="0" w:space="0" w:color="auto"/>
        <w:right w:val="none" w:sz="0" w:space="0" w:color="auto"/>
      </w:divBdr>
    </w:div>
    <w:div w:id="1010718905">
      <w:bodyDiv w:val="1"/>
      <w:marLeft w:val="0"/>
      <w:marRight w:val="0"/>
      <w:marTop w:val="0"/>
      <w:marBottom w:val="0"/>
      <w:divBdr>
        <w:top w:val="none" w:sz="0" w:space="0" w:color="auto"/>
        <w:left w:val="none" w:sz="0" w:space="0" w:color="auto"/>
        <w:bottom w:val="none" w:sz="0" w:space="0" w:color="auto"/>
        <w:right w:val="none" w:sz="0" w:space="0" w:color="auto"/>
      </w:divBdr>
    </w:div>
    <w:div w:id="1014961879">
      <w:bodyDiv w:val="1"/>
      <w:marLeft w:val="0"/>
      <w:marRight w:val="0"/>
      <w:marTop w:val="0"/>
      <w:marBottom w:val="0"/>
      <w:divBdr>
        <w:top w:val="none" w:sz="0" w:space="0" w:color="auto"/>
        <w:left w:val="none" w:sz="0" w:space="0" w:color="auto"/>
        <w:bottom w:val="none" w:sz="0" w:space="0" w:color="auto"/>
        <w:right w:val="none" w:sz="0" w:space="0" w:color="auto"/>
      </w:divBdr>
    </w:div>
    <w:div w:id="1015620802">
      <w:bodyDiv w:val="1"/>
      <w:marLeft w:val="0"/>
      <w:marRight w:val="0"/>
      <w:marTop w:val="0"/>
      <w:marBottom w:val="0"/>
      <w:divBdr>
        <w:top w:val="none" w:sz="0" w:space="0" w:color="auto"/>
        <w:left w:val="none" w:sz="0" w:space="0" w:color="auto"/>
        <w:bottom w:val="none" w:sz="0" w:space="0" w:color="auto"/>
        <w:right w:val="none" w:sz="0" w:space="0" w:color="auto"/>
      </w:divBdr>
    </w:div>
    <w:div w:id="1015888953">
      <w:bodyDiv w:val="1"/>
      <w:marLeft w:val="0"/>
      <w:marRight w:val="0"/>
      <w:marTop w:val="0"/>
      <w:marBottom w:val="0"/>
      <w:divBdr>
        <w:top w:val="none" w:sz="0" w:space="0" w:color="auto"/>
        <w:left w:val="none" w:sz="0" w:space="0" w:color="auto"/>
        <w:bottom w:val="none" w:sz="0" w:space="0" w:color="auto"/>
        <w:right w:val="none" w:sz="0" w:space="0" w:color="auto"/>
      </w:divBdr>
    </w:div>
    <w:div w:id="1020857472">
      <w:bodyDiv w:val="1"/>
      <w:marLeft w:val="0"/>
      <w:marRight w:val="0"/>
      <w:marTop w:val="0"/>
      <w:marBottom w:val="0"/>
      <w:divBdr>
        <w:top w:val="none" w:sz="0" w:space="0" w:color="auto"/>
        <w:left w:val="none" w:sz="0" w:space="0" w:color="auto"/>
        <w:bottom w:val="none" w:sz="0" w:space="0" w:color="auto"/>
        <w:right w:val="none" w:sz="0" w:space="0" w:color="auto"/>
      </w:divBdr>
    </w:div>
    <w:div w:id="1022976520">
      <w:bodyDiv w:val="1"/>
      <w:marLeft w:val="0"/>
      <w:marRight w:val="0"/>
      <w:marTop w:val="0"/>
      <w:marBottom w:val="0"/>
      <w:divBdr>
        <w:top w:val="none" w:sz="0" w:space="0" w:color="auto"/>
        <w:left w:val="none" w:sz="0" w:space="0" w:color="auto"/>
        <w:bottom w:val="none" w:sz="0" w:space="0" w:color="auto"/>
        <w:right w:val="none" w:sz="0" w:space="0" w:color="auto"/>
      </w:divBdr>
    </w:div>
    <w:div w:id="1023749784">
      <w:bodyDiv w:val="1"/>
      <w:marLeft w:val="0"/>
      <w:marRight w:val="0"/>
      <w:marTop w:val="0"/>
      <w:marBottom w:val="0"/>
      <w:divBdr>
        <w:top w:val="none" w:sz="0" w:space="0" w:color="auto"/>
        <w:left w:val="none" w:sz="0" w:space="0" w:color="auto"/>
        <w:bottom w:val="none" w:sz="0" w:space="0" w:color="auto"/>
        <w:right w:val="none" w:sz="0" w:space="0" w:color="auto"/>
      </w:divBdr>
    </w:div>
    <w:div w:id="1026443448">
      <w:bodyDiv w:val="1"/>
      <w:marLeft w:val="0"/>
      <w:marRight w:val="0"/>
      <w:marTop w:val="0"/>
      <w:marBottom w:val="0"/>
      <w:divBdr>
        <w:top w:val="none" w:sz="0" w:space="0" w:color="auto"/>
        <w:left w:val="none" w:sz="0" w:space="0" w:color="auto"/>
        <w:bottom w:val="none" w:sz="0" w:space="0" w:color="auto"/>
        <w:right w:val="none" w:sz="0" w:space="0" w:color="auto"/>
      </w:divBdr>
    </w:div>
    <w:div w:id="1027103091">
      <w:bodyDiv w:val="1"/>
      <w:marLeft w:val="0"/>
      <w:marRight w:val="0"/>
      <w:marTop w:val="0"/>
      <w:marBottom w:val="0"/>
      <w:divBdr>
        <w:top w:val="none" w:sz="0" w:space="0" w:color="auto"/>
        <w:left w:val="none" w:sz="0" w:space="0" w:color="auto"/>
        <w:bottom w:val="none" w:sz="0" w:space="0" w:color="auto"/>
        <w:right w:val="none" w:sz="0" w:space="0" w:color="auto"/>
      </w:divBdr>
    </w:div>
    <w:div w:id="1027948389">
      <w:bodyDiv w:val="1"/>
      <w:marLeft w:val="0"/>
      <w:marRight w:val="0"/>
      <w:marTop w:val="0"/>
      <w:marBottom w:val="0"/>
      <w:divBdr>
        <w:top w:val="none" w:sz="0" w:space="0" w:color="auto"/>
        <w:left w:val="none" w:sz="0" w:space="0" w:color="auto"/>
        <w:bottom w:val="none" w:sz="0" w:space="0" w:color="auto"/>
        <w:right w:val="none" w:sz="0" w:space="0" w:color="auto"/>
      </w:divBdr>
    </w:div>
    <w:div w:id="1029529709">
      <w:bodyDiv w:val="1"/>
      <w:marLeft w:val="0"/>
      <w:marRight w:val="0"/>
      <w:marTop w:val="0"/>
      <w:marBottom w:val="0"/>
      <w:divBdr>
        <w:top w:val="none" w:sz="0" w:space="0" w:color="auto"/>
        <w:left w:val="none" w:sz="0" w:space="0" w:color="auto"/>
        <w:bottom w:val="none" w:sz="0" w:space="0" w:color="auto"/>
        <w:right w:val="none" w:sz="0" w:space="0" w:color="auto"/>
      </w:divBdr>
    </w:div>
    <w:div w:id="1037854784">
      <w:bodyDiv w:val="1"/>
      <w:marLeft w:val="0"/>
      <w:marRight w:val="0"/>
      <w:marTop w:val="0"/>
      <w:marBottom w:val="0"/>
      <w:divBdr>
        <w:top w:val="none" w:sz="0" w:space="0" w:color="auto"/>
        <w:left w:val="none" w:sz="0" w:space="0" w:color="auto"/>
        <w:bottom w:val="none" w:sz="0" w:space="0" w:color="auto"/>
        <w:right w:val="none" w:sz="0" w:space="0" w:color="auto"/>
      </w:divBdr>
    </w:div>
    <w:div w:id="1040399069">
      <w:bodyDiv w:val="1"/>
      <w:marLeft w:val="0"/>
      <w:marRight w:val="0"/>
      <w:marTop w:val="0"/>
      <w:marBottom w:val="0"/>
      <w:divBdr>
        <w:top w:val="none" w:sz="0" w:space="0" w:color="auto"/>
        <w:left w:val="none" w:sz="0" w:space="0" w:color="auto"/>
        <w:bottom w:val="none" w:sz="0" w:space="0" w:color="auto"/>
        <w:right w:val="none" w:sz="0" w:space="0" w:color="auto"/>
      </w:divBdr>
    </w:div>
    <w:div w:id="1044062863">
      <w:bodyDiv w:val="1"/>
      <w:marLeft w:val="0"/>
      <w:marRight w:val="0"/>
      <w:marTop w:val="0"/>
      <w:marBottom w:val="0"/>
      <w:divBdr>
        <w:top w:val="none" w:sz="0" w:space="0" w:color="auto"/>
        <w:left w:val="none" w:sz="0" w:space="0" w:color="auto"/>
        <w:bottom w:val="none" w:sz="0" w:space="0" w:color="auto"/>
        <w:right w:val="none" w:sz="0" w:space="0" w:color="auto"/>
      </w:divBdr>
    </w:div>
    <w:div w:id="1051807113">
      <w:bodyDiv w:val="1"/>
      <w:marLeft w:val="0"/>
      <w:marRight w:val="0"/>
      <w:marTop w:val="0"/>
      <w:marBottom w:val="0"/>
      <w:divBdr>
        <w:top w:val="none" w:sz="0" w:space="0" w:color="auto"/>
        <w:left w:val="none" w:sz="0" w:space="0" w:color="auto"/>
        <w:bottom w:val="none" w:sz="0" w:space="0" w:color="auto"/>
        <w:right w:val="none" w:sz="0" w:space="0" w:color="auto"/>
      </w:divBdr>
      <w:divsChild>
        <w:div w:id="1891921032">
          <w:marLeft w:val="0"/>
          <w:marRight w:val="0"/>
          <w:marTop w:val="0"/>
          <w:marBottom w:val="0"/>
          <w:divBdr>
            <w:top w:val="none" w:sz="0" w:space="0" w:color="auto"/>
            <w:left w:val="none" w:sz="0" w:space="0" w:color="auto"/>
            <w:bottom w:val="none" w:sz="0" w:space="0" w:color="auto"/>
            <w:right w:val="none" w:sz="0" w:space="0" w:color="auto"/>
          </w:divBdr>
        </w:div>
      </w:divsChild>
    </w:div>
    <w:div w:id="1058018838">
      <w:bodyDiv w:val="1"/>
      <w:marLeft w:val="0"/>
      <w:marRight w:val="0"/>
      <w:marTop w:val="0"/>
      <w:marBottom w:val="0"/>
      <w:divBdr>
        <w:top w:val="none" w:sz="0" w:space="0" w:color="auto"/>
        <w:left w:val="none" w:sz="0" w:space="0" w:color="auto"/>
        <w:bottom w:val="none" w:sz="0" w:space="0" w:color="auto"/>
        <w:right w:val="none" w:sz="0" w:space="0" w:color="auto"/>
      </w:divBdr>
    </w:div>
    <w:div w:id="1060519681">
      <w:bodyDiv w:val="1"/>
      <w:marLeft w:val="0"/>
      <w:marRight w:val="0"/>
      <w:marTop w:val="0"/>
      <w:marBottom w:val="0"/>
      <w:divBdr>
        <w:top w:val="none" w:sz="0" w:space="0" w:color="auto"/>
        <w:left w:val="none" w:sz="0" w:space="0" w:color="auto"/>
        <w:bottom w:val="none" w:sz="0" w:space="0" w:color="auto"/>
        <w:right w:val="none" w:sz="0" w:space="0" w:color="auto"/>
      </w:divBdr>
    </w:div>
    <w:div w:id="1060715449">
      <w:bodyDiv w:val="1"/>
      <w:marLeft w:val="0"/>
      <w:marRight w:val="0"/>
      <w:marTop w:val="0"/>
      <w:marBottom w:val="0"/>
      <w:divBdr>
        <w:top w:val="none" w:sz="0" w:space="0" w:color="auto"/>
        <w:left w:val="none" w:sz="0" w:space="0" w:color="auto"/>
        <w:bottom w:val="none" w:sz="0" w:space="0" w:color="auto"/>
        <w:right w:val="none" w:sz="0" w:space="0" w:color="auto"/>
      </w:divBdr>
    </w:div>
    <w:div w:id="1065298502">
      <w:bodyDiv w:val="1"/>
      <w:marLeft w:val="0"/>
      <w:marRight w:val="0"/>
      <w:marTop w:val="0"/>
      <w:marBottom w:val="0"/>
      <w:divBdr>
        <w:top w:val="none" w:sz="0" w:space="0" w:color="auto"/>
        <w:left w:val="none" w:sz="0" w:space="0" w:color="auto"/>
        <w:bottom w:val="none" w:sz="0" w:space="0" w:color="auto"/>
        <w:right w:val="none" w:sz="0" w:space="0" w:color="auto"/>
      </w:divBdr>
    </w:div>
    <w:div w:id="1065642617">
      <w:bodyDiv w:val="1"/>
      <w:marLeft w:val="0"/>
      <w:marRight w:val="0"/>
      <w:marTop w:val="0"/>
      <w:marBottom w:val="0"/>
      <w:divBdr>
        <w:top w:val="none" w:sz="0" w:space="0" w:color="auto"/>
        <w:left w:val="none" w:sz="0" w:space="0" w:color="auto"/>
        <w:bottom w:val="none" w:sz="0" w:space="0" w:color="auto"/>
        <w:right w:val="none" w:sz="0" w:space="0" w:color="auto"/>
      </w:divBdr>
    </w:div>
    <w:div w:id="1066536580">
      <w:bodyDiv w:val="1"/>
      <w:marLeft w:val="0"/>
      <w:marRight w:val="0"/>
      <w:marTop w:val="0"/>
      <w:marBottom w:val="0"/>
      <w:divBdr>
        <w:top w:val="none" w:sz="0" w:space="0" w:color="auto"/>
        <w:left w:val="none" w:sz="0" w:space="0" w:color="auto"/>
        <w:bottom w:val="none" w:sz="0" w:space="0" w:color="auto"/>
        <w:right w:val="none" w:sz="0" w:space="0" w:color="auto"/>
      </w:divBdr>
    </w:div>
    <w:div w:id="1071121268">
      <w:bodyDiv w:val="1"/>
      <w:marLeft w:val="0"/>
      <w:marRight w:val="0"/>
      <w:marTop w:val="0"/>
      <w:marBottom w:val="0"/>
      <w:divBdr>
        <w:top w:val="none" w:sz="0" w:space="0" w:color="auto"/>
        <w:left w:val="none" w:sz="0" w:space="0" w:color="auto"/>
        <w:bottom w:val="none" w:sz="0" w:space="0" w:color="auto"/>
        <w:right w:val="none" w:sz="0" w:space="0" w:color="auto"/>
      </w:divBdr>
    </w:div>
    <w:div w:id="1072121661">
      <w:bodyDiv w:val="1"/>
      <w:marLeft w:val="0"/>
      <w:marRight w:val="0"/>
      <w:marTop w:val="0"/>
      <w:marBottom w:val="0"/>
      <w:divBdr>
        <w:top w:val="none" w:sz="0" w:space="0" w:color="auto"/>
        <w:left w:val="none" w:sz="0" w:space="0" w:color="auto"/>
        <w:bottom w:val="none" w:sz="0" w:space="0" w:color="auto"/>
        <w:right w:val="none" w:sz="0" w:space="0" w:color="auto"/>
      </w:divBdr>
    </w:div>
    <w:div w:id="1072895464">
      <w:bodyDiv w:val="1"/>
      <w:marLeft w:val="0"/>
      <w:marRight w:val="0"/>
      <w:marTop w:val="0"/>
      <w:marBottom w:val="0"/>
      <w:divBdr>
        <w:top w:val="none" w:sz="0" w:space="0" w:color="auto"/>
        <w:left w:val="none" w:sz="0" w:space="0" w:color="auto"/>
        <w:bottom w:val="none" w:sz="0" w:space="0" w:color="auto"/>
        <w:right w:val="none" w:sz="0" w:space="0" w:color="auto"/>
      </w:divBdr>
    </w:div>
    <w:div w:id="1074356183">
      <w:bodyDiv w:val="1"/>
      <w:marLeft w:val="0"/>
      <w:marRight w:val="0"/>
      <w:marTop w:val="0"/>
      <w:marBottom w:val="0"/>
      <w:divBdr>
        <w:top w:val="none" w:sz="0" w:space="0" w:color="auto"/>
        <w:left w:val="none" w:sz="0" w:space="0" w:color="auto"/>
        <w:bottom w:val="none" w:sz="0" w:space="0" w:color="auto"/>
        <w:right w:val="none" w:sz="0" w:space="0" w:color="auto"/>
      </w:divBdr>
    </w:div>
    <w:div w:id="1074859984">
      <w:bodyDiv w:val="1"/>
      <w:marLeft w:val="0"/>
      <w:marRight w:val="0"/>
      <w:marTop w:val="0"/>
      <w:marBottom w:val="0"/>
      <w:divBdr>
        <w:top w:val="none" w:sz="0" w:space="0" w:color="auto"/>
        <w:left w:val="none" w:sz="0" w:space="0" w:color="auto"/>
        <w:bottom w:val="none" w:sz="0" w:space="0" w:color="auto"/>
        <w:right w:val="none" w:sz="0" w:space="0" w:color="auto"/>
      </w:divBdr>
    </w:div>
    <w:div w:id="1075472309">
      <w:bodyDiv w:val="1"/>
      <w:marLeft w:val="0"/>
      <w:marRight w:val="0"/>
      <w:marTop w:val="0"/>
      <w:marBottom w:val="0"/>
      <w:divBdr>
        <w:top w:val="none" w:sz="0" w:space="0" w:color="auto"/>
        <w:left w:val="none" w:sz="0" w:space="0" w:color="auto"/>
        <w:bottom w:val="none" w:sz="0" w:space="0" w:color="auto"/>
        <w:right w:val="none" w:sz="0" w:space="0" w:color="auto"/>
      </w:divBdr>
    </w:div>
    <w:div w:id="1076049904">
      <w:bodyDiv w:val="1"/>
      <w:marLeft w:val="0"/>
      <w:marRight w:val="0"/>
      <w:marTop w:val="0"/>
      <w:marBottom w:val="0"/>
      <w:divBdr>
        <w:top w:val="none" w:sz="0" w:space="0" w:color="auto"/>
        <w:left w:val="none" w:sz="0" w:space="0" w:color="auto"/>
        <w:bottom w:val="none" w:sz="0" w:space="0" w:color="auto"/>
        <w:right w:val="none" w:sz="0" w:space="0" w:color="auto"/>
      </w:divBdr>
    </w:div>
    <w:div w:id="1080371743">
      <w:bodyDiv w:val="1"/>
      <w:marLeft w:val="0"/>
      <w:marRight w:val="0"/>
      <w:marTop w:val="0"/>
      <w:marBottom w:val="0"/>
      <w:divBdr>
        <w:top w:val="none" w:sz="0" w:space="0" w:color="auto"/>
        <w:left w:val="none" w:sz="0" w:space="0" w:color="auto"/>
        <w:bottom w:val="none" w:sz="0" w:space="0" w:color="auto"/>
        <w:right w:val="none" w:sz="0" w:space="0" w:color="auto"/>
      </w:divBdr>
    </w:div>
    <w:div w:id="1081173129">
      <w:bodyDiv w:val="1"/>
      <w:marLeft w:val="0"/>
      <w:marRight w:val="0"/>
      <w:marTop w:val="0"/>
      <w:marBottom w:val="0"/>
      <w:divBdr>
        <w:top w:val="none" w:sz="0" w:space="0" w:color="auto"/>
        <w:left w:val="none" w:sz="0" w:space="0" w:color="auto"/>
        <w:bottom w:val="none" w:sz="0" w:space="0" w:color="auto"/>
        <w:right w:val="none" w:sz="0" w:space="0" w:color="auto"/>
      </w:divBdr>
    </w:div>
    <w:div w:id="1082414922">
      <w:bodyDiv w:val="1"/>
      <w:marLeft w:val="0"/>
      <w:marRight w:val="0"/>
      <w:marTop w:val="0"/>
      <w:marBottom w:val="0"/>
      <w:divBdr>
        <w:top w:val="none" w:sz="0" w:space="0" w:color="auto"/>
        <w:left w:val="none" w:sz="0" w:space="0" w:color="auto"/>
        <w:bottom w:val="none" w:sz="0" w:space="0" w:color="auto"/>
        <w:right w:val="none" w:sz="0" w:space="0" w:color="auto"/>
      </w:divBdr>
    </w:div>
    <w:div w:id="1082526237">
      <w:bodyDiv w:val="1"/>
      <w:marLeft w:val="0"/>
      <w:marRight w:val="0"/>
      <w:marTop w:val="0"/>
      <w:marBottom w:val="0"/>
      <w:divBdr>
        <w:top w:val="none" w:sz="0" w:space="0" w:color="auto"/>
        <w:left w:val="none" w:sz="0" w:space="0" w:color="auto"/>
        <w:bottom w:val="none" w:sz="0" w:space="0" w:color="auto"/>
        <w:right w:val="none" w:sz="0" w:space="0" w:color="auto"/>
      </w:divBdr>
    </w:div>
    <w:div w:id="1082995855">
      <w:bodyDiv w:val="1"/>
      <w:marLeft w:val="0"/>
      <w:marRight w:val="0"/>
      <w:marTop w:val="0"/>
      <w:marBottom w:val="0"/>
      <w:divBdr>
        <w:top w:val="none" w:sz="0" w:space="0" w:color="auto"/>
        <w:left w:val="none" w:sz="0" w:space="0" w:color="auto"/>
        <w:bottom w:val="none" w:sz="0" w:space="0" w:color="auto"/>
        <w:right w:val="none" w:sz="0" w:space="0" w:color="auto"/>
      </w:divBdr>
    </w:div>
    <w:div w:id="1083453507">
      <w:bodyDiv w:val="1"/>
      <w:marLeft w:val="0"/>
      <w:marRight w:val="0"/>
      <w:marTop w:val="0"/>
      <w:marBottom w:val="0"/>
      <w:divBdr>
        <w:top w:val="none" w:sz="0" w:space="0" w:color="auto"/>
        <w:left w:val="none" w:sz="0" w:space="0" w:color="auto"/>
        <w:bottom w:val="none" w:sz="0" w:space="0" w:color="auto"/>
        <w:right w:val="none" w:sz="0" w:space="0" w:color="auto"/>
      </w:divBdr>
    </w:div>
    <w:div w:id="1083530858">
      <w:bodyDiv w:val="1"/>
      <w:marLeft w:val="0"/>
      <w:marRight w:val="0"/>
      <w:marTop w:val="0"/>
      <w:marBottom w:val="0"/>
      <w:divBdr>
        <w:top w:val="none" w:sz="0" w:space="0" w:color="auto"/>
        <w:left w:val="none" w:sz="0" w:space="0" w:color="auto"/>
        <w:bottom w:val="none" w:sz="0" w:space="0" w:color="auto"/>
        <w:right w:val="none" w:sz="0" w:space="0" w:color="auto"/>
      </w:divBdr>
    </w:div>
    <w:div w:id="1090584603">
      <w:bodyDiv w:val="1"/>
      <w:marLeft w:val="0"/>
      <w:marRight w:val="0"/>
      <w:marTop w:val="0"/>
      <w:marBottom w:val="0"/>
      <w:divBdr>
        <w:top w:val="none" w:sz="0" w:space="0" w:color="auto"/>
        <w:left w:val="none" w:sz="0" w:space="0" w:color="auto"/>
        <w:bottom w:val="none" w:sz="0" w:space="0" w:color="auto"/>
        <w:right w:val="none" w:sz="0" w:space="0" w:color="auto"/>
      </w:divBdr>
    </w:div>
    <w:div w:id="1091314918">
      <w:bodyDiv w:val="1"/>
      <w:marLeft w:val="0"/>
      <w:marRight w:val="0"/>
      <w:marTop w:val="0"/>
      <w:marBottom w:val="0"/>
      <w:divBdr>
        <w:top w:val="none" w:sz="0" w:space="0" w:color="auto"/>
        <w:left w:val="none" w:sz="0" w:space="0" w:color="auto"/>
        <w:bottom w:val="none" w:sz="0" w:space="0" w:color="auto"/>
        <w:right w:val="none" w:sz="0" w:space="0" w:color="auto"/>
      </w:divBdr>
    </w:div>
    <w:div w:id="1097752949">
      <w:bodyDiv w:val="1"/>
      <w:marLeft w:val="0"/>
      <w:marRight w:val="0"/>
      <w:marTop w:val="0"/>
      <w:marBottom w:val="0"/>
      <w:divBdr>
        <w:top w:val="none" w:sz="0" w:space="0" w:color="auto"/>
        <w:left w:val="none" w:sz="0" w:space="0" w:color="auto"/>
        <w:bottom w:val="none" w:sz="0" w:space="0" w:color="auto"/>
        <w:right w:val="none" w:sz="0" w:space="0" w:color="auto"/>
      </w:divBdr>
    </w:div>
    <w:div w:id="1101804798">
      <w:bodyDiv w:val="1"/>
      <w:marLeft w:val="0"/>
      <w:marRight w:val="0"/>
      <w:marTop w:val="0"/>
      <w:marBottom w:val="0"/>
      <w:divBdr>
        <w:top w:val="none" w:sz="0" w:space="0" w:color="auto"/>
        <w:left w:val="none" w:sz="0" w:space="0" w:color="auto"/>
        <w:bottom w:val="none" w:sz="0" w:space="0" w:color="auto"/>
        <w:right w:val="none" w:sz="0" w:space="0" w:color="auto"/>
      </w:divBdr>
    </w:div>
    <w:div w:id="1104809441">
      <w:bodyDiv w:val="1"/>
      <w:marLeft w:val="0"/>
      <w:marRight w:val="0"/>
      <w:marTop w:val="0"/>
      <w:marBottom w:val="0"/>
      <w:divBdr>
        <w:top w:val="none" w:sz="0" w:space="0" w:color="auto"/>
        <w:left w:val="none" w:sz="0" w:space="0" w:color="auto"/>
        <w:bottom w:val="none" w:sz="0" w:space="0" w:color="auto"/>
        <w:right w:val="none" w:sz="0" w:space="0" w:color="auto"/>
      </w:divBdr>
    </w:div>
    <w:div w:id="1108089421">
      <w:bodyDiv w:val="1"/>
      <w:marLeft w:val="0"/>
      <w:marRight w:val="0"/>
      <w:marTop w:val="0"/>
      <w:marBottom w:val="0"/>
      <w:divBdr>
        <w:top w:val="none" w:sz="0" w:space="0" w:color="auto"/>
        <w:left w:val="none" w:sz="0" w:space="0" w:color="auto"/>
        <w:bottom w:val="none" w:sz="0" w:space="0" w:color="auto"/>
        <w:right w:val="none" w:sz="0" w:space="0" w:color="auto"/>
      </w:divBdr>
    </w:div>
    <w:div w:id="1113986549">
      <w:bodyDiv w:val="1"/>
      <w:marLeft w:val="0"/>
      <w:marRight w:val="0"/>
      <w:marTop w:val="0"/>
      <w:marBottom w:val="0"/>
      <w:divBdr>
        <w:top w:val="none" w:sz="0" w:space="0" w:color="auto"/>
        <w:left w:val="none" w:sz="0" w:space="0" w:color="auto"/>
        <w:bottom w:val="none" w:sz="0" w:space="0" w:color="auto"/>
        <w:right w:val="none" w:sz="0" w:space="0" w:color="auto"/>
      </w:divBdr>
    </w:div>
    <w:div w:id="1115978875">
      <w:bodyDiv w:val="1"/>
      <w:marLeft w:val="0"/>
      <w:marRight w:val="0"/>
      <w:marTop w:val="0"/>
      <w:marBottom w:val="0"/>
      <w:divBdr>
        <w:top w:val="none" w:sz="0" w:space="0" w:color="auto"/>
        <w:left w:val="none" w:sz="0" w:space="0" w:color="auto"/>
        <w:bottom w:val="none" w:sz="0" w:space="0" w:color="auto"/>
        <w:right w:val="none" w:sz="0" w:space="0" w:color="auto"/>
      </w:divBdr>
    </w:div>
    <w:div w:id="1118373782">
      <w:bodyDiv w:val="1"/>
      <w:marLeft w:val="0"/>
      <w:marRight w:val="0"/>
      <w:marTop w:val="0"/>
      <w:marBottom w:val="0"/>
      <w:divBdr>
        <w:top w:val="none" w:sz="0" w:space="0" w:color="auto"/>
        <w:left w:val="none" w:sz="0" w:space="0" w:color="auto"/>
        <w:bottom w:val="none" w:sz="0" w:space="0" w:color="auto"/>
        <w:right w:val="none" w:sz="0" w:space="0" w:color="auto"/>
      </w:divBdr>
    </w:div>
    <w:div w:id="1119496289">
      <w:bodyDiv w:val="1"/>
      <w:marLeft w:val="0"/>
      <w:marRight w:val="0"/>
      <w:marTop w:val="0"/>
      <w:marBottom w:val="0"/>
      <w:divBdr>
        <w:top w:val="none" w:sz="0" w:space="0" w:color="auto"/>
        <w:left w:val="none" w:sz="0" w:space="0" w:color="auto"/>
        <w:bottom w:val="none" w:sz="0" w:space="0" w:color="auto"/>
        <w:right w:val="none" w:sz="0" w:space="0" w:color="auto"/>
      </w:divBdr>
    </w:div>
    <w:div w:id="1120496854">
      <w:bodyDiv w:val="1"/>
      <w:marLeft w:val="0"/>
      <w:marRight w:val="0"/>
      <w:marTop w:val="0"/>
      <w:marBottom w:val="0"/>
      <w:divBdr>
        <w:top w:val="none" w:sz="0" w:space="0" w:color="auto"/>
        <w:left w:val="none" w:sz="0" w:space="0" w:color="auto"/>
        <w:bottom w:val="none" w:sz="0" w:space="0" w:color="auto"/>
        <w:right w:val="none" w:sz="0" w:space="0" w:color="auto"/>
      </w:divBdr>
    </w:div>
    <w:div w:id="1124155472">
      <w:bodyDiv w:val="1"/>
      <w:marLeft w:val="0"/>
      <w:marRight w:val="0"/>
      <w:marTop w:val="0"/>
      <w:marBottom w:val="0"/>
      <w:divBdr>
        <w:top w:val="none" w:sz="0" w:space="0" w:color="auto"/>
        <w:left w:val="none" w:sz="0" w:space="0" w:color="auto"/>
        <w:bottom w:val="none" w:sz="0" w:space="0" w:color="auto"/>
        <w:right w:val="none" w:sz="0" w:space="0" w:color="auto"/>
      </w:divBdr>
    </w:div>
    <w:div w:id="1127239243">
      <w:bodyDiv w:val="1"/>
      <w:marLeft w:val="0"/>
      <w:marRight w:val="0"/>
      <w:marTop w:val="0"/>
      <w:marBottom w:val="0"/>
      <w:divBdr>
        <w:top w:val="none" w:sz="0" w:space="0" w:color="auto"/>
        <w:left w:val="none" w:sz="0" w:space="0" w:color="auto"/>
        <w:bottom w:val="none" w:sz="0" w:space="0" w:color="auto"/>
        <w:right w:val="none" w:sz="0" w:space="0" w:color="auto"/>
      </w:divBdr>
    </w:div>
    <w:div w:id="1129281690">
      <w:bodyDiv w:val="1"/>
      <w:marLeft w:val="0"/>
      <w:marRight w:val="0"/>
      <w:marTop w:val="0"/>
      <w:marBottom w:val="0"/>
      <w:divBdr>
        <w:top w:val="none" w:sz="0" w:space="0" w:color="auto"/>
        <w:left w:val="none" w:sz="0" w:space="0" w:color="auto"/>
        <w:bottom w:val="none" w:sz="0" w:space="0" w:color="auto"/>
        <w:right w:val="none" w:sz="0" w:space="0" w:color="auto"/>
      </w:divBdr>
    </w:div>
    <w:div w:id="1129784742">
      <w:bodyDiv w:val="1"/>
      <w:marLeft w:val="0"/>
      <w:marRight w:val="0"/>
      <w:marTop w:val="0"/>
      <w:marBottom w:val="0"/>
      <w:divBdr>
        <w:top w:val="none" w:sz="0" w:space="0" w:color="auto"/>
        <w:left w:val="none" w:sz="0" w:space="0" w:color="auto"/>
        <w:bottom w:val="none" w:sz="0" w:space="0" w:color="auto"/>
        <w:right w:val="none" w:sz="0" w:space="0" w:color="auto"/>
      </w:divBdr>
    </w:div>
    <w:div w:id="1130053091">
      <w:bodyDiv w:val="1"/>
      <w:marLeft w:val="0"/>
      <w:marRight w:val="0"/>
      <w:marTop w:val="0"/>
      <w:marBottom w:val="0"/>
      <w:divBdr>
        <w:top w:val="none" w:sz="0" w:space="0" w:color="auto"/>
        <w:left w:val="none" w:sz="0" w:space="0" w:color="auto"/>
        <w:bottom w:val="none" w:sz="0" w:space="0" w:color="auto"/>
        <w:right w:val="none" w:sz="0" w:space="0" w:color="auto"/>
      </w:divBdr>
    </w:div>
    <w:div w:id="1130781476">
      <w:bodyDiv w:val="1"/>
      <w:marLeft w:val="0"/>
      <w:marRight w:val="0"/>
      <w:marTop w:val="0"/>
      <w:marBottom w:val="0"/>
      <w:divBdr>
        <w:top w:val="none" w:sz="0" w:space="0" w:color="auto"/>
        <w:left w:val="none" w:sz="0" w:space="0" w:color="auto"/>
        <w:bottom w:val="none" w:sz="0" w:space="0" w:color="auto"/>
        <w:right w:val="none" w:sz="0" w:space="0" w:color="auto"/>
      </w:divBdr>
    </w:div>
    <w:div w:id="1132597949">
      <w:bodyDiv w:val="1"/>
      <w:marLeft w:val="0"/>
      <w:marRight w:val="0"/>
      <w:marTop w:val="0"/>
      <w:marBottom w:val="0"/>
      <w:divBdr>
        <w:top w:val="none" w:sz="0" w:space="0" w:color="auto"/>
        <w:left w:val="none" w:sz="0" w:space="0" w:color="auto"/>
        <w:bottom w:val="none" w:sz="0" w:space="0" w:color="auto"/>
        <w:right w:val="none" w:sz="0" w:space="0" w:color="auto"/>
      </w:divBdr>
    </w:div>
    <w:div w:id="1133868920">
      <w:bodyDiv w:val="1"/>
      <w:marLeft w:val="0"/>
      <w:marRight w:val="0"/>
      <w:marTop w:val="0"/>
      <w:marBottom w:val="0"/>
      <w:divBdr>
        <w:top w:val="none" w:sz="0" w:space="0" w:color="auto"/>
        <w:left w:val="none" w:sz="0" w:space="0" w:color="auto"/>
        <w:bottom w:val="none" w:sz="0" w:space="0" w:color="auto"/>
        <w:right w:val="none" w:sz="0" w:space="0" w:color="auto"/>
      </w:divBdr>
    </w:div>
    <w:div w:id="1134560230">
      <w:bodyDiv w:val="1"/>
      <w:marLeft w:val="0"/>
      <w:marRight w:val="0"/>
      <w:marTop w:val="0"/>
      <w:marBottom w:val="0"/>
      <w:divBdr>
        <w:top w:val="none" w:sz="0" w:space="0" w:color="auto"/>
        <w:left w:val="none" w:sz="0" w:space="0" w:color="auto"/>
        <w:bottom w:val="none" w:sz="0" w:space="0" w:color="auto"/>
        <w:right w:val="none" w:sz="0" w:space="0" w:color="auto"/>
      </w:divBdr>
    </w:div>
    <w:div w:id="1136029073">
      <w:bodyDiv w:val="1"/>
      <w:marLeft w:val="0"/>
      <w:marRight w:val="0"/>
      <w:marTop w:val="0"/>
      <w:marBottom w:val="0"/>
      <w:divBdr>
        <w:top w:val="none" w:sz="0" w:space="0" w:color="auto"/>
        <w:left w:val="none" w:sz="0" w:space="0" w:color="auto"/>
        <w:bottom w:val="none" w:sz="0" w:space="0" w:color="auto"/>
        <w:right w:val="none" w:sz="0" w:space="0" w:color="auto"/>
      </w:divBdr>
    </w:div>
    <w:div w:id="1136527890">
      <w:bodyDiv w:val="1"/>
      <w:marLeft w:val="0"/>
      <w:marRight w:val="0"/>
      <w:marTop w:val="0"/>
      <w:marBottom w:val="0"/>
      <w:divBdr>
        <w:top w:val="none" w:sz="0" w:space="0" w:color="auto"/>
        <w:left w:val="none" w:sz="0" w:space="0" w:color="auto"/>
        <w:bottom w:val="none" w:sz="0" w:space="0" w:color="auto"/>
        <w:right w:val="none" w:sz="0" w:space="0" w:color="auto"/>
      </w:divBdr>
    </w:div>
    <w:div w:id="1138451953">
      <w:bodyDiv w:val="1"/>
      <w:marLeft w:val="0"/>
      <w:marRight w:val="0"/>
      <w:marTop w:val="0"/>
      <w:marBottom w:val="0"/>
      <w:divBdr>
        <w:top w:val="none" w:sz="0" w:space="0" w:color="auto"/>
        <w:left w:val="none" w:sz="0" w:space="0" w:color="auto"/>
        <w:bottom w:val="none" w:sz="0" w:space="0" w:color="auto"/>
        <w:right w:val="none" w:sz="0" w:space="0" w:color="auto"/>
      </w:divBdr>
    </w:div>
    <w:div w:id="1138493387">
      <w:bodyDiv w:val="1"/>
      <w:marLeft w:val="0"/>
      <w:marRight w:val="0"/>
      <w:marTop w:val="0"/>
      <w:marBottom w:val="0"/>
      <w:divBdr>
        <w:top w:val="none" w:sz="0" w:space="0" w:color="auto"/>
        <w:left w:val="none" w:sz="0" w:space="0" w:color="auto"/>
        <w:bottom w:val="none" w:sz="0" w:space="0" w:color="auto"/>
        <w:right w:val="none" w:sz="0" w:space="0" w:color="auto"/>
      </w:divBdr>
    </w:div>
    <w:div w:id="1138497699">
      <w:bodyDiv w:val="1"/>
      <w:marLeft w:val="0"/>
      <w:marRight w:val="0"/>
      <w:marTop w:val="0"/>
      <w:marBottom w:val="0"/>
      <w:divBdr>
        <w:top w:val="none" w:sz="0" w:space="0" w:color="auto"/>
        <w:left w:val="none" w:sz="0" w:space="0" w:color="auto"/>
        <w:bottom w:val="none" w:sz="0" w:space="0" w:color="auto"/>
        <w:right w:val="none" w:sz="0" w:space="0" w:color="auto"/>
      </w:divBdr>
    </w:div>
    <w:div w:id="1140921694">
      <w:bodyDiv w:val="1"/>
      <w:marLeft w:val="0"/>
      <w:marRight w:val="0"/>
      <w:marTop w:val="0"/>
      <w:marBottom w:val="0"/>
      <w:divBdr>
        <w:top w:val="none" w:sz="0" w:space="0" w:color="auto"/>
        <w:left w:val="none" w:sz="0" w:space="0" w:color="auto"/>
        <w:bottom w:val="none" w:sz="0" w:space="0" w:color="auto"/>
        <w:right w:val="none" w:sz="0" w:space="0" w:color="auto"/>
      </w:divBdr>
    </w:div>
    <w:div w:id="1141845917">
      <w:bodyDiv w:val="1"/>
      <w:marLeft w:val="0"/>
      <w:marRight w:val="0"/>
      <w:marTop w:val="0"/>
      <w:marBottom w:val="0"/>
      <w:divBdr>
        <w:top w:val="none" w:sz="0" w:space="0" w:color="auto"/>
        <w:left w:val="none" w:sz="0" w:space="0" w:color="auto"/>
        <w:bottom w:val="none" w:sz="0" w:space="0" w:color="auto"/>
        <w:right w:val="none" w:sz="0" w:space="0" w:color="auto"/>
      </w:divBdr>
    </w:div>
    <w:div w:id="1146553498">
      <w:bodyDiv w:val="1"/>
      <w:marLeft w:val="0"/>
      <w:marRight w:val="0"/>
      <w:marTop w:val="0"/>
      <w:marBottom w:val="0"/>
      <w:divBdr>
        <w:top w:val="none" w:sz="0" w:space="0" w:color="auto"/>
        <w:left w:val="none" w:sz="0" w:space="0" w:color="auto"/>
        <w:bottom w:val="none" w:sz="0" w:space="0" w:color="auto"/>
        <w:right w:val="none" w:sz="0" w:space="0" w:color="auto"/>
      </w:divBdr>
      <w:divsChild>
        <w:div w:id="1342780379">
          <w:marLeft w:val="0"/>
          <w:marRight w:val="0"/>
          <w:marTop w:val="450"/>
          <w:marBottom w:val="450"/>
          <w:divBdr>
            <w:top w:val="none" w:sz="0" w:space="0" w:color="auto"/>
            <w:left w:val="none" w:sz="0" w:space="0" w:color="auto"/>
            <w:bottom w:val="none" w:sz="0" w:space="0" w:color="auto"/>
            <w:right w:val="none" w:sz="0" w:space="0" w:color="auto"/>
          </w:divBdr>
        </w:div>
        <w:div w:id="736052391">
          <w:marLeft w:val="0"/>
          <w:marRight w:val="0"/>
          <w:marTop w:val="0"/>
          <w:marBottom w:val="0"/>
          <w:divBdr>
            <w:top w:val="none" w:sz="0" w:space="0" w:color="auto"/>
            <w:left w:val="none" w:sz="0" w:space="0" w:color="auto"/>
            <w:bottom w:val="none" w:sz="0" w:space="0" w:color="auto"/>
            <w:right w:val="none" w:sz="0" w:space="0" w:color="auto"/>
          </w:divBdr>
          <w:divsChild>
            <w:div w:id="2105223535">
              <w:marLeft w:val="0"/>
              <w:marRight w:val="0"/>
              <w:marTop w:val="0"/>
              <w:marBottom w:val="0"/>
              <w:divBdr>
                <w:top w:val="none" w:sz="0" w:space="0" w:color="auto"/>
                <w:left w:val="none" w:sz="0" w:space="0" w:color="auto"/>
                <w:bottom w:val="none" w:sz="0" w:space="0" w:color="auto"/>
                <w:right w:val="none" w:sz="0" w:space="0" w:color="auto"/>
              </w:divBdr>
              <w:divsChild>
                <w:div w:id="1706785744">
                  <w:marLeft w:val="0"/>
                  <w:marRight w:val="0"/>
                  <w:marTop w:val="0"/>
                  <w:marBottom w:val="0"/>
                  <w:divBdr>
                    <w:top w:val="none" w:sz="0" w:space="0" w:color="auto"/>
                    <w:left w:val="none" w:sz="0" w:space="0" w:color="auto"/>
                    <w:bottom w:val="none" w:sz="0" w:space="0" w:color="auto"/>
                    <w:right w:val="none" w:sz="0" w:space="0" w:color="auto"/>
                  </w:divBdr>
                  <w:divsChild>
                    <w:div w:id="1022245247">
                      <w:marLeft w:val="0"/>
                      <w:marRight w:val="0"/>
                      <w:marTop w:val="0"/>
                      <w:marBottom w:val="0"/>
                      <w:divBdr>
                        <w:top w:val="none" w:sz="0" w:space="0" w:color="auto"/>
                        <w:left w:val="none" w:sz="0" w:space="0" w:color="auto"/>
                        <w:bottom w:val="none" w:sz="0" w:space="0" w:color="auto"/>
                        <w:right w:val="none" w:sz="0" w:space="0" w:color="auto"/>
                      </w:divBdr>
                      <w:divsChild>
                        <w:div w:id="1598756570">
                          <w:marLeft w:val="0"/>
                          <w:marRight w:val="0"/>
                          <w:marTop w:val="0"/>
                          <w:marBottom w:val="360"/>
                          <w:divBdr>
                            <w:top w:val="none" w:sz="0" w:space="0" w:color="auto"/>
                            <w:left w:val="none" w:sz="0" w:space="0" w:color="auto"/>
                            <w:bottom w:val="none" w:sz="0" w:space="0" w:color="auto"/>
                            <w:right w:val="none" w:sz="0" w:space="0" w:color="auto"/>
                          </w:divBdr>
                          <w:divsChild>
                            <w:div w:id="1849514663">
                              <w:marLeft w:val="0"/>
                              <w:marRight w:val="0"/>
                              <w:marTop w:val="0"/>
                              <w:marBottom w:val="0"/>
                              <w:divBdr>
                                <w:top w:val="none" w:sz="0" w:space="0" w:color="auto"/>
                                <w:left w:val="none" w:sz="0" w:space="0" w:color="auto"/>
                                <w:bottom w:val="none" w:sz="0" w:space="0" w:color="auto"/>
                                <w:right w:val="none" w:sz="0" w:space="0" w:color="auto"/>
                              </w:divBdr>
                              <w:divsChild>
                                <w:div w:id="2007709226">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750395">
      <w:bodyDiv w:val="1"/>
      <w:marLeft w:val="0"/>
      <w:marRight w:val="0"/>
      <w:marTop w:val="0"/>
      <w:marBottom w:val="0"/>
      <w:divBdr>
        <w:top w:val="none" w:sz="0" w:space="0" w:color="auto"/>
        <w:left w:val="none" w:sz="0" w:space="0" w:color="auto"/>
        <w:bottom w:val="none" w:sz="0" w:space="0" w:color="auto"/>
        <w:right w:val="none" w:sz="0" w:space="0" w:color="auto"/>
      </w:divBdr>
    </w:div>
    <w:div w:id="1147281194">
      <w:bodyDiv w:val="1"/>
      <w:marLeft w:val="0"/>
      <w:marRight w:val="0"/>
      <w:marTop w:val="0"/>
      <w:marBottom w:val="0"/>
      <w:divBdr>
        <w:top w:val="none" w:sz="0" w:space="0" w:color="auto"/>
        <w:left w:val="none" w:sz="0" w:space="0" w:color="auto"/>
        <w:bottom w:val="none" w:sz="0" w:space="0" w:color="auto"/>
        <w:right w:val="none" w:sz="0" w:space="0" w:color="auto"/>
      </w:divBdr>
    </w:div>
    <w:div w:id="1148673280">
      <w:bodyDiv w:val="1"/>
      <w:marLeft w:val="0"/>
      <w:marRight w:val="0"/>
      <w:marTop w:val="0"/>
      <w:marBottom w:val="0"/>
      <w:divBdr>
        <w:top w:val="none" w:sz="0" w:space="0" w:color="auto"/>
        <w:left w:val="none" w:sz="0" w:space="0" w:color="auto"/>
        <w:bottom w:val="none" w:sz="0" w:space="0" w:color="auto"/>
        <w:right w:val="none" w:sz="0" w:space="0" w:color="auto"/>
      </w:divBdr>
    </w:div>
    <w:div w:id="1151287099">
      <w:bodyDiv w:val="1"/>
      <w:marLeft w:val="0"/>
      <w:marRight w:val="0"/>
      <w:marTop w:val="0"/>
      <w:marBottom w:val="0"/>
      <w:divBdr>
        <w:top w:val="none" w:sz="0" w:space="0" w:color="auto"/>
        <w:left w:val="none" w:sz="0" w:space="0" w:color="auto"/>
        <w:bottom w:val="none" w:sz="0" w:space="0" w:color="auto"/>
        <w:right w:val="none" w:sz="0" w:space="0" w:color="auto"/>
      </w:divBdr>
    </w:div>
    <w:div w:id="1153788753">
      <w:bodyDiv w:val="1"/>
      <w:marLeft w:val="0"/>
      <w:marRight w:val="0"/>
      <w:marTop w:val="0"/>
      <w:marBottom w:val="0"/>
      <w:divBdr>
        <w:top w:val="none" w:sz="0" w:space="0" w:color="auto"/>
        <w:left w:val="none" w:sz="0" w:space="0" w:color="auto"/>
        <w:bottom w:val="none" w:sz="0" w:space="0" w:color="auto"/>
        <w:right w:val="none" w:sz="0" w:space="0" w:color="auto"/>
      </w:divBdr>
    </w:div>
    <w:div w:id="1154755464">
      <w:bodyDiv w:val="1"/>
      <w:marLeft w:val="0"/>
      <w:marRight w:val="0"/>
      <w:marTop w:val="0"/>
      <w:marBottom w:val="0"/>
      <w:divBdr>
        <w:top w:val="none" w:sz="0" w:space="0" w:color="auto"/>
        <w:left w:val="none" w:sz="0" w:space="0" w:color="auto"/>
        <w:bottom w:val="none" w:sz="0" w:space="0" w:color="auto"/>
        <w:right w:val="none" w:sz="0" w:space="0" w:color="auto"/>
      </w:divBdr>
    </w:div>
    <w:div w:id="1155489644">
      <w:bodyDiv w:val="1"/>
      <w:marLeft w:val="0"/>
      <w:marRight w:val="0"/>
      <w:marTop w:val="0"/>
      <w:marBottom w:val="0"/>
      <w:divBdr>
        <w:top w:val="none" w:sz="0" w:space="0" w:color="auto"/>
        <w:left w:val="none" w:sz="0" w:space="0" w:color="auto"/>
        <w:bottom w:val="none" w:sz="0" w:space="0" w:color="auto"/>
        <w:right w:val="none" w:sz="0" w:space="0" w:color="auto"/>
      </w:divBdr>
    </w:div>
    <w:div w:id="1156729756">
      <w:bodyDiv w:val="1"/>
      <w:marLeft w:val="0"/>
      <w:marRight w:val="0"/>
      <w:marTop w:val="0"/>
      <w:marBottom w:val="0"/>
      <w:divBdr>
        <w:top w:val="none" w:sz="0" w:space="0" w:color="auto"/>
        <w:left w:val="none" w:sz="0" w:space="0" w:color="auto"/>
        <w:bottom w:val="none" w:sz="0" w:space="0" w:color="auto"/>
        <w:right w:val="none" w:sz="0" w:space="0" w:color="auto"/>
      </w:divBdr>
    </w:div>
    <w:div w:id="1157460728">
      <w:bodyDiv w:val="1"/>
      <w:marLeft w:val="0"/>
      <w:marRight w:val="0"/>
      <w:marTop w:val="0"/>
      <w:marBottom w:val="0"/>
      <w:divBdr>
        <w:top w:val="none" w:sz="0" w:space="0" w:color="auto"/>
        <w:left w:val="none" w:sz="0" w:space="0" w:color="auto"/>
        <w:bottom w:val="none" w:sz="0" w:space="0" w:color="auto"/>
        <w:right w:val="none" w:sz="0" w:space="0" w:color="auto"/>
      </w:divBdr>
    </w:div>
    <w:div w:id="1159149593">
      <w:bodyDiv w:val="1"/>
      <w:marLeft w:val="0"/>
      <w:marRight w:val="0"/>
      <w:marTop w:val="0"/>
      <w:marBottom w:val="0"/>
      <w:divBdr>
        <w:top w:val="none" w:sz="0" w:space="0" w:color="auto"/>
        <w:left w:val="none" w:sz="0" w:space="0" w:color="auto"/>
        <w:bottom w:val="none" w:sz="0" w:space="0" w:color="auto"/>
        <w:right w:val="none" w:sz="0" w:space="0" w:color="auto"/>
      </w:divBdr>
    </w:div>
    <w:div w:id="1163472718">
      <w:bodyDiv w:val="1"/>
      <w:marLeft w:val="0"/>
      <w:marRight w:val="0"/>
      <w:marTop w:val="0"/>
      <w:marBottom w:val="0"/>
      <w:divBdr>
        <w:top w:val="none" w:sz="0" w:space="0" w:color="auto"/>
        <w:left w:val="none" w:sz="0" w:space="0" w:color="auto"/>
        <w:bottom w:val="none" w:sz="0" w:space="0" w:color="auto"/>
        <w:right w:val="none" w:sz="0" w:space="0" w:color="auto"/>
      </w:divBdr>
    </w:div>
    <w:div w:id="1166752610">
      <w:bodyDiv w:val="1"/>
      <w:marLeft w:val="0"/>
      <w:marRight w:val="0"/>
      <w:marTop w:val="0"/>
      <w:marBottom w:val="0"/>
      <w:divBdr>
        <w:top w:val="none" w:sz="0" w:space="0" w:color="auto"/>
        <w:left w:val="none" w:sz="0" w:space="0" w:color="auto"/>
        <w:bottom w:val="none" w:sz="0" w:space="0" w:color="auto"/>
        <w:right w:val="none" w:sz="0" w:space="0" w:color="auto"/>
      </w:divBdr>
    </w:div>
    <w:div w:id="1168135214">
      <w:bodyDiv w:val="1"/>
      <w:marLeft w:val="0"/>
      <w:marRight w:val="0"/>
      <w:marTop w:val="0"/>
      <w:marBottom w:val="0"/>
      <w:divBdr>
        <w:top w:val="none" w:sz="0" w:space="0" w:color="auto"/>
        <w:left w:val="none" w:sz="0" w:space="0" w:color="auto"/>
        <w:bottom w:val="none" w:sz="0" w:space="0" w:color="auto"/>
        <w:right w:val="none" w:sz="0" w:space="0" w:color="auto"/>
      </w:divBdr>
    </w:div>
    <w:div w:id="1172985404">
      <w:bodyDiv w:val="1"/>
      <w:marLeft w:val="0"/>
      <w:marRight w:val="0"/>
      <w:marTop w:val="0"/>
      <w:marBottom w:val="0"/>
      <w:divBdr>
        <w:top w:val="none" w:sz="0" w:space="0" w:color="auto"/>
        <w:left w:val="none" w:sz="0" w:space="0" w:color="auto"/>
        <w:bottom w:val="none" w:sz="0" w:space="0" w:color="auto"/>
        <w:right w:val="none" w:sz="0" w:space="0" w:color="auto"/>
      </w:divBdr>
    </w:div>
    <w:div w:id="1175077021">
      <w:bodyDiv w:val="1"/>
      <w:marLeft w:val="0"/>
      <w:marRight w:val="0"/>
      <w:marTop w:val="0"/>
      <w:marBottom w:val="0"/>
      <w:divBdr>
        <w:top w:val="none" w:sz="0" w:space="0" w:color="auto"/>
        <w:left w:val="none" w:sz="0" w:space="0" w:color="auto"/>
        <w:bottom w:val="none" w:sz="0" w:space="0" w:color="auto"/>
        <w:right w:val="none" w:sz="0" w:space="0" w:color="auto"/>
      </w:divBdr>
    </w:div>
    <w:div w:id="1177232674">
      <w:bodyDiv w:val="1"/>
      <w:marLeft w:val="0"/>
      <w:marRight w:val="0"/>
      <w:marTop w:val="0"/>
      <w:marBottom w:val="0"/>
      <w:divBdr>
        <w:top w:val="none" w:sz="0" w:space="0" w:color="auto"/>
        <w:left w:val="none" w:sz="0" w:space="0" w:color="auto"/>
        <w:bottom w:val="none" w:sz="0" w:space="0" w:color="auto"/>
        <w:right w:val="none" w:sz="0" w:space="0" w:color="auto"/>
      </w:divBdr>
    </w:div>
    <w:div w:id="1183010666">
      <w:bodyDiv w:val="1"/>
      <w:marLeft w:val="0"/>
      <w:marRight w:val="0"/>
      <w:marTop w:val="0"/>
      <w:marBottom w:val="0"/>
      <w:divBdr>
        <w:top w:val="none" w:sz="0" w:space="0" w:color="auto"/>
        <w:left w:val="none" w:sz="0" w:space="0" w:color="auto"/>
        <w:bottom w:val="none" w:sz="0" w:space="0" w:color="auto"/>
        <w:right w:val="none" w:sz="0" w:space="0" w:color="auto"/>
      </w:divBdr>
    </w:div>
    <w:div w:id="1183282226">
      <w:bodyDiv w:val="1"/>
      <w:marLeft w:val="0"/>
      <w:marRight w:val="0"/>
      <w:marTop w:val="0"/>
      <w:marBottom w:val="0"/>
      <w:divBdr>
        <w:top w:val="none" w:sz="0" w:space="0" w:color="auto"/>
        <w:left w:val="none" w:sz="0" w:space="0" w:color="auto"/>
        <w:bottom w:val="none" w:sz="0" w:space="0" w:color="auto"/>
        <w:right w:val="none" w:sz="0" w:space="0" w:color="auto"/>
      </w:divBdr>
    </w:div>
    <w:div w:id="1184782831">
      <w:bodyDiv w:val="1"/>
      <w:marLeft w:val="0"/>
      <w:marRight w:val="0"/>
      <w:marTop w:val="0"/>
      <w:marBottom w:val="0"/>
      <w:divBdr>
        <w:top w:val="none" w:sz="0" w:space="0" w:color="auto"/>
        <w:left w:val="none" w:sz="0" w:space="0" w:color="auto"/>
        <w:bottom w:val="none" w:sz="0" w:space="0" w:color="auto"/>
        <w:right w:val="none" w:sz="0" w:space="0" w:color="auto"/>
      </w:divBdr>
    </w:div>
    <w:div w:id="1186557957">
      <w:bodyDiv w:val="1"/>
      <w:marLeft w:val="0"/>
      <w:marRight w:val="0"/>
      <w:marTop w:val="0"/>
      <w:marBottom w:val="0"/>
      <w:divBdr>
        <w:top w:val="none" w:sz="0" w:space="0" w:color="auto"/>
        <w:left w:val="none" w:sz="0" w:space="0" w:color="auto"/>
        <w:bottom w:val="none" w:sz="0" w:space="0" w:color="auto"/>
        <w:right w:val="none" w:sz="0" w:space="0" w:color="auto"/>
      </w:divBdr>
    </w:div>
    <w:div w:id="1190149071">
      <w:bodyDiv w:val="1"/>
      <w:marLeft w:val="0"/>
      <w:marRight w:val="0"/>
      <w:marTop w:val="0"/>
      <w:marBottom w:val="0"/>
      <w:divBdr>
        <w:top w:val="none" w:sz="0" w:space="0" w:color="auto"/>
        <w:left w:val="none" w:sz="0" w:space="0" w:color="auto"/>
        <w:bottom w:val="none" w:sz="0" w:space="0" w:color="auto"/>
        <w:right w:val="none" w:sz="0" w:space="0" w:color="auto"/>
      </w:divBdr>
    </w:div>
    <w:div w:id="1191917067">
      <w:bodyDiv w:val="1"/>
      <w:marLeft w:val="0"/>
      <w:marRight w:val="0"/>
      <w:marTop w:val="0"/>
      <w:marBottom w:val="0"/>
      <w:divBdr>
        <w:top w:val="none" w:sz="0" w:space="0" w:color="auto"/>
        <w:left w:val="none" w:sz="0" w:space="0" w:color="auto"/>
        <w:bottom w:val="none" w:sz="0" w:space="0" w:color="auto"/>
        <w:right w:val="none" w:sz="0" w:space="0" w:color="auto"/>
      </w:divBdr>
    </w:div>
    <w:div w:id="1197502549">
      <w:bodyDiv w:val="1"/>
      <w:marLeft w:val="0"/>
      <w:marRight w:val="0"/>
      <w:marTop w:val="0"/>
      <w:marBottom w:val="0"/>
      <w:divBdr>
        <w:top w:val="none" w:sz="0" w:space="0" w:color="auto"/>
        <w:left w:val="none" w:sz="0" w:space="0" w:color="auto"/>
        <w:bottom w:val="none" w:sz="0" w:space="0" w:color="auto"/>
        <w:right w:val="none" w:sz="0" w:space="0" w:color="auto"/>
      </w:divBdr>
    </w:div>
    <w:div w:id="1200046983">
      <w:bodyDiv w:val="1"/>
      <w:marLeft w:val="0"/>
      <w:marRight w:val="0"/>
      <w:marTop w:val="0"/>
      <w:marBottom w:val="0"/>
      <w:divBdr>
        <w:top w:val="none" w:sz="0" w:space="0" w:color="auto"/>
        <w:left w:val="none" w:sz="0" w:space="0" w:color="auto"/>
        <w:bottom w:val="none" w:sz="0" w:space="0" w:color="auto"/>
        <w:right w:val="none" w:sz="0" w:space="0" w:color="auto"/>
      </w:divBdr>
    </w:div>
    <w:div w:id="1200510669">
      <w:bodyDiv w:val="1"/>
      <w:marLeft w:val="0"/>
      <w:marRight w:val="0"/>
      <w:marTop w:val="0"/>
      <w:marBottom w:val="0"/>
      <w:divBdr>
        <w:top w:val="none" w:sz="0" w:space="0" w:color="auto"/>
        <w:left w:val="none" w:sz="0" w:space="0" w:color="auto"/>
        <w:bottom w:val="none" w:sz="0" w:space="0" w:color="auto"/>
        <w:right w:val="none" w:sz="0" w:space="0" w:color="auto"/>
      </w:divBdr>
    </w:div>
    <w:div w:id="1201284551">
      <w:bodyDiv w:val="1"/>
      <w:marLeft w:val="0"/>
      <w:marRight w:val="0"/>
      <w:marTop w:val="0"/>
      <w:marBottom w:val="0"/>
      <w:divBdr>
        <w:top w:val="none" w:sz="0" w:space="0" w:color="auto"/>
        <w:left w:val="none" w:sz="0" w:space="0" w:color="auto"/>
        <w:bottom w:val="none" w:sz="0" w:space="0" w:color="auto"/>
        <w:right w:val="none" w:sz="0" w:space="0" w:color="auto"/>
      </w:divBdr>
    </w:div>
    <w:div w:id="1202784670">
      <w:bodyDiv w:val="1"/>
      <w:marLeft w:val="0"/>
      <w:marRight w:val="0"/>
      <w:marTop w:val="0"/>
      <w:marBottom w:val="0"/>
      <w:divBdr>
        <w:top w:val="none" w:sz="0" w:space="0" w:color="auto"/>
        <w:left w:val="none" w:sz="0" w:space="0" w:color="auto"/>
        <w:bottom w:val="none" w:sz="0" w:space="0" w:color="auto"/>
        <w:right w:val="none" w:sz="0" w:space="0" w:color="auto"/>
      </w:divBdr>
    </w:div>
    <w:div w:id="1203130193">
      <w:bodyDiv w:val="1"/>
      <w:marLeft w:val="0"/>
      <w:marRight w:val="0"/>
      <w:marTop w:val="0"/>
      <w:marBottom w:val="0"/>
      <w:divBdr>
        <w:top w:val="none" w:sz="0" w:space="0" w:color="auto"/>
        <w:left w:val="none" w:sz="0" w:space="0" w:color="auto"/>
        <w:bottom w:val="none" w:sz="0" w:space="0" w:color="auto"/>
        <w:right w:val="none" w:sz="0" w:space="0" w:color="auto"/>
      </w:divBdr>
    </w:div>
    <w:div w:id="1203251249">
      <w:bodyDiv w:val="1"/>
      <w:marLeft w:val="0"/>
      <w:marRight w:val="0"/>
      <w:marTop w:val="0"/>
      <w:marBottom w:val="0"/>
      <w:divBdr>
        <w:top w:val="none" w:sz="0" w:space="0" w:color="auto"/>
        <w:left w:val="none" w:sz="0" w:space="0" w:color="auto"/>
        <w:bottom w:val="none" w:sz="0" w:space="0" w:color="auto"/>
        <w:right w:val="none" w:sz="0" w:space="0" w:color="auto"/>
      </w:divBdr>
    </w:div>
    <w:div w:id="1205141536">
      <w:bodyDiv w:val="1"/>
      <w:marLeft w:val="0"/>
      <w:marRight w:val="0"/>
      <w:marTop w:val="0"/>
      <w:marBottom w:val="0"/>
      <w:divBdr>
        <w:top w:val="none" w:sz="0" w:space="0" w:color="auto"/>
        <w:left w:val="none" w:sz="0" w:space="0" w:color="auto"/>
        <w:bottom w:val="none" w:sz="0" w:space="0" w:color="auto"/>
        <w:right w:val="none" w:sz="0" w:space="0" w:color="auto"/>
      </w:divBdr>
    </w:div>
    <w:div w:id="1209992722">
      <w:bodyDiv w:val="1"/>
      <w:marLeft w:val="0"/>
      <w:marRight w:val="0"/>
      <w:marTop w:val="0"/>
      <w:marBottom w:val="0"/>
      <w:divBdr>
        <w:top w:val="none" w:sz="0" w:space="0" w:color="auto"/>
        <w:left w:val="none" w:sz="0" w:space="0" w:color="auto"/>
        <w:bottom w:val="none" w:sz="0" w:space="0" w:color="auto"/>
        <w:right w:val="none" w:sz="0" w:space="0" w:color="auto"/>
      </w:divBdr>
    </w:div>
    <w:div w:id="1212303500">
      <w:bodyDiv w:val="1"/>
      <w:marLeft w:val="0"/>
      <w:marRight w:val="0"/>
      <w:marTop w:val="0"/>
      <w:marBottom w:val="0"/>
      <w:divBdr>
        <w:top w:val="none" w:sz="0" w:space="0" w:color="auto"/>
        <w:left w:val="none" w:sz="0" w:space="0" w:color="auto"/>
        <w:bottom w:val="none" w:sz="0" w:space="0" w:color="auto"/>
        <w:right w:val="none" w:sz="0" w:space="0" w:color="auto"/>
      </w:divBdr>
    </w:div>
    <w:div w:id="1213037410">
      <w:bodyDiv w:val="1"/>
      <w:marLeft w:val="0"/>
      <w:marRight w:val="0"/>
      <w:marTop w:val="0"/>
      <w:marBottom w:val="0"/>
      <w:divBdr>
        <w:top w:val="none" w:sz="0" w:space="0" w:color="auto"/>
        <w:left w:val="none" w:sz="0" w:space="0" w:color="auto"/>
        <w:bottom w:val="none" w:sz="0" w:space="0" w:color="auto"/>
        <w:right w:val="none" w:sz="0" w:space="0" w:color="auto"/>
      </w:divBdr>
    </w:div>
    <w:div w:id="1213661967">
      <w:bodyDiv w:val="1"/>
      <w:marLeft w:val="0"/>
      <w:marRight w:val="0"/>
      <w:marTop w:val="0"/>
      <w:marBottom w:val="0"/>
      <w:divBdr>
        <w:top w:val="none" w:sz="0" w:space="0" w:color="auto"/>
        <w:left w:val="none" w:sz="0" w:space="0" w:color="auto"/>
        <w:bottom w:val="none" w:sz="0" w:space="0" w:color="auto"/>
        <w:right w:val="none" w:sz="0" w:space="0" w:color="auto"/>
      </w:divBdr>
    </w:div>
    <w:div w:id="1216090104">
      <w:bodyDiv w:val="1"/>
      <w:marLeft w:val="0"/>
      <w:marRight w:val="0"/>
      <w:marTop w:val="0"/>
      <w:marBottom w:val="0"/>
      <w:divBdr>
        <w:top w:val="none" w:sz="0" w:space="0" w:color="auto"/>
        <w:left w:val="none" w:sz="0" w:space="0" w:color="auto"/>
        <w:bottom w:val="none" w:sz="0" w:space="0" w:color="auto"/>
        <w:right w:val="none" w:sz="0" w:space="0" w:color="auto"/>
      </w:divBdr>
    </w:div>
    <w:div w:id="1219122378">
      <w:bodyDiv w:val="1"/>
      <w:marLeft w:val="0"/>
      <w:marRight w:val="0"/>
      <w:marTop w:val="0"/>
      <w:marBottom w:val="0"/>
      <w:divBdr>
        <w:top w:val="none" w:sz="0" w:space="0" w:color="auto"/>
        <w:left w:val="none" w:sz="0" w:space="0" w:color="auto"/>
        <w:bottom w:val="none" w:sz="0" w:space="0" w:color="auto"/>
        <w:right w:val="none" w:sz="0" w:space="0" w:color="auto"/>
      </w:divBdr>
    </w:div>
    <w:div w:id="1224097294">
      <w:bodyDiv w:val="1"/>
      <w:marLeft w:val="0"/>
      <w:marRight w:val="0"/>
      <w:marTop w:val="0"/>
      <w:marBottom w:val="0"/>
      <w:divBdr>
        <w:top w:val="none" w:sz="0" w:space="0" w:color="auto"/>
        <w:left w:val="none" w:sz="0" w:space="0" w:color="auto"/>
        <w:bottom w:val="none" w:sz="0" w:space="0" w:color="auto"/>
        <w:right w:val="none" w:sz="0" w:space="0" w:color="auto"/>
      </w:divBdr>
    </w:div>
    <w:div w:id="1226793415">
      <w:bodyDiv w:val="1"/>
      <w:marLeft w:val="0"/>
      <w:marRight w:val="0"/>
      <w:marTop w:val="0"/>
      <w:marBottom w:val="0"/>
      <w:divBdr>
        <w:top w:val="none" w:sz="0" w:space="0" w:color="auto"/>
        <w:left w:val="none" w:sz="0" w:space="0" w:color="auto"/>
        <w:bottom w:val="none" w:sz="0" w:space="0" w:color="auto"/>
        <w:right w:val="none" w:sz="0" w:space="0" w:color="auto"/>
      </w:divBdr>
    </w:div>
    <w:div w:id="1227574549">
      <w:bodyDiv w:val="1"/>
      <w:marLeft w:val="0"/>
      <w:marRight w:val="0"/>
      <w:marTop w:val="0"/>
      <w:marBottom w:val="0"/>
      <w:divBdr>
        <w:top w:val="none" w:sz="0" w:space="0" w:color="auto"/>
        <w:left w:val="none" w:sz="0" w:space="0" w:color="auto"/>
        <w:bottom w:val="none" w:sz="0" w:space="0" w:color="auto"/>
        <w:right w:val="none" w:sz="0" w:space="0" w:color="auto"/>
      </w:divBdr>
    </w:div>
    <w:div w:id="1228761309">
      <w:bodyDiv w:val="1"/>
      <w:marLeft w:val="0"/>
      <w:marRight w:val="0"/>
      <w:marTop w:val="0"/>
      <w:marBottom w:val="0"/>
      <w:divBdr>
        <w:top w:val="none" w:sz="0" w:space="0" w:color="auto"/>
        <w:left w:val="none" w:sz="0" w:space="0" w:color="auto"/>
        <w:bottom w:val="none" w:sz="0" w:space="0" w:color="auto"/>
        <w:right w:val="none" w:sz="0" w:space="0" w:color="auto"/>
      </w:divBdr>
    </w:div>
    <w:div w:id="1228802287">
      <w:bodyDiv w:val="1"/>
      <w:marLeft w:val="0"/>
      <w:marRight w:val="0"/>
      <w:marTop w:val="0"/>
      <w:marBottom w:val="0"/>
      <w:divBdr>
        <w:top w:val="none" w:sz="0" w:space="0" w:color="auto"/>
        <w:left w:val="none" w:sz="0" w:space="0" w:color="auto"/>
        <w:bottom w:val="none" w:sz="0" w:space="0" w:color="auto"/>
        <w:right w:val="none" w:sz="0" w:space="0" w:color="auto"/>
      </w:divBdr>
    </w:div>
    <w:div w:id="1232883882">
      <w:bodyDiv w:val="1"/>
      <w:marLeft w:val="0"/>
      <w:marRight w:val="0"/>
      <w:marTop w:val="0"/>
      <w:marBottom w:val="0"/>
      <w:divBdr>
        <w:top w:val="none" w:sz="0" w:space="0" w:color="auto"/>
        <w:left w:val="none" w:sz="0" w:space="0" w:color="auto"/>
        <w:bottom w:val="none" w:sz="0" w:space="0" w:color="auto"/>
        <w:right w:val="none" w:sz="0" w:space="0" w:color="auto"/>
      </w:divBdr>
    </w:div>
    <w:div w:id="1234586240">
      <w:bodyDiv w:val="1"/>
      <w:marLeft w:val="0"/>
      <w:marRight w:val="0"/>
      <w:marTop w:val="0"/>
      <w:marBottom w:val="0"/>
      <w:divBdr>
        <w:top w:val="none" w:sz="0" w:space="0" w:color="auto"/>
        <w:left w:val="none" w:sz="0" w:space="0" w:color="auto"/>
        <w:bottom w:val="none" w:sz="0" w:space="0" w:color="auto"/>
        <w:right w:val="none" w:sz="0" w:space="0" w:color="auto"/>
      </w:divBdr>
    </w:div>
    <w:div w:id="1235628740">
      <w:bodyDiv w:val="1"/>
      <w:marLeft w:val="0"/>
      <w:marRight w:val="0"/>
      <w:marTop w:val="0"/>
      <w:marBottom w:val="0"/>
      <w:divBdr>
        <w:top w:val="none" w:sz="0" w:space="0" w:color="auto"/>
        <w:left w:val="none" w:sz="0" w:space="0" w:color="auto"/>
        <w:bottom w:val="none" w:sz="0" w:space="0" w:color="auto"/>
        <w:right w:val="none" w:sz="0" w:space="0" w:color="auto"/>
      </w:divBdr>
    </w:div>
    <w:div w:id="1241139429">
      <w:bodyDiv w:val="1"/>
      <w:marLeft w:val="0"/>
      <w:marRight w:val="0"/>
      <w:marTop w:val="0"/>
      <w:marBottom w:val="0"/>
      <w:divBdr>
        <w:top w:val="none" w:sz="0" w:space="0" w:color="auto"/>
        <w:left w:val="none" w:sz="0" w:space="0" w:color="auto"/>
        <w:bottom w:val="none" w:sz="0" w:space="0" w:color="auto"/>
        <w:right w:val="none" w:sz="0" w:space="0" w:color="auto"/>
      </w:divBdr>
    </w:div>
    <w:div w:id="1242445021">
      <w:bodyDiv w:val="1"/>
      <w:marLeft w:val="0"/>
      <w:marRight w:val="0"/>
      <w:marTop w:val="0"/>
      <w:marBottom w:val="0"/>
      <w:divBdr>
        <w:top w:val="none" w:sz="0" w:space="0" w:color="auto"/>
        <w:left w:val="none" w:sz="0" w:space="0" w:color="auto"/>
        <w:bottom w:val="none" w:sz="0" w:space="0" w:color="auto"/>
        <w:right w:val="none" w:sz="0" w:space="0" w:color="auto"/>
      </w:divBdr>
    </w:div>
    <w:div w:id="1243218408">
      <w:bodyDiv w:val="1"/>
      <w:marLeft w:val="0"/>
      <w:marRight w:val="0"/>
      <w:marTop w:val="0"/>
      <w:marBottom w:val="0"/>
      <w:divBdr>
        <w:top w:val="none" w:sz="0" w:space="0" w:color="auto"/>
        <w:left w:val="none" w:sz="0" w:space="0" w:color="auto"/>
        <w:bottom w:val="none" w:sz="0" w:space="0" w:color="auto"/>
        <w:right w:val="none" w:sz="0" w:space="0" w:color="auto"/>
      </w:divBdr>
    </w:div>
    <w:div w:id="1244030528">
      <w:bodyDiv w:val="1"/>
      <w:marLeft w:val="0"/>
      <w:marRight w:val="0"/>
      <w:marTop w:val="0"/>
      <w:marBottom w:val="0"/>
      <w:divBdr>
        <w:top w:val="none" w:sz="0" w:space="0" w:color="auto"/>
        <w:left w:val="none" w:sz="0" w:space="0" w:color="auto"/>
        <w:bottom w:val="none" w:sz="0" w:space="0" w:color="auto"/>
        <w:right w:val="none" w:sz="0" w:space="0" w:color="auto"/>
      </w:divBdr>
    </w:div>
    <w:div w:id="1248151806">
      <w:bodyDiv w:val="1"/>
      <w:marLeft w:val="0"/>
      <w:marRight w:val="0"/>
      <w:marTop w:val="0"/>
      <w:marBottom w:val="0"/>
      <w:divBdr>
        <w:top w:val="none" w:sz="0" w:space="0" w:color="auto"/>
        <w:left w:val="none" w:sz="0" w:space="0" w:color="auto"/>
        <w:bottom w:val="none" w:sz="0" w:space="0" w:color="auto"/>
        <w:right w:val="none" w:sz="0" w:space="0" w:color="auto"/>
      </w:divBdr>
    </w:div>
    <w:div w:id="1251156494">
      <w:bodyDiv w:val="1"/>
      <w:marLeft w:val="0"/>
      <w:marRight w:val="0"/>
      <w:marTop w:val="0"/>
      <w:marBottom w:val="0"/>
      <w:divBdr>
        <w:top w:val="none" w:sz="0" w:space="0" w:color="auto"/>
        <w:left w:val="none" w:sz="0" w:space="0" w:color="auto"/>
        <w:bottom w:val="none" w:sz="0" w:space="0" w:color="auto"/>
        <w:right w:val="none" w:sz="0" w:space="0" w:color="auto"/>
      </w:divBdr>
    </w:div>
    <w:div w:id="1252162568">
      <w:bodyDiv w:val="1"/>
      <w:marLeft w:val="0"/>
      <w:marRight w:val="0"/>
      <w:marTop w:val="0"/>
      <w:marBottom w:val="0"/>
      <w:divBdr>
        <w:top w:val="none" w:sz="0" w:space="0" w:color="auto"/>
        <w:left w:val="none" w:sz="0" w:space="0" w:color="auto"/>
        <w:bottom w:val="none" w:sz="0" w:space="0" w:color="auto"/>
        <w:right w:val="none" w:sz="0" w:space="0" w:color="auto"/>
      </w:divBdr>
    </w:div>
    <w:div w:id="1252469485">
      <w:bodyDiv w:val="1"/>
      <w:marLeft w:val="0"/>
      <w:marRight w:val="0"/>
      <w:marTop w:val="0"/>
      <w:marBottom w:val="0"/>
      <w:divBdr>
        <w:top w:val="none" w:sz="0" w:space="0" w:color="auto"/>
        <w:left w:val="none" w:sz="0" w:space="0" w:color="auto"/>
        <w:bottom w:val="none" w:sz="0" w:space="0" w:color="auto"/>
        <w:right w:val="none" w:sz="0" w:space="0" w:color="auto"/>
      </w:divBdr>
    </w:div>
    <w:div w:id="1255551387">
      <w:bodyDiv w:val="1"/>
      <w:marLeft w:val="0"/>
      <w:marRight w:val="0"/>
      <w:marTop w:val="0"/>
      <w:marBottom w:val="0"/>
      <w:divBdr>
        <w:top w:val="none" w:sz="0" w:space="0" w:color="auto"/>
        <w:left w:val="none" w:sz="0" w:space="0" w:color="auto"/>
        <w:bottom w:val="none" w:sz="0" w:space="0" w:color="auto"/>
        <w:right w:val="none" w:sz="0" w:space="0" w:color="auto"/>
      </w:divBdr>
    </w:div>
    <w:div w:id="1256283368">
      <w:bodyDiv w:val="1"/>
      <w:marLeft w:val="0"/>
      <w:marRight w:val="0"/>
      <w:marTop w:val="0"/>
      <w:marBottom w:val="0"/>
      <w:divBdr>
        <w:top w:val="none" w:sz="0" w:space="0" w:color="auto"/>
        <w:left w:val="none" w:sz="0" w:space="0" w:color="auto"/>
        <w:bottom w:val="none" w:sz="0" w:space="0" w:color="auto"/>
        <w:right w:val="none" w:sz="0" w:space="0" w:color="auto"/>
      </w:divBdr>
    </w:div>
    <w:div w:id="1256941027">
      <w:bodyDiv w:val="1"/>
      <w:marLeft w:val="0"/>
      <w:marRight w:val="0"/>
      <w:marTop w:val="0"/>
      <w:marBottom w:val="0"/>
      <w:divBdr>
        <w:top w:val="none" w:sz="0" w:space="0" w:color="auto"/>
        <w:left w:val="none" w:sz="0" w:space="0" w:color="auto"/>
        <w:bottom w:val="none" w:sz="0" w:space="0" w:color="auto"/>
        <w:right w:val="none" w:sz="0" w:space="0" w:color="auto"/>
      </w:divBdr>
    </w:div>
    <w:div w:id="1258900880">
      <w:bodyDiv w:val="1"/>
      <w:marLeft w:val="0"/>
      <w:marRight w:val="0"/>
      <w:marTop w:val="0"/>
      <w:marBottom w:val="0"/>
      <w:divBdr>
        <w:top w:val="none" w:sz="0" w:space="0" w:color="auto"/>
        <w:left w:val="none" w:sz="0" w:space="0" w:color="auto"/>
        <w:bottom w:val="none" w:sz="0" w:space="0" w:color="auto"/>
        <w:right w:val="none" w:sz="0" w:space="0" w:color="auto"/>
      </w:divBdr>
    </w:div>
    <w:div w:id="1260337941">
      <w:bodyDiv w:val="1"/>
      <w:marLeft w:val="0"/>
      <w:marRight w:val="0"/>
      <w:marTop w:val="0"/>
      <w:marBottom w:val="0"/>
      <w:divBdr>
        <w:top w:val="none" w:sz="0" w:space="0" w:color="auto"/>
        <w:left w:val="none" w:sz="0" w:space="0" w:color="auto"/>
        <w:bottom w:val="none" w:sz="0" w:space="0" w:color="auto"/>
        <w:right w:val="none" w:sz="0" w:space="0" w:color="auto"/>
      </w:divBdr>
    </w:div>
    <w:div w:id="1265071482">
      <w:bodyDiv w:val="1"/>
      <w:marLeft w:val="0"/>
      <w:marRight w:val="0"/>
      <w:marTop w:val="0"/>
      <w:marBottom w:val="0"/>
      <w:divBdr>
        <w:top w:val="none" w:sz="0" w:space="0" w:color="auto"/>
        <w:left w:val="none" w:sz="0" w:space="0" w:color="auto"/>
        <w:bottom w:val="none" w:sz="0" w:space="0" w:color="auto"/>
        <w:right w:val="none" w:sz="0" w:space="0" w:color="auto"/>
      </w:divBdr>
    </w:div>
    <w:div w:id="1265843942">
      <w:bodyDiv w:val="1"/>
      <w:marLeft w:val="0"/>
      <w:marRight w:val="0"/>
      <w:marTop w:val="0"/>
      <w:marBottom w:val="0"/>
      <w:divBdr>
        <w:top w:val="none" w:sz="0" w:space="0" w:color="auto"/>
        <w:left w:val="none" w:sz="0" w:space="0" w:color="auto"/>
        <w:bottom w:val="none" w:sz="0" w:space="0" w:color="auto"/>
        <w:right w:val="none" w:sz="0" w:space="0" w:color="auto"/>
      </w:divBdr>
    </w:div>
    <w:div w:id="1266619919">
      <w:bodyDiv w:val="1"/>
      <w:marLeft w:val="0"/>
      <w:marRight w:val="0"/>
      <w:marTop w:val="0"/>
      <w:marBottom w:val="0"/>
      <w:divBdr>
        <w:top w:val="none" w:sz="0" w:space="0" w:color="auto"/>
        <w:left w:val="none" w:sz="0" w:space="0" w:color="auto"/>
        <w:bottom w:val="none" w:sz="0" w:space="0" w:color="auto"/>
        <w:right w:val="none" w:sz="0" w:space="0" w:color="auto"/>
      </w:divBdr>
    </w:div>
    <w:div w:id="1268467250">
      <w:bodyDiv w:val="1"/>
      <w:marLeft w:val="0"/>
      <w:marRight w:val="0"/>
      <w:marTop w:val="0"/>
      <w:marBottom w:val="0"/>
      <w:divBdr>
        <w:top w:val="none" w:sz="0" w:space="0" w:color="auto"/>
        <w:left w:val="none" w:sz="0" w:space="0" w:color="auto"/>
        <w:bottom w:val="none" w:sz="0" w:space="0" w:color="auto"/>
        <w:right w:val="none" w:sz="0" w:space="0" w:color="auto"/>
      </w:divBdr>
      <w:divsChild>
        <w:div w:id="2141461508">
          <w:marLeft w:val="0"/>
          <w:marRight w:val="0"/>
          <w:marTop w:val="144"/>
          <w:marBottom w:val="144"/>
          <w:divBdr>
            <w:top w:val="none" w:sz="0" w:space="0" w:color="auto"/>
            <w:left w:val="none" w:sz="0" w:space="0" w:color="auto"/>
            <w:bottom w:val="none" w:sz="0" w:space="0" w:color="auto"/>
            <w:right w:val="none" w:sz="0" w:space="0" w:color="auto"/>
          </w:divBdr>
        </w:div>
      </w:divsChild>
    </w:div>
    <w:div w:id="1271820063">
      <w:bodyDiv w:val="1"/>
      <w:marLeft w:val="0"/>
      <w:marRight w:val="0"/>
      <w:marTop w:val="0"/>
      <w:marBottom w:val="0"/>
      <w:divBdr>
        <w:top w:val="none" w:sz="0" w:space="0" w:color="auto"/>
        <w:left w:val="none" w:sz="0" w:space="0" w:color="auto"/>
        <w:bottom w:val="none" w:sz="0" w:space="0" w:color="auto"/>
        <w:right w:val="none" w:sz="0" w:space="0" w:color="auto"/>
      </w:divBdr>
    </w:div>
    <w:div w:id="1277787985">
      <w:bodyDiv w:val="1"/>
      <w:marLeft w:val="0"/>
      <w:marRight w:val="0"/>
      <w:marTop w:val="0"/>
      <w:marBottom w:val="0"/>
      <w:divBdr>
        <w:top w:val="none" w:sz="0" w:space="0" w:color="auto"/>
        <w:left w:val="none" w:sz="0" w:space="0" w:color="auto"/>
        <w:bottom w:val="none" w:sz="0" w:space="0" w:color="auto"/>
        <w:right w:val="none" w:sz="0" w:space="0" w:color="auto"/>
      </w:divBdr>
    </w:div>
    <w:div w:id="1281909752">
      <w:bodyDiv w:val="1"/>
      <w:marLeft w:val="0"/>
      <w:marRight w:val="0"/>
      <w:marTop w:val="0"/>
      <w:marBottom w:val="0"/>
      <w:divBdr>
        <w:top w:val="none" w:sz="0" w:space="0" w:color="auto"/>
        <w:left w:val="none" w:sz="0" w:space="0" w:color="auto"/>
        <w:bottom w:val="none" w:sz="0" w:space="0" w:color="auto"/>
        <w:right w:val="none" w:sz="0" w:space="0" w:color="auto"/>
      </w:divBdr>
    </w:div>
    <w:div w:id="1282107809">
      <w:bodyDiv w:val="1"/>
      <w:marLeft w:val="0"/>
      <w:marRight w:val="0"/>
      <w:marTop w:val="0"/>
      <w:marBottom w:val="0"/>
      <w:divBdr>
        <w:top w:val="none" w:sz="0" w:space="0" w:color="auto"/>
        <w:left w:val="none" w:sz="0" w:space="0" w:color="auto"/>
        <w:bottom w:val="none" w:sz="0" w:space="0" w:color="auto"/>
        <w:right w:val="none" w:sz="0" w:space="0" w:color="auto"/>
      </w:divBdr>
    </w:div>
    <w:div w:id="1282612332">
      <w:bodyDiv w:val="1"/>
      <w:marLeft w:val="0"/>
      <w:marRight w:val="0"/>
      <w:marTop w:val="0"/>
      <w:marBottom w:val="0"/>
      <w:divBdr>
        <w:top w:val="none" w:sz="0" w:space="0" w:color="auto"/>
        <w:left w:val="none" w:sz="0" w:space="0" w:color="auto"/>
        <w:bottom w:val="none" w:sz="0" w:space="0" w:color="auto"/>
        <w:right w:val="none" w:sz="0" w:space="0" w:color="auto"/>
      </w:divBdr>
    </w:div>
    <w:div w:id="1287348518">
      <w:bodyDiv w:val="1"/>
      <w:marLeft w:val="0"/>
      <w:marRight w:val="0"/>
      <w:marTop w:val="0"/>
      <w:marBottom w:val="0"/>
      <w:divBdr>
        <w:top w:val="none" w:sz="0" w:space="0" w:color="auto"/>
        <w:left w:val="none" w:sz="0" w:space="0" w:color="auto"/>
        <w:bottom w:val="none" w:sz="0" w:space="0" w:color="auto"/>
        <w:right w:val="none" w:sz="0" w:space="0" w:color="auto"/>
      </w:divBdr>
    </w:div>
    <w:div w:id="1288118718">
      <w:bodyDiv w:val="1"/>
      <w:marLeft w:val="0"/>
      <w:marRight w:val="0"/>
      <w:marTop w:val="0"/>
      <w:marBottom w:val="0"/>
      <w:divBdr>
        <w:top w:val="none" w:sz="0" w:space="0" w:color="auto"/>
        <w:left w:val="none" w:sz="0" w:space="0" w:color="auto"/>
        <w:bottom w:val="none" w:sz="0" w:space="0" w:color="auto"/>
        <w:right w:val="none" w:sz="0" w:space="0" w:color="auto"/>
      </w:divBdr>
    </w:div>
    <w:div w:id="1288120860">
      <w:bodyDiv w:val="1"/>
      <w:marLeft w:val="0"/>
      <w:marRight w:val="0"/>
      <w:marTop w:val="0"/>
      <w:marBottom w:val="0"/>
      <w:divBdr>
        <w:top w:val="none" w:sz="0" w:space="0" w:color="auto"/>
        <w:left w:val="none" w:sz="0" w:space="0" w:color="auto"/>
        <w:bottom w:val="none" w:sz="0" w:space="0" w:color="auto"/>
        <w:right w:val="none" w:sz="0" w:space="0" w:color="auto"/>
      </w:divBdr>
    </w:div>
    <w:div w:id="1291983536">
      <w:bodyDiv w:val="1"/>
      <w:marLeft w:val="0"/>
      <w:marRight w:val="0"/>
      <w:marTop w:val="0"/>
      <w:marBottom w:val="0"/>
      <w:divBdr>
        <w:top w:val="none" w:sz="0" w:space="0" w:color="auto"/>
        <w:left w:val="none" w:sz="0" w:space="0" w:color="auto"/>
        <w:bottom w:val="none" w:sz="0" w:space="0" w:color="auto"/>
        <w:right w:val="none" w:sz="0" w:space="0" w:color="auto"/>
      </w:divBdr>
    </w:div>
    <w:div w:id="1294603421">
      <w:bodyDiv w:val="1"/>
      <w:marLeft w:val="0"/>
      <w:marRight w:val="0"/>
      <w:marTop w:val="0"/>
      <w:marBottom w:val="0"/>
      <w:divBdr>
        <w:top w:val="none" w:sz="0" w:space="0" w:color="auto"/>
        <w:left w:val="none" w:sz="0" w:space="0" w:color="auto"/>
        <w:bottom w:val="none" w:sz="0" w:space="0" w:color="auto"/>
        <w:right w:val="none" w:sz="0" w:space="0" w:color="auto"/>
      </w:divBdr>
    </w:div>
    <w:div w:id="1295332077">
      <w:bodyDiv w:val="1"/>
      <w:marLeft w:val="0"/>
      <w:marRight w:val="0"/>
      <w:marTop w:val="0"/>
      <w:marBottom w:val="0"/>
      <w:divBdr>
        <w:top w:val="none" w:sz="0" w:space="0" w:color="auto"/>
        <w:left w:val="none" w:sz="0" w:space="0" w:color="auto"/>
        <w:bottom w:val="none" w:sz="0" w:space="0" w:color="auto"/>
        <w:right w:val="none" w:sz="0" w:space="0" w:color="auto"/>
      </w:divBdr>
    </w:div>
    <w:div w:id="1296989130">
      <w:bodyDiv w:val="1"/>
      <w:marLeft w:val="0"/>
      <w:marRight w:val="0"/>
      <w:marTop w:val="0"/>
      <w:marBottom w:val="0"/>
      <w:divBdr>
        <w:top w:val="none" w:sz="0" w:space="0" w:color="auto"/>
        <w:left w:val="none" w:sz="0" w:space="0" w:color="auto"/>
        <w:bottom w:val="none" w:sz="0" w:space="0" w:color="auto"/>
        <w:right w:val="none" w:sz="0" w:space="0" w:color="auto"/>
      </w:divBdr>
    </w:div>
    <w:div w:id="1297875947">
      <w:bodyDiv w:val="1"/>
      <w:marLeft w:val="0"/>
      <w:marRight w:val="0"/>
      <w:marTop w:val="0"/>
      <w:marBottom w:val="0"/>
      <w:divBdr>
        <w:top w:val="none" w:sz="0" w:space="0" w:color="auto"/>
        <w:left w:val="none" w:sz="0" w:space="0" w:color="auto"/>
        <w:bottom w:val="none" w:sz="0" w:space="0" w:color="auto"/>
        <w:right w:val="none" w:sz="0" w:space="0" w:color="auto"/>
      </w:divBdr>
    </w:div>
    <w:div w:id="1298291897">
      <w:bodyDiv w:val="1"/>
      <w:marLeft w:val="0"/>
      <w:marRight w:val="0"/>
      <w:marTop w:val="0"/>
      <w:marBottom w:val="0"/>
      <w:divBdr>
        <w:top w:val="none" w:sz="0" w:space="0" w:color="auto"/>
        <w:left w:val="none" w:sz="0" w:space="0" w:color="auto"/>
        <w:bottom w:val="none" w:sz="0" w:space="0" w:color="auto"/>
        <w:right w:val="none" w:sz="0" w:space="0" w:color="auto"/>
      </w:divBdr>
    </w:div>
    <w:div w:id="1299409583">
      <w:bodyDiv w:val="1"/>
      <w:marLeft w:val="0"/>
      <w:marRight w:val="0"/>
      <w:marTop w:val="0"/>
      <w:marBottom w:val="0"/>
      <w:divBdr>
        <w:top w:val="none" w:sz="0" w:space="0" w:color="auto"/>
        <w:left w:val="none" w:sz="0" w:space="0" w:color="auto"/>
        <w:bottom w:val="none" w:sz="0" w:space="0" w:color="auto"/>
        <w:right w:val="none" w:sz="0" w:space="0" w:color="auto"/>
      </w:divBdr>
    </w:div>
    <w:div w:id="1300111922">
      <w:bodyDiv w:val="1"/>
      <w:marLeft w:val="0"/>
      <w:marRight w:val="0"/>
      <w:marTop w:val="0"/>
      <w:marBottom w:val="0"/>
      <w:divBdr>
        <w:top w:val="none" w:sz="0" w:space="0" w:color="auto"/>
        <w:left w:val="none" w:sz="0" w:space="0" w:color="auto"/>
        <w:bottom w:val="none" w:sz="0" w:space="0" w:color="auto"/>
        <w:right w:val="none" w:sz="0" w:space="0" w:color="auto"/>
      </w:divBdr>
    </w:div>
    <w:div w:id="1301380952">
      <w:bodyDiv w:val="1"/>
      <w:marLeft w:val="0"/>
      <w:marRight w:val="0"/>
      <w:marTop w:val="0"/>
      <w:marBottom w:val="0"/>
      <w:divBdr>
        <w:top w:val="none" w:sz="0" w:space="0" w:color="auto"/>
        <w:left w:val="none" w:sz="0" w:space="0" w:color="auto"/>
        <w:bottom w:val="none" w:sz="0" w:space="0" w:color="auto"/>
        <w:right w:val="none" w:sz="0" w:space="0" w:color="auto"/>
      </w:divBdr>
    </w:div>
    <w:div w:id="1306619485">
      <w:bodyDiv w:val="1"/>
      <w:marLeft w:val="0"/>
      <w:marRight w:val="0"/>
      <w:marTop w:val="0"/>
      <w:marBottom w:val="0"/>
      <w:divBdr>
        <w:top w:val="none" w:sz="0" w:space="0" w:color="auto"/>
        <w:left w:val="none" w:sz="0" w:space="0" w:color="auto"/>
        <w:bottom w:val="none" w:sz="0" w:space="0" w:color="auto"/>
        <w:right w:val="none" w:sz="0" w:space="0" w:color="auto"/>
      </w:divBdr>
    </w:div>
    <w:div w:id="1307977515">
      <w:bodyDiv w:val="1"/>
      <w:marLeft w:val="0"/>
      <w:marRight w:val="0"/>
      <w:marTop w:val="0"/>
      <w:marBottom w:val="0"/>
      <w:divBdr>
        <w:top w:val="none" w:sz="0" w:space="0" w:color="auto"/>
        <w:left w:val="none" w:sz="0" w:space="0" w:color="auto"/>
        <w:bottom w:val="none" w:sz="0" w:space="0" w:color="auto"/>
        <w:right w:val="none" w:sz="0" w:space="0" w:color="auto"/>
      </w:divBdr>
    </w:div>
    <w:div w:id="1310791494">
      <w:bodyDiv w:val="1"/>
      <w:marLeft w:val="0"/>
      <w:marRight w:val="0"/>
      <w:marTop w:val="0"/>
      <w:marBottom w:val="0"/>
      <w:divBdr>
        <w:top w:val="none" w:sz="0" w:space="0" w:color="auto"/>
        <w:left w:val="none" w:sz="0" w:space="0" w:color="auto"/>
        <w:bottom w:val="none" w:sz="0" w:space="0" w:color="auto"/>
        <w:right w:val="none" w:sz="0" w:space="0" w:color="auto"/>
      </w:divBdr>
    </w:div>
    <w:div w:id="1316563687">
      <w:bodyDiv w:val="1"/>
      <w:marLeft w:val="0"/>
      <w:marRight w:val="0"/>
      <w:marTop w:val="0"/>
      <w:marBottom w:val="0"/>
      <w:divBdr>
        <w:top w:val="none" w:sz="0" w:space="0" w:color="auto"/>
        <w:left w:val="none" w:sz="0" w:space="0" w:color="auto"/>
        <w:bottom w:val="none" w:sz="0" w:space="0" w:color="auto"/>
        <w:right w:val="none" w:sz="0" w:space="0" w:color="auto"/>
      </w:divBdr>
    </w:div>
    <w:div w:id="1318999108">
      <w:bodyDiv w:val="1"/>
      <w:marLeft w:val="0"/>
      <w:marRight w:val="0"/>
      <w:marTop w:val="0"/>
      <w:marBottom w:val="0"/>
      <w:divBdr>
        <w:top w:val="none" w:sz="0" w:space="0" w:color="auto"/>
        <w:left w:val="none" w:sz="0" w:space="0" w:color="auto"/>
        <w:bottom w:val="none" w:sz="0" w:space="0" w:color="auto"/>
        <w:right w:val="none" w:sz="0" w:space="0" w:color="auto"/>
      </w:divBdr>
    </w:div>
    <w:div w:id="1332373948">
      <w:bodyDiv w:val="1"/>
      <w:marLeft w:val="0"/>
      <w:marRight w:val="0"/>
      <w:marTop w:val="0"/>
      <w:marBottom w:val="0"/>
      <w:divBdr>
        <w:top w:val="none" w:sz="0" w:space="0" w:color="auto"/>
        <w:left w:val="none" w:sz="0" w:space="0" w:color="auto"/>
        <w:bottom w:val="none" w:sz="0" w:space="0" w:color="auto"/>
        <w:right w:val="none" w:sz="0" w:space="0" w:color="auto"/>
      </w:divBdr>
    </w:div>
    <w:div w:id="1335767541">
      <w:bodyDiv w:val="1"/>
      <w:marLeft w:val="0"/>
      <w:marRight w:val="0"/>
      <w:marTop w:val="0"/>
      <w:marBottom w:val="0"/>
      <w:divBdr>
        <w:top w:val="none" w:sz="0" w:space="0" w:color="auto"/>
        <w:left w:val="none" w:sz="0" w:space="0" w:color="auto"/>
        <w:bottom w:val="none" w:sz="0" w:space="0" w:color="auto"/>
        <w:right w:val="none" w:sz="0" w:space="0" w:color="auto"/>
      </w:divBdr>
    </w:div>
    <w:div w:id="1337802496">
      <w:bodyDiv w:val="1"/>
      <w:marLeft w:val="0"/>
      <w:marRight w:val="0"/>
      <w:marTop w:val="0"/>
      <w:marBottom w:val="0"/>
      <w:divBdr>
        <w:top w:val="none" w:sz="0" w:space="0" w:color="auto"/>
        <w:left w:val="none" w:sz="0" w:space="0" w:color="auto"/>
        <w:bottom w:val="none" w:sz="0" w:space="0" w:color="auto"/>
        <w:right w:val="none" w:sz="0" w:space="0" w:color="auto"/>
      </w:divBdr>
    </w:div>
    <w:div w:id="1341273631">
      <w:bodyDiv w:val="1"/>
      <w:marLeft w:val="0"/>
      <w:marRight w:val="0"/>
      <w:marTop w:val="0"/>
      <w:marBottom w:val="0"/>
      <w:divBdr>
        <w:top w:val="none" w:sz="0" w:space="0" w:color="auto"/>
        <w:left w:val="none" w:sz="0" w:space="0" w:color="auto"/>
        <w:bottom w:val="none" w:sz="0" w:space="0" w:color="auto"/>
        <w:right w:val="none" w:sz="0" w:space="0" w:color="auto"/>
      </w:divBdr>
    </w:div>
    <w:div w:id="1342270634">
      <w:bodyDiv w:val="1"/>
      <w:marLeft w:val="0"/>
      <w:marRight w:val="0"/>
      <w:marTop w:val="0"/>
      <w:marBottom w:val="0"/>
      <w:divBdr>
        <w:top w:val="none" w:sz="0" w:space="0" w:color="auto"/>
        <w:left w:val="none" w:sz="0" w:space="0" w:color="auto"/>
        <w:bottom w:val="none" w:sz="0" w:space="0" w:color="auto"/>
        <w:right w:val="none" w:sz="0" w:space="0" w:color="auto"/>
      </w:divBdr>
    </w:div>
    <w:div w:id="1349020298">
      <w:bodyDiv w:val="1"/>
      <w:marLeft w:val="0"/>
      <w:marRight w:val="0"/>
      <w:marTop w:val="0"/>
      <w:marBottom w:val="0"/>
      <w:divBdr>
        <w:top w:val="none" w:sz="0" w:space="0" w:color="auto"/>
        <w:left w:val="none" w:sz="0" w:space="0" w:color="auto"/>
        <w:bottom w:val="none" w:sz="0" w:space="0" w:color="auto"/>
        <w:right w:val="none" w:sz="0" w:space="0" w:color="auto"/>
      </w:divBdr>
    </w:div>
    <w:div w:id="1350175656">
      <w:bodyDiv w:val="1"/>
      <w:marLeft w:val="0"/>
      <w:marRight w:val="0"/>
      <w:marTop w:val="0"/>
      <w:marBottom w:val="0"/>
      <w:divBdr>
        <w:top w:val="none" w:sz="0" w:space="0" w:color="auto"/>
        <w:left w:val="none" w:sz="0" w:space="0" w:color="auto"/>
        <w:bottom w:val="none" w:sz="0" w:space="0" w:color="auto"/>
        <w:right w:val="none" w:sz="0" w:space="0" w:color="auto"/>
      </w:divBdr>
    </w:div>
    <w:div w:id="1351372516">
      <w:bodyDiv w:val="1"/>
      <w:marLeft w:val="0"/>
      <w:marRight w:val="0"/>
      <w:marTop w:val="0"/>
      <w:marBottom w:val="0"/>
      <w:divBdr>
        <w:top w:val="none" w:sz="0" w:space="0" w:color="auto"/>
        <w:left w:val="none" w:sz="0" w:space="0" w:color="auto"/>
        <w:bottom w:val="none" w:sz="0" w:space="0" w:color="auto"/>
        <w:right w:val="none" w:sz="0" w:space="0" w:color="auto"/>
      </w:divBdr>
    </w:div>
    <w:div w:id="1353844510">
      <w:bodyDiv w:val="1"/>
      <w:marLeft w:val="0"/>
      <w:marRight w:val="0"/>
      <w:marTop w:val="0"/>
      <w:marBottom w:val="0"/>
      <w:divBdr>
        <w:top w:val="none" w:sz="0" w:space="0" w:color="auto"/>
        <w:left w:val="none" w:sz="0" w:space="0" w:color="auto"/>
        <w:bottom w:val="none" w:sz="0" w:space="0" w:color="auto"/>
        <w:right w:val="none" w:sz="0" w:space="0" w:color="auto"/>
      </w:divBdr>
    </w:div>
    <w:div w:id="1354186621">
      <w:bodyDiv w:val="1"/>
      <w:marLeft w:val="0"/>
      <w:marRight w:val="0"/>
      <w:marTop w:val="0"/>
      <w:marBottom w:val="0"/>
      <w:divBdr>
        <w:top w:val="none" w:sz="0" w:space="0" w:color="auto"/>
        <w:left w:val="none" w:sz="0" w:space="0" w:color="auto"/>
        <w:bottom w:val="none" w:sz="0" w:space="0" w:color="auto"/>
        <w:right w:val="none" w:sz="0" w:space="0" w:color="auto"/>
      </w:divBdr>
    </w:div>
    <w:div w:id="1357658545">
      <w:bodyDiv w:val="1"/>
      <w:marLeft w:val="0"/>
      <w:marRight w:val="0"/>
      <w:marTop w:val="0"/>
      <w:marBottom w:val="0"/>
      <w:divBdr>
        <w:top w:val="none" w:sz="0" w:space="0" w:color="auto"/>
        <w:left w:val="none" w:sz="0" w:space="0" w:color="auto"/>
        <w:bottom w:val="none" w:sz="0" w:space="0" w:color="auto"/>
        <w:right w:val="none" w:sz="0" w:space="0" w:color="auto"/>
      </w:divBdr>
    </w:div>
    <w:div w:id="1360006798">
      <w:bodyDiv w:val="1"/>
      <w:marLeft w:val="0"/>
      <w:marRight w:val="0"/>
      <w:marTop w:val="0"/>
      <w:marBottom w:val="0"/>
      <w:divBdr>
        <w:top w:val="none" w:sz="0" w:space="0" w:color="auto"/>
        <w:left w:val="none" w:sz="0" w:space="0" w:color="auto"/>
        <w:bottom w:val="none" w:sz="0" w:space="0" w:color="auto"/>
        <w:right w:val="none" w:sz="0" w:space="0" w:color="auto"/>
      </w:divBdr>
    </w:div>
    <w:div w:id="1362437847">
      <w:bodyDiv w:val="1"/>
      <w:marLeft w:val="0"/>
      <w:marRight w:val="0"/>
      <w:marTop w:val="0"/>
      <w:marBottom w:val="0"/>
      <w:divBdr>
        <w:top w:val="none" w:sz="0" w:space="0" w:color="auto"/>
        <w:left w:val="none" w:sz="0" w:space="0" w:color="auto"/>
        <w:bottom w:val="none" w:sz="0" w:space="0" w:color="auto"/>
        <w:right w:val="none" w:sz="0" w:space="0" w:color="auto"/>
      </w:divBdr>
    </w:div>
    <w:div w:id="1363435296">
      <w:bodyDiv w:val="1"/>
      <w:marLeft w:val="0"/>
      <w:marRight w:val="0"/>
      <w:marTop w:val="0"/>
      <w:marBottom w:val="0"/>
      <w:divBdr>
        <w:top w:val="none" w:sz="0" w:space="0" w:color="auto"/>
        <w:left w:val="none" w:sz="0" w:space="0" w:color="auto"/>
        <w:bottom w:val="none" w:sz="0" w:space="0" w:color="auto"/>
        <w:right w:val="none" w:sz="0" w:space="0" w:color="auto"/>
      </w:divBdr>
      <w:divsChild>
        <w:div w:id="184558059">
          <w:marLeft w:val="0"/>
          <w:marRight w:val="0"/>
          <w:marTop w:val="144"/>
          <w:marBottom w:val="144"/>
          <w:divBdr>
            <w:top w:val="none" w:sz="0" w:space="0" w:color="auto"/>
            <w:left w:val="none" w:sz="0" w:space="0" w:color="auto"/>
            <w:bottom w:val="none" w:sz="0" w:space="0" w:color="auto"/>
            <w:right w:val="none" w:sz="0" w:space="0" w:color="auto"/>
          </w:divBdr>
        </w:div>
      </w:divsChild>
    </w:div>
    <w:div w:id="1364282241">
      <w:bodyDiv w:val="1"/>
      <w:marLeft w:val="0"/>
      <w:marRight w:val="0"/>
      <w:marTop w:val="0"/>
      <w:marBottom w:val="0"/>
      <w:divBdr>
        <w:top w:val="none" w:sz="0" w:space="0" w:color="auto"/>
        <w:left w:val="none" w:sz="0" w:space="0" w:color="auto"/>
        <w:bottom w:val="none" w:sz="0" w:space="0" w:color="auto"/>
        <w:right w:val="none" w:sz="0" w:space="0" w:color="auto"/>
      </w:divBdr>
    </w:div>
    <w:div w:id="1366099820">
      <w:bodyDiv w:val="1"/>
      <w:marLeft w:val="0"/>
      <w:marRight w:val="0"/>
      <w:marTop w:val="0"/>
      <w:marBottom w:val="0"/>
      <w:divBdr>
        <w:top w:val="none" w:sz="0" w:space="0" w:color="auto"/>
        <w:left w:val="none" w:sz="0" w:space="0" w:color="auto"/>
        <w:bottom w:val="none" w:sz="0" w:space="0" w:color="auto"/>
        <w:right w:val="none" w:sz="0" w:space="0" w:color="auto"/>
      </w:divBdr>
    </w:div>
    <w:div w:id="1366951565">
      <w:bodyDiv w:val="1"/>
      <w:marLeft w:val="0"/>
      <w:marRight w:val="0"/>
      <w:marTop w:val="0"/>
      <w:marBottom w:val="0"/>
      <w:divBdr>
        <w:top w:val="none" w:sz="0" w:space="0" w:color="auto"/>
        <w:left w:val="none" w:sz="0" w:space="0" w:color="auto"/>
        <w:bottom w:val="none" w:sz="0" w:space="0" w:color="auto"/>
        <w:right w:val="none" w:sz="0" w:space="0" w:color="auto"/>
      </w:divBdr>
    </w:div>
    <w:div w:id="1367290063">
      <w:bodyDiv w:val="1"/>
      <w:marLeft w:val="0"/>
      <w:marRight w:val="0"/>
      <w:marTop w:val="0"/>
      <w:marBottom w:val="0"/>
      <w:divBdr>
        <w:top w:val="none" w:sz="0" w:space="0" w:color="auto"/>
        <w:left w:val="none" w:sz="0" w:space="0" w:color="auto"/>
        <w:bottom w:val="none" w:sz="0" w:space="0" w:color="auto"/>
        <w:right w:val="none" w:sz="0" w:space="0" w:color="auto"/>
      </w:divBdr>
    </w:div>
    <w:div w:id="1369835057">
      <w:bodyDiv w:val="1"/>
      <w:marLeft w:val="0"/>
      <w:marRight w:val="0"/>
      <w:marTop w:val="0"/>
      <w:marBottom w:val="0"/>
      <w:divBdr>
        <w:top w:val="none" w:sz="0" w:space="0" w:color="auto"/>
        <w:left w:val="none" w:sz="0" w:space="0" w:color="auto"/>
        <w:bottom w:val="none" w:sz="0" w:space="0" w:color="auto"/>
        <w:right w:val="none" w:sz="0" w:space="0" w:color="auto"/>
      </w:divBdr>
    </w:div>
    <w:div w:id="1370060649">
      <w:bodyDiv w:val="1"/>
      <w:marLeft w:val="0"/>
      <w:marRight w:val="0"/>
      <w:marTop w:val="0"/>
      <w:marBottom w:val="0"/>
      <w:divBdr>
        <w:top w:val="none" w:sz="0" w:space="0" w:color="auto"/>
        <w:left w:val="none" w:sz="0" w:space="0" w:color="auto"/>
        <w:bottom w:val="none" w:sz="0" w:space="0" w:color="auto"/>
        <w:right w:val="none" w:sz="0" w:space="0" w:color="auto"/>
      </w:divBdr>
    </w:div>
    <w:div w:id="1371539302">
      <w:bodyDiv w:val="1"/>
      <w:marLeft w:val="0"/>
      <w:marRight w:val="0"/>
      <w:marTop w:val="0"/>
      <w:marBottom w:val="0"/>
      <w:divBdr>
        <w:top w:val="none" w:sz="0" w:space="0" w:color="auto"/>
        <w:left w:val="none" w:sz="0" w:space="0" w:color="auto"/>
        <w:bottom w:val="none" w:sz="0" w:space="0" w:color="auto"/>
        <w:right w:val="none" w:sz="0" w:space="0" w:color="auto"/>
      </w:divBdr>
    </w:div>
    <w:div w:id="1376001401">
      <w:bodyDiv w:val="1"/>
      <w:marLeft w:val="0"/>
      <w:marRight w:val="0"/>
      <w:marTop w:val="0"/>
      <w:marBottom w:val="0"/>
      <w:divBdr>
        <w:top w:val="none" w:sz="0" w:space="0" w:color="auto"/>
        <w:left w:val="none" w:sz="0" w:space="0" w:color="auto"/>
        <w:bottom w:val="none" w:sz="0" w:space="0" w:color="auto"/>
        <w:right w:val="none" w:sz="0" w:space="0" w:color="auto"/>
      </w:divBdr>
    </w:div>
    <w:div w:id="1377125874">
      <w:bodyDiv w:val="1"/>
      <w:marLeft w:val="0"/>
      <w:marRight w:val="0"/>
      <w:marTop w:val="0"/>
      <w:marBottom w:val="0"/>
      <w:divBdr>
        <w:top w:val="none" w:sz="0" w:space="0" w:color="auto"/>
        <w:left w:val="none" w:sz="0" w:space="0" w:color="auto"/>
        <w:bottom w:val="none" w:sz="0" w:space="0" w:color="auto"/>
        <w:right w:val="none" w:sz="0" w:space="0" w:color="auto"/>
      </w:divBdr>
    </w:div>
    <w:div w:id="1383019230">
      <w:bodyDiv w:val="1"/>
      <w:marLeft w:val="0"/>
      <w:marRight w:val="0"/>
      <w:marTop w:val="0"/>
      <w:marBottom w:val="0"/>
      <w:divBdr>
        <w:top w:val="none" w:sz="0" w:space="0" w:color="auto"/>
        <w:left w:val="none" w:sz="0" w:space="0" w:color="auto"/>
        <w:bottom w:val="none" w:sz="0" w:space="0" w:color="auto"/>
        <w:right w:val="none" w:sz="0" w:space="0" w:color="auto"/>
      </w:divBdr>
    </w:div>
    <w:div w:id="1387685923">
      <w:bodyDiv w:val="1"/>
      <w:marLeft w:val="0"/>
      <w:marRight w:val="0"/>
      <w:marTop w:val="0"/>
      <w:marBottom w:val="0"/>
      <w:divBdr>
        <w:top w:val="none" w:sz="0" w:space="0" w:color="auto"/>
        <w:left w:val="none" w:sz="0" w:space="0" w:color="auto"/>
        <w:bottom w:val="none" w:sz="0" w:space="0" w:color="auto"/>
        <w:right w:val="none" w:sz="0" w:space="0" w:color="auto"/>
      </w:divBdr>
    </w:div>
    <w:div w:id="1391734104">
      <w:bodyDiv w:val="1"/>
      <w:marLeft w:val="0"/>
      <w:marRight w:val="0"/>
      <w:marTop w:val="0"/>
      <w:marBottom w:val="0"/>
      <w:divBdr>
        <w:top w:val="none" w:sz="0" w:space="0" w:color="auto"/>
        <w:left w:val="none" w:sz="0" w:space="0" w:color="auto"/>
        <w:bottom w:val="none" w:sz="0" w:space="0" w:color="auto"/>
        <w:right w:val="none" w:sz="0" w:space="0" w:color="auto"/>
      </w:divBdr>
    </w:div>
    <w:div w:id="1394233508">
      <w:bodyDiv w:val="1"/>
      <w:marLeft w:val="0"/>
      <w:marRight w:val="0"/>
      <w:marTop w:val="0"/>
      <w:marBottom w:val="0"/>
      <w:divBdr>
        <w:top w:val="none" w:sz="0" w:space="0" w:color="auto"/>
        <w:left w:val="none" w:sz="0" w:space="0" w:color="auto"/>
        <w:bottom w:val="none" w:sz="0" w:space="0" w:color="auto"/>
        <w:right w:val="none" w:sz="0" w:space="0" w:color="auto"/>
      </w:divBdr>
    </w:div>
    <w:div w:id="1395817438">
      <w:bodyDiv w:val="1"/>
      <w:marLeft w:val="0"/>
      <w:marRight w:val="0"/>
      <w:marTop w:val="0"/>
      <w:marBottom w:val="0"/>
      <w:divBdr>
        <w:top w:val="none" w:sz="0" w:space="0" w:color="auto"/>
        <w:left w:val="none" w:sz="0" w:space="0" w:color="auto"/>
        <w:bottom w:val="none" w:sz="0" w:space="0" w:color="auto"/>
        <w:right w:val="none" w:sz="0" w:space="0" w:color="auto"/>
      </w:divBdr>
    </w:div>
    <w:div w:id="1399866280">
      <w:bodyDiv w:val="1"/>
      <w:marLeft w:val="0"/>
      <w:marRight w:val="0"/>
      <w:marTop w:val="0"/>
      <w:marBottom w:val="0"/>
      <w:divBdr>
        <w:top w:val="none" w:sz="0" w:space="0" w:color="auto"/>
        <w:left w:val="none" w:sz="0" w:space="0" w:color="auto"/>
        <w:bottom w:val="none" w:sz="0" w:space="0" w:color="auto"/>
        <w:right w:val="none" w:sz="0" w:space="0" w:color="auto"/>
      </w:divBdr>
    </w:div>
    <w:div w:id="1402487479">
      <w:bodyDiv w:val="1"/>
      <w:marLeft w:val="0"/>
      <w:marRight w:val="0"/>
      <w:marTop w:val="0"/>
      <w:marBottom w:val="0"/>
      <w:divBdr>
        <w:top w:val="none" w:sz="0" w:space="0" w:color="auto"/>
        <w:left w:val="none" w:sz="0" w:space="0" w:color="auto"/>
        <w:bottom w:val="none" w:sz="0" w:space="0" w:color="auto"/>
        <w:right w:val="none" w:sz="0" w:space="0" w:color="auto"/>
      </w:divBdr>
    </w:div>
    <w:div w:id="1408576926">
      <w:bodyDiv w:val="1"/>
      <w:marLeft w:val="0"/>
      <w:marRight w:val="0"/>
      <w:marTop w:val="0"/>
      <w:marBottom w:val="0"/>
      <w:divBdr>
        <w:top w:val="none" w:sz="0" w:space="0" w:color="auto"/>
        <w:left w:val="none" w:sz="0" w:space="0" w:color="auto"/>
        <w:bottom w:val="none" w:sz="0" w:space="0" w:color="auto"/>
        <w:right w:val="none" w:sz="0" w:space="0" w:color="auto"/>
      </w:divBdr>
    </w:div>
    <w:div w:id="1409233488">
      <w:bodyDiv w:val="1"/>
      <w:marLeft w:val="0"/>
      <w:marRight w:val="0"/>
      <w:marTop w:val="0"/>
      <w:marBottom w:val="0"/>
      <w:divBdr>
        <w:top w:val="none" w:sz="0" w:space="0" w:color="auto"/>
        <w:left w:val="none" w:sz="0" w:space="0" w:color="auto"/>
        <w:bottom w:val="none" w:sz="0" w:space="0" w:color="auto"/>
        <w:right w:val="none" w:sz="0" w:space="0" w:color="auto"/>
      </w:divBdr>
    </w:div>
    <w:div w:id="1412392988">
      <w:bodyDiv w:val="1"/>
      <w:marLeft w:val="0"/>
      <w:marRight w:val="0"/>
      <w:marTop w:val="0"/>
      <w:marBottom w:val="0"/>
      <w:divBdr>
        <w:top w:val="none" w:sz="0" w:space="0" w:color="auto"/>
        <w:left w:val="none" w:sz="0" w:space="0" w:color="auto"/>
        <w:bottom w:val="none" w:sz="0" w:space="0" w:color="auto"/>
        <w:right w:val="none" w:sz="0" w:space="0" w:color="auto"/>
      </w:divBdr>
      <w:divsChild>
        <w:div w:id="1920094873">
          <w:marLeft w:val="0"/>
          <w:marRight w:val="0"/>
          <w:marTop w:val="0"/>
          <w:marBottom w:val="0"/>
          <w:divBdr>
            <w:top w:val="none" w:sz="0" w:space="0" w:color="auto"/>
            <w:left w:val="none" w:sz="0" w:space="0" w:color="auto"/>
            <w:bottom w:val="none" w:sz="0" w:space="0" w:color="auto"/>
            <w:right w:val="none" w:sz="0" w:space="0" w:color="auto"/>
          </w:divBdr>
        </w:div>
      </w:divsChild>
    </w:div>
    <w:div w:id="1412698030">
      <w:bodyDiv w:val="1"/>
      <w:marLeft w:val="0"/>
      <w:marRight w:val="0"/>
      <w:marTop w:val="0"/>
      <w:marBottom w:val="0"/>
      <w:divBdr>
        <w:top w:val="none" w:sz="0" w:space="0" w:color="auto"/>
        <w:left w:val="none" w:sz="0" w:space="0" w:color="auto"/>
        <w:bottom w:val="none" w:sz="0" w:space="0" w:color="auto"/>
        <w:right w:val="none" w:sz="0" w:space="0" w:color="auto"/>
      </w:divBdr>
    </w:div>
    <w:div w:id="1417165746">
      <w:bodyDiv w:val="1"/>
      <w:marLeft w:val="0"/>
      <w:marRight w:val="0"/>
      <w:marTop w:val="0"/>
      <w:marBottom w:val="0"/>
      <w:divBdr>
        <w:top w:val="none" w:sz="0" w:space="0" w:color="auto"/>
        <w:left w:val="none" w:sz="0" w:space="0" w:color="auto"/>
        <w:bottom w:val="none" w:sz="0" w:space="0" w:color="auto"/>
        <w:right w:val="none" w:sz="0" w:space="0" w:color="auto"/>
      </w:divBdr>
    </w:div>
    <w:div w:id="1419210851">
      <w:bodyDiv w:val="1"/>
      <w:marLeft w:val="0"/>
      <w:marRight w:val="0"/>
      <w:marTop w:val="0"/>
      <w:marBottom w:val="0"/>
      <w:divBdr>
        <w:top w:val="none" w:sz="0" w:space="0" w:color="auto"/>
        <w:left w:val="none" w:sz="0" w:space="0" w:color="auto"/>
        <w:bottom w:val="none" w:sz="0" w:space="0" w:color="auto"/>
        <w:right w:val="none" w:sz="0" w:space="0" w:color="auto"/>
      </w:divBdr>
    </w:div>
    <w:div w:id="1419476316">
      <w:bodyDiv w:val="1"/>
      <w:marLeft w:val="0"/>
      <w:marRight w:val="0"/>
      <w:marTop w:val="0"/>
      <w:marBottom w:val="0"/>
      <w:divBdr>
        <w:top w:val="none" w:sz="0" w:space="0" w:color="auto"/>
        <w:left w:val="none" w:sz="0" w:space="0" w:color="auto"/>
        <w:bottom w:val="none" w:sz="0" w:space="0" w:color="auto"/>
        <w:right w:val="none" w:sz="0" w:space="0" w:color="auto"/>
      </w:divBdr>
    </w:div>
    <w:div w:id="1423525079">
      <w:bodyDiv w:val="1"/>
      <w:marLeft w:val="0"/>
      <w:marRight w:val="0"/>
      <w:marTop w:val="0"/>
      <w:marBottom w:val="0"/>
      <w:divBdr>
        <w:top w:val="none" w:sz="0" w:space="0" w:color="auto"/>
        <w:left w:val="none" w:sz="0" w:space="0" w:color="auto"/>
        <w:bottom w:val="none" w:sz="0" w:space="0" w:color="auto"/>
        <w:right w:val="none" w:sz="0" w:space="0" w:color="auto"/>
      </w:divBdr>
    </w:div>
    <w:div w:id="1425347805">
      <w:bodyDiv w:val="1"/>
      <w:marLeft w:val="0"/>
      <w:marRight w:val="0"/>
      <w:marTop w:val="0"/>
      <w:marBottom w:val="0"/>
      <w:divBdr>
        <w:top w:val="none" w:sz="0" w:space="0" w:color="auto"/>
        <w:left w:val="none" w:sz="0" w:space="0" w:color="auto"/>
        <w:bottom w:val="none" w:sz="0" w:space="0" w:color="auto"/>
        <w:right w:val="none" w:sz="0" w:space="0" w:color="auto"/>
      </w:divBdr>
    </w:div>
    <w:div w:id="1430157155">
      <w:bodyDiv w:val="1"/>
      <w:marLeft w:val="0"/>
      <w:marRight w:val="0"/>
      <w:marTop w:val="0"/>
      <w:marBottom w:val="0"/>
      <w:divBdr>
        <w:top w:val="none" w:sz="0" w:space="0" w:color="auto"/>
        <w:left w:val="none" w:sz="0" w:space="0" w:color="auto"/>
        <w:bottom w:val="none" w:sz="0" w:space="0" w:color="auto"/>
        <w:right w:val="none" w:sz="0" w:space="0" w:color="auto"/>
      </w:divBdr>
    </w:div>
    <w:div w:id="1433623775">
      <w:bodyDiv w:val="1"/>
      <w:marLeft w:val="0"/>
      <w:marRight w:val="0"/>
      <w:marTop w:val="0"/>
      <w:marBottom w:val="0"/>
      <w:divBdr>
        <w:top w:val="none" w:sz="0" w:space="0" w:color="auto"/>
        <w:left w:val="none" w:sz="0" w:space="0" w:color="auto"/>
        <w:bottom w:val="none" w:sz="0" w:space="0" w:color="auto"/>
        <w:right w:val="none" w:sz="0" w:space="0" w:color="auto"/>
      </w:divBdr>
    </w:div>
    <w:div w:id="1433862788">
      <w:bodyDiv w:val="1"/>
      <w:marLeft w:val="0"/>
      <w:marRight w:val="0"/>
      <w:marTop w:val="0"/>
      <w:marBottom w:val="0"/>
      <w:divBdr>
        <w:top w:val="none" w:sz="0" w:space="0" w:color="auto"/>
        <w:left w:val="none" w:sz="0" w:space="0" w:color="auto"/>
        <w:bottom w:val="none" w:sz="0" w:space="0" w:color="auto"/>
        <w:right w:val="none" w:sz="0" w:space="0" w:color="auto"/>
      </w:divBdr>
    </w:div>
    <w:div w:id="1435130778">
      <w:bodyDiv w:val="1"/>
      <w:marLeft w:val="0"/>
      <w:marRight w:val="0"/>
      <w:marTop w:val="0"/>
      <w:marBottom w:val="0"/>
      <w:divBdr>
        <w:top w:val="none" w:sz="0" w:space="0" w:color="auto"/>
        <w:left w:val="none" w:sz="0" w:space="0" w:color="auto"/>
        <w:bottom w:val="none" w:sz="0" w:space="0" w:color="auto"/>
        <w:right w:val="none" w:sz="0" w:space="0" w:color="auto"/>
      </w:divBdr>
    </w:div>
    <w:div w:id="1439519059">
      <w:bodyDiv w:val="1"/>
      <w:marLeft w:val="0"/>
      <w:marRight w:val="0"/>
      <w:marTop w:val="0"/>
      <w:marBottom w:val="0"/>
      <w:divBdr>
        <w:top w:val="none" w:sz="0" w:space="0" w:color="auto"/>
        <w:left w:val="none" w:sz="0" w:space="0" w:color="auto"/>
        <w:bottom w:val="none" w:sz="0" w:space="0" w:color="auto"/>
        <w:right w:val="none" w:sz="0" w:space="0" w:color="auto"/>
      </w:divBdr>
    </w:div>
    <w:div w:id="1443112472">
      <w:bodyDiv w:val="1"/>
      <w:marLeft w:val="0"/>
      <w:marRight w:val="0"/>
      <w:marTop w:val="0"/>
      <w:marBottom w:val="0"/>
      <w:divBdr>
        <w:top w:val="none" w:sz="0" w:space="0" w:color="auto"/>
        <w:left w:val="none" w:sz="0" w:space="0" w:color="auto"/>
        <w:bottom w:val="none" w:sz="0" w:space="0" w:color="auto"/>
        <w:right w:val="none" w:sz="0" w:space="0" w:color="auto"/>
      </w:divBdr>
    </w:div>
    <w:div w:id="1443454623">
      <w:bodyDiv w:val="1"/>
      <w:marLeft w:val="0"/>
      <w:marRight w:val="0"/>
      <w:marTop w:val="0"/>
      <w:marBottom w:val="0"/>
      <w:divBdr>
        <w:top w:val="none" w:sz="0" w:space="0" w:color="auto"/>
        <w:left w:val="none" w:sz="0" w:space="0" w:color="auto"/>
        <w:bottom w:val="none" w:sz="0" w:space="0" w:color="auto"/>
        <w:right w:val="none" w:sz="0" w:space="0" w:color="auto"/>
      </w:divBdr>
    </w:div>
    <w:div w:id="1444812322">
      <w:bodyDiv w:val="1"/>
      <w:marLeft w:val="0"/>
      <w:marRight w:val="0"/>
      <w:marTop w:val="0"/>
      <w:marBottom w:val="0"/>
      <w:divBdr>
        <w:top w:val="none" w:sz="0" w:space="0" w:color="auto"/>
        <w:left w:val="none" w:sz="0" w:space="0" w:color="auto"/>
        <w:bottom w:val="none" w:sz="0" w:space="0" w:color="auto"/>
        <w:right w:val="none" w:sz="0" w:space="0" w:color="auto"/>
      </w:divBdr>
    </w:div>
    <w:div w:id="1449350279">
      <w:bodyDiv w:val="1"/>
      <w:marLeft w:val="0"/>
      <w:marRight w:val="0"/>
      <w:marTop w:val="0"/>
      <w:marBottom w:val="0"/>
      <w:divBdr>
        <w:top w:val="none" w:sz="0" w:space="0" w:color="auto"/>
        <w:left w:val="none" w:sz="0" w:space="0" w:color="auto"/>
        <w:bottom w:val="none" w:sz="0" w:space="0" w:color="auto"/>
        <w:right w:val="none" w:sz="0" w:space="0" w:color="auto"/>
      </w:divBdr>
    </w:div>
    <w:div w:id="1452749664">
      <w:bodyDiv w:val="1"/>
      <w:marLeft w:val="0"/>
      <w:marRight w:val="0"/>
      <w:marTop w:val="0"/>
      <w:marBottom w:val="0"/>
      <w:divBdr>
        <w:top w:val="none" w:sz="0" w:space="0" w:color="auto"/>
        <w:left w:val="none" w:sz="0" w:space="0" w:color="auto"/>
        <w:bottom w:val="none" w:sz="0" w:space="0" w:color="auto"/>
        <w:right w:val="none" w:sz="0" w:space="0" w:color="auto"/>
      </w:divBdr>
    </w:div>
    <w:div w:id="1452894565">
      <w:bodyDiv w:val="1"/>
      <w:marLeft w:val="0"/>
      <w:marRight w:val="0"/>
      <w:marTop w:val="0"/>
      <w:marBottom w:val="0"/>
      <w:divBdr>
        <w:top w:val="none" w:sz="0" w:space="0" w:color="auto"/>
        <w:left w:val="none" w:sz="0" w:space="0" w:color="auto"/>
        <w:bottom w:val="none" w:sz="0" w:space="0" w:color="auto"/>
        <w:right w:val="none" w:sz="0" w:space="0" w:color="auto"/>
      </w:divBdr>
    </w:div>
    <w:div w:id="1458138580">
      <w:bodyDiv w:val="1"/>
      <w:marLeft w:val="0"/>
      <w:marRight w:val="0"/>
      <w:marTop w:val="0"/>
      <w:marBottom w:val="0"/>
      <w:divBdr>
        <w:top w:val="none" w:sz="0" w:space="0" w:color="auto"/>
        <w:left w:val="none" w:sz="0" w:space="0" w:color="auto"/>
        <w:bottom w:val="none" w:sz="0" w:space="0" w:color="auto"/>
        <w:right w:val="none" w:sz="0" w:space="0" w:color="auto"/>
      </w:divBdr>
    </w:div>
    <w:div w:id="1459493584">
      <w:bodyDiv w:val="1"/>
      <w:marLeft w:val="0"/>
      <w:marRight w:val="0"/>
      <w:marTop w:val="0"/>
      <w:marBottom w:val="0"/>
      <w:divBdr>
        <w:top w:val="none" w:sz="0" w:space="0" w:color="auto"/>
        <w:left w:val="none" w:sz="0" w:space="0" w:color="auto"/>
        <w:bottom w:val="none" w:sz="0" w:space="0" w:color="auto"/>
        <w:right w:val="none" w:sz="0" w:space="0" w:color="auto"/>
      </w:divBdr>
    </w:div>
    <w:div w:id="1463767664">
      <w:bodyDiv w:val="1"/>
      <w:marLeft w:val="0"/>
      <w:marRight w:val="0"/>
      <w:marTop w:val="0"/>
      <w:marBottom w:val="0"/>
      <w:divBdr>
        <w:top w:val="none" w:sz="0" w:space="0" w:color="auto"/>
        <w:left w:val="none" w:sz="0" w:space="0" w:color="auto"/>
        <w:bottom w:val="none" w:sz="0" w:space="0" w:color="auto"/>
        <w:right w:val="none" w:sz="0" w:space="0" w:color="auto"/>
      </w:divBdr>
    </w:div>
    <w:div w:id="1465271983">
      <w:bodyDiv w:val="1"/>
      <w:marLeft w:val="0"/>
      <w:marRight w:val="0"/>
      <w:marTop w:val="0"/>
      <w:marBottom w:val="0"/>
      <w:divBdr>
        <w:top w:val="none" w:sz="0" w:space="0" w:color="auto"/>
        <w:left w:val="none" w:sz="0" w:space="0" w:color="auto"/>
        <w:bottom w:val="none" w:sz="0" w:space="0" w:color="auto"/>
        <w:right w:val="none" w:sz="0" w:space="0" w:color="auto"/>
      </w:divBdr>
    </w:div>
    <w:div w:id="1466773419">
      <w:bodyDiv w:val="1"/>
      <w:marLeft w:val="0"/>
      <w:marRight w:val="0"/>
      <w:marTop w:val="0"/>
      <w:marBottom w:val="0"/>
      <w:divBdr>
        <w:top w:val="none" w:sz="0" w:space="0" w:color="auto"/>
        <w:left w:val="none" w:sz="0" w:space="0" w:color="auto"/>
        <w:bottom w:val="none" w:sz="0" w:space="0" w:color="auto"/>
        <w:right w:val="none" w:sz="0" w:space="0" w:color="auto"/>
      </w:divBdr>
    </w:div>
    <w:div w:id="1467820307">
      <w:bodyDiv w:val="1"/>
      <w:marLeft w:val="0"/>
      <w:marRight w:val="0"/>
      <w:marTop w:val="0"/>
      <w:marBottom w:val="0"/>
      <w:divBdr>
        <w:top w:val="none" w:sz="0" w:space="0" w:color="auto"/>
        <w:left w:val="none" w:sz="0" w:space="0" w:color="auto"/>
        <w:bottom w:val="none" w:sz="0" w:space="0" w:color="auto"/>
        <w:right w:val="none" w:sz="0" w:space="0" w:color="auto"/>
      </w:divBdr>
    </w:div>
    <w:div w:id="1468862132">
      <w:bodyDiv w:val="1"/>
      <w:marLeft w:val="0"/>
      <w:marRight w:val="0"/>
      <w:marTop w:val="0"/>
      <w:marBottom w:val="0"/>
      <w:divBdr>
        <w:top w:val="none" w:sz="0" w:space="0" w:color="auto"/>
        <w:left w:val="none" w:sz="0" w:space="0" w:color="auto"/>
        <w:bottom w:val="none" w:sz="0" w:space="0" w:color="auto"/>
        <w:right w:val="none" w:sz="0" w:space="0" w:color="auto"/>
      </w:divBdr>
    </w:div>
    <w:div w:id="1469782284">
      <w:bodyDiv w:val="1"/>
      <w:marLeft w:val="0"/>
      <w:marRight w:val="0"/>
      <w:marTop w:val="0"/>
      <w:marBottom w:val="0"/>
      <w:divBdr>
        <w:top w:val="none" w:sz="0" w:space="0" w:color="auto"/>
        <w:left w:val="none" w:sz="0" w:space="0" w:color="auto"/>
        <w:bottom w:val="none" w:sz="0" w:space="0" w:color="auto"/>
        <w:right w:val="none" w:sz="0" w:space="0" w:color="auto"/>
      </w:divBdr>
      <w:divsChild>
        <w:div w:id="1146968673">
          <w:marLeft w:val="0"/>
          <w:marRight w:val="0"/>
          <w:marTop w:val="0"/>
          <w:marBottom w:val="0"/>
          <w:divBdr>
            <w:top w:val="none" w:sz="0" w:space="0" w:color="auto"/>
            <w:left w:val="none" w:sz="0" w:space="0" w:color="auto"/>
            <w:bottom w:val="none" w:sz="0" w:space="0" w:color="auto"/>
            <w:right w:val="none" w:sz="0" w:space="0" w:color="auto"/>
          </w:divBdr>
        </w:div>
      </w:divsChild>
    </w:div>
    <w:div w:id="1471433632">
      <w:bodyDiv w:val="1"/>
      <w:marLeft w:val="0"/>
      <w:marRight w:val="0"/>
      <w:marTop w:val="0"/>
      <w:marBottom w:val="0"/>
      <w:divBdr>
        <w:top w:val="none" w:sz="0" w:space="0" w:color="auto"/>
        <w:left w:val="none" w:sz="0" w:space="0" w:color="auto"/>
        <w:bottom w:val="none" w:sz="0" w:space="0" w:color="auto"/>
        <w:right w:val="none" w:sz="0" w:space="0" w:color="auto"/>
      </w:divBdr>
    </w:div>
    <w:div w:id="1472476912">
      <w:bodyDiv w:val="1"/>
      <w:marLeft w:val="0"/>
      <w:marRight w:val="0"/>
      <w:marTop w:val="0"/>
      <w:marBottom w:val="0"/>
      <w:divBdr>
        <w:top w:val="none" w:sz="0" w:space="0" w:color="auto"/>
        <w:left w:val="none" w:sz="0" w:space="0" w:color="auto"/>
        <w:bottom w:val="none" w:sz="0" w:space="0" w:color="auto"/>
        <w:right w:val="none" w:sz="0" w:space="0" w:color="auto"/>
      </w:divBdr>
    </w:div>
    <w:div w:id="1480851850">
      <w:bodyDiv w:val="1"/>
      <w:marLeft w:val="0"/>
      <w:marRight w:val="0"/>
      <w:marTop w:val="0"/>
      <w:marBottom w:val="0"/>
      <w:divBdr>
        <w:top w:val="none" w:sz="0" w:space="0" w:color="auto"/>
        <w:left w:val="none" w:sz="0" w:space="0" w:color="auto"/>
        <w:bottom w:val="none" w:sz="0" w:space="0" w:color="auto"/>
        <w:right w:val="none" w:sz="0" w:space="0" w:color="auto"/>
      </w:divBdr>
    </w:div>
    <w:div w:id="1481774277">
      <w:bodyDiv w:val="1"/>
      <w:marLeft w:val="0"/>
      <w:marRight w:val="0"/>
      <w:marTop w:val="0"/>
      <w:marBottom w:val="0"/>
      <w:divBdr>
        <w:top w:val="none" w:sz="0" w:space="0" w:color="auto"/>
        <w:left w:val="none" w:sz="0" w:space="0" w:color="auto"/>
        <w:bottom w:val="none" w:sz="0" w:space="0" w:color="auto"/>
        <w:right w:val="none" w:sz="0" w:space="0" w:color="auto"/>
      </w:divBdr>
    </w:div>
    <w:div w:id="1484539977">
      <w:bodyDiv w:val="1"/>
      <w:marLeft w:val="0"/>
      <w:marRight w:val="0"/>
      <w:marTop w:val="0"/>
      <w:marBottom w:val="0"/>
      <w:divBdr>
        <w:top w:val="none" w:sz="0" w:space="0" w:color="auto"/>
        <w:left w:val="none" w:sz="0" w:space="0" w:color="auto"/>
        <w:bottom w:val="none" w:sz="0" w:space="0" w:color="auto"/>
        <w:right w:val="none" w:sz="0" w:space="0" w:color="auto"/>
      </w:divBdr>
    </w:div>
    <w:div w:id="1486627150">
      <w:bodyDiv w:val="1"/>
      <w:marLeft w:val="0"/>
      <w:marRight w:val="0"/>
      <w:marTop w:val="0"/>
      <w:marBottom w:val="0"/>
      <w:divBdr>
        <w:top w:val="none" w:sz="0" w:space="0" w:color="auto"/>
        <w:left w:val="none" w:sz="0" w:space="0" w:color="auto"/>
        <w:bottom w:val="none" w:sz="0" w:space="0" w:color="auto"/>
        <w:right w:val="none" w:sz="0" w:space="0" w:color="auto"/>
      </w:divBdr>
    </w:div>
    <w:div w:id="1488791164">
      <w:bodyDiv w:val="1"/>
      <w:marLeft w:val="0"/>
      <w:marRight w:val="0"/>
      <w:marTop w:val="0"/>
      <w:marBottom w:val="0"/>
      <w:divBdr>
        <w:top w:val="none" w:sz="0" w:space="0" w:color="auto"/>
        <w:left w:val="none" w:sz="0" w:space="0" w:color="auto"/>
        <w:bottom w:val="none" w:sz="0" w:space="0" w:color="auto"/>
        <w:right w:val="none" w:sz="0" w:space="0" w:color="auto"/>
      </w:divBdr>
    </w:div>
    <w:div w:id="1489517161">
      <w:bodyDiv w:val="1"/>
      <w:marLeft w:val="0"/>
      <w:marRight w:val="0"/>
      <w:marTop w:val="0"/>
      <w:marBottom w:val="0"/>
      <w:divBdr>
        <w:top w:val="none" w:sz="0" w:space="0" w:color="auto"/>
        <w:left w:val="none" w:sz="0" w:space="0" w:color="auto"/>
        <w:bottom w:val="none" w:sz="0" w:space="0" w:color="auto"/>
        <w:right w:val="none" w:sz="0" w:space="0" w:color="auto"/>
      </w:divBdr>
    </w:div>
    <w:div w:id="1490289991">
      <w:bodyDiv w:val="1"/>
      <w:marLeft w:val="0"/>
      <w:marRight w:val="0"/>
      <w:marTop w:val="0"/>
      <w:marBottom w:val="0"/>
      <w:divBdr>
        <w:top w:val="none" w:sz="0" w:space="0" w:color="auto"/>
        <w:left w:val="none" w:sz="0" w:space="0" w:color="auto"/>
        <w:bottom w:val="none" w:sz="0" w:space="0" w:color="auto"/>
        <w:right w:val="none" w:sz="0" w:space="0" w:color="auto"/>
      </w:divBdr>
    </w:div>
    <w:div w:id="1491870103">
      <w:bodyDiv w:val="1"/>
      <w:marLeft w:val="0"/>
      <w:marRight w:val="0"/>
      <w:marTop w:val="0"/>
      <w:marBottom w:val="0"/>
      <w:divBdr>
        <w:top w:val="none" w:sz="0" w:space="0" w:color="auto"/>
        <w:left w:val="none" w:sz="0" w:space="0" w:color="auto"/>
        <w:bottom w:val="none" w:sz="0" w:space="0" w:color="auto"/>
        <w:right w:val="none" w:sz="0" w:space="0" w:color="auto"/>
      </w:divBdr>
    </w:div>
    <w:div w:id="1493332495">
      <w:bodyDiv w:val="1"/>
      <w:marLeft w:val="0"/>
      <w:marRight w:val="0"/>
      <w:marTop w:val="0"/>
      <w:marBottom w:val="0"/>
      <w:divBdr>
        <w:top w:val="none" w:sz="0" w:space="0" w:color="auto"/>
        <w:left w:val="none" w:sz="0" w:space="0" w:color="auto"/>
        <w:bottom w:val="none" w:sz="0" w:space="0" w:color="auto"/>
        <w:right w:val="none" w:sz="0" w:space="0" w:color="auto"/>
      </w:divBdr>
    </w:div>
    <w:div w:id="1494837758">
      <w:bodyDiv w:val="1"/>
      <w:marLeft w:val="0"/>
      <w:marRight w:val="0"/>
      <w:marTop w:val="0"/>
      <w:marBottom w:val="0"/>
      <w:divBdr>
        <w:top w:val="none" w:sz="0" w:space="0" w:color="auto"/>
        <w:left w:val="none" w:sz="0" w:space="0" w:color="auto"/>
        <w:bottom w:val="none" w:sz="0" w:space="0" w:color="auto"/>
        <w:right w:val="none" w:sz="0" w:space="0" w:color="auto"/>
      </w:divBdr>
      <w:divsChild>
        <w:div w:id="1340153688">
          <w:marLeft w:val="0"/>
          <w:marRight w:val="0"/>
          <w:marTop w:val="0"/>
          <w:marBottom w:val="0"/>
          <w:divBdr>
            <w:top w:val="none" w:sz="0" w:space="0" w:color="auto"/>
            <w:left w:val="none" w:sz="0" w:space="0" w:color="auto"/>
            <w:bottom w:val="none" w:sz="0" w:space="0" w:color="auto"/>
            <w:right w:val="none" w:sz="0" w:space="0" w:color="auto"/>
          </w:divBdr>
        </w:div>
        <w:div w:id="90975850">
          <w:marLeft w:val="0"/>
          <w:marRight w:val="0"/>
          <w:marTop w:val="0"/>
          <w:marBottom w:val="0"/>
          <w:divBdr>
            <w:top w:val="none" w:sz="0" w:space="0" w:color="auto"/>
            <w:left w:val="none" w:sz="0" w:space="0" w:color="auto"/>
            <w:bottom w:val="none" w:sz="0" w:space="0" w:color="auto"/>
            <w:right w:val="none" w:sz="0" w:space="0" w:color="auto"/>
          </w:divBdr>
        </w:div>
      </w:divsChild>
    </w:div>
    <w:div w:id="1497038936">
      <w:bodyDiv w:val="1"/>
      <w:marLeft w:val="0"/>
      <w:marRight w:val="0"/>
      <w:marTop w:val="0"/>
      <w:marBottom w:val="0"/>
      <w:divBdr>
        <w:top w:val="none" w:sz="0" w:space="0" w:color="auto"/>
        <w:left w:val="none" w:sz="0" w:space="0" w:color="auto"/>
        <w:bottom w:val="none" w:sz="0" w:space="0" w:color="auto"/>
        <w:right w:val="none" w:sz="0" w:space="0" w:color="auto"/>
      </w:divBdr>
    </w:div>
    <w:div w:id="1497529820">
      <w:bodyDiv w:val="1"/>
      <w:marLeft w:val="0"/>
      <w:marRight w:val="0"/>
      <w:marTop w:val="0"/>
      <w:marBottom w:val="0"/>
      <w:divBdr>
        <w:top w:val="none" w:sz="0" w:space="0" w:color="auto"/>
        <w:left w:val="none" w:sz="0" w:space="0" w:color="auto"/>
        <w:bottom w:val="none" w:sz="0" w:space="0" w:color="auto"/>
        <w:right w:val="none" w:sz="0" w:space="0" w:color="auto"/>
      </w:divBdr>
    </w:div>
    <w:div w:id="1505585511">
      <w:bodyDiv w:val="1"/>
      <w:marLeft w:val="0"/>
      <w:marRight w:val="0"/>
      <w:marTop w:val="0"/>
      <w:marBottom w:val="0"/>
      <w:divBdr>
        <w:top w:val="none" w:sz="0" w:space="0" w:color="auto"/>
        <w:left w:val="none" w:sz="0" w:space="0" w:color="auto"/>
        <w:bottom w:val="none" w:sz="0" w:space="0" w:color="auto"/>
        <w:right w:val="none" w:sz="0" w:space="0" w:color="auto"/>
      </w:divBdr>
    </w:div>
    <w:div w:id="1506480115">
      <w:bodyDiv w:val="1"/>
      <w:marLeft w:val="0"/>
      <w:marRight w:val="0"/>
      <w:marTop w:val="0"/>
      <w:marBottom w:val="0"/>
      <w:divBdr>
        <w:top w:val="none" w:sz="0" w:space="0" w:color="auto"/>
        <w:left w:val="none" w:sz="0" w:space="0" w:color="auto"/>
        <w:bottom w:val="none" w:sz="0" w:space="0" w:color="auto"/>
        <w:right w:val="none" w:sz="0" w:space="0" w:color="auto"/>
      </w:divBdr>
    </w:div>
    <w:div w:id="1507790530">
      <w:bodyDiv w:val="1"/>
      <w:marLeft w:val="0"/>
      <w:marRight w:val="0"/>
      <w:marTop w:val="0"/>
      <w:marBottom w:val="0"/>
      <w:divBdr>
        <w:top w:val="none" w:sz="0" w:space="0" w:color="auto"/>
        <w:left w:val="none" w:sz="0" w:space="0" w:color="auto"/>
        <w:bottom w:val="none" w:sz="0" w:space="0" w:color="auto"/>
        <w:right w:val="none" w:sz="0" w:space="0" w:color="auto"/>
      </w:divBdr>
    </w:div>
    <w:div w:id="1509059240">
      <w:bodyDiv w:val="1"/>
      <w:marLeft w:val="0"/>
      <w:marRight w:val="0"/>
      <w:marTop w:val="0"/>
      <w:marBottom w:val="0"/>
      <w:divBdr>
        <w:top w:val="none" w:sz="0" w:space="0" w:color="auto"/>
        <w:left w:val="none" w:sz="0" w:space="0" w:color="auto"/>
        <w:bottom w:val="none" w:sz="0" w:space="0" w:color="auto"/>
        <w:right w:val="none" w:sz="0" w:space="0" w:color="auto"/>
      </w:divBdr>
    </w:div>
    <w:div w:id="1509832910">
      <w:bodyDiv w:val="1"/>
      <w:marLeft w:val="0"/>
      <w:marRight w:val="0"/>
      <w:marTop w:val="0"/>
      <w:marBottom w:val="0"/>
      <w:divBdr>
        <w:top w:val="none" w:sz="0" w:space="0" w:color="auto"/>
        <w:left w:val="none" w:sz="0" w:space="0" w:color="auto"/>
        <w:bottom w:val="none" w:sz="0" w:space="0" w:color="auto"/>
        <w:right w:val="none" w:sz="0" w:space="0" w:color="auto"/>
      </w:divBdr>
    </w:div>
    <w:div w:id="1510674490">
      <w:bodyDiv w:val="1"/>
      <w:marLeft w:val="0"/>
      <w:marRight w:val="0"/>
      <w:marTop w:val="0"/>
      <w:marBottom w:val="0"/>
      <w:divBdr>
        <w:top w:val="none" w:sz="0" w:space="0" w:color="auto"/>
        <w:left w:val="none" w:sz="0" w:space="0" w:color="auto"/>
        <w:bottom w:val="none" w:sz="0" w:space="0" w:color="auto"/>
        <w:right w:val="none" w:sz="0" w:space="0" w:color="auto"/>
      </w:divBdr>
    </w:div>
    <w:div w:id="1513104106">
      <w:bodyDiv w:val="1"/>
      <w:marLeft w:val="0"/>
      <w:marRight w:val="0"/>
      <w:marTop w:val="0"/>
      <w:marBottom w:val="0"/>
      <w:divBdr>
        <w:top w:val="none" w:sz="0" w:space="0" w:color="auto"/>
        <w:left w:val="none" w:sz="0" w:space="0" w:color="auto"/>
        <w:bottom w:val="none" w:sz="0" w:space="0" w:color="auto"/>
        <w:right w:val="none" w:sz="0" w:space="0" w:color="auto"/>
      </w:divBdr>
    </w:div>
    <w:div w:id="1513835924">
      <w:bodyDiv w:val="1"/>
      <w:marLeft w:val="0"/>
      <w:marRight w:val="0"/>
      <w:marTop w:val="0"/>
      <w:marBottom w:val="0"/>
      <w:divBdr>
        <w:top w:val="none" w:sz="0" w:space="0" w:color="auto"/>
        <w:left w:val="none" w:sz="0" w:space="0" w:color="auto"/>
        <w:bottom w:val="none" w:sz="0" w:space="0" w:color="auto"/>
        <w:right w:val="none" w:sz="0" w:space="0" w:color="auto"/>
      </w:divBdr>
    </w:div>
    <w:div w:id="1514805765">
      <w:bodyDiv w:val="1"/>
      <w:marLeft w:val="0"/>
      <w:marRight w:val="0"/>
      <w:marTop w:val="0"/>
      <w:marBottom w:val="0"/>
      <w:divBdr>
        <w:top w:val="none" w:sz="0" w:space="0" w:color="auto"/>
        <w:left w:val="none" w:sz="0" w:space="0" w:color="auto"/>
        <w:bottom w:val="none" w:sz="0" w:space="0" w:color="auto"/>
        <w:right w:val="none" w:sz="0" w:space="0" w:color="auto"/>
      </w:divBdr>
    </w:div>
    <w:div w:id="1515536539">
      <w:bodyDiv w:val="1"/>
      <w:marLeft w:val="0"/>
      <w:marRight w:val="0"/>
      <w:marTop w:val="0"/>
      <w:marBottom w:val="0"/>
      <w:divBdr>
        <w:top w:val="none" w:sz="0" w:space="0" w:color="auto"/>
        <w:left w:val="none" w:sz="0" w:space="0" w:color="auto"/>
        <w:bottom w:val="none" w:sz="0" w:space="0" w:color="auto"/>
        <w:right w:val="none" w:sz="0" w:space="0" w:color="auto"/>
      </w:divBdr>
    </w:div>
    <w:div w:id="1517504074">
      <w:bodyDiv w:val="1"/>
      <w:marLeft w:val="0"/>
      <w:marRight w:val="0"/>
      <w:marTop w:val="0"/>
      <w:marBottom w:val="0"/>
      <w:divBdr>
        <w:top w:val="none" w:sz="0" w:space="0" w:color="auto"/>
        <w:left w:val="none" w:sz="0" w:space="0" w:color="auto"/>
        <w:bottom w:val="none" w:sz="0" w:space="0" w:color="auto"/>
        <w:right w:val="none" w:sz="0" w:space="0" w:color="auto"/>
      </w:divBdr>
    </w:div>
    <w:div w:id="1520969359">
      <w:bodyDiv w:val="1"/>
      <w:marLeft w:val="0"/>
      <w:marRight w:val="0"/>
      <w:marTop w:val="0"/>
      <w:marBottom w:val="0"/>
      <w:divBdr>
        <w:top w:val="none" w:sz="0" w:space="0" w:color="auto"/>
        <w:left w:val="none" w:sz="0" w:space="0" w:color="auto"/>
        <w:bottom w:val="none" w:sz="0" w:space="0" w:color="auto"/>
        <w:right w:val="none" w:sz="0" w:space="0" w:color="auto"/>
      </w:divBdr>
    </w:div>
    <w:div w:id="1524172942">
      <w:bodyDiv w:val="1"/>
      <w:marLeft w:val="0"/>
      <w:marRight w:val="0"/>
      <w:marTop w:val="0"/>
      <w:marBottom w:val="0"/>
      <w:divBdr>
        <w:top w:val="none" w:sz="0" w:space="0" w:color="auto"/>
        <w:left w:val="none" w:sz="0" w:space="0" w:color="auto"/>
        <w:bottom w:val="none" w:sz="0" w:space="0" w:color="auto"/>
        <w:right w:val="none" w:sz="0" w:space="0" w:color="auto"/>
      </w:divBdr>
    </w:div>
    <w:div w:id="1532453847">
      <w:bodyDiv w:val="1"/>
      <w:marLeft w:val="0"/>
      <w:marRight w:val="0"/>
      <w:marTop w:val="0"/>
      <w:marBottom w:val="0"/>
      <w:divBdr>
        <w:top w:val="none" w:sz="0" w:space="0" w:color="auto"/>
        <w:left w:val="none" w:sz="0" w:space="0" w:color="auto"/>
        <w:bottom w:val="none" w:sz="0" w:space="0" w:color="auto"/>
        <w:right w:val="none" w:sz="0" w:space="0" w:color="auto"/>
      </w:divBdr>
    </w:div>
    <w:div w:id="1532765429">
      <w:bodyDiv w:val="1"/>
      <w:marLeft w:val="0"/>
      <w:marRight w:val="0"/>
      <w:marTop w:val="0"/>
      <w:marBottom w:val="0"/>
      <w:divBdr>
        <w:top w:val="none" w:sz="0" w:space="0" w:color="auto"/>
        <w:left w:val="none" w:sz="0" w:space="0" w:color="auto"/>
        <w:bottom w:val="none" w:sz="0" w:space="0" w:color="auto"/>
        <w:right w:val="none" w:sz="0" w:space="0" w:color="auto"/>
      </w:divBdr>
    </w:div>
    <w:div w:id="1535383912">
      <w:bodyDiv w:val="1"/>
      <w:marLeft w:val="0"/>
      <w:marRight w:val="0"/>
      <w:marTop w:val="0"/>
      <w:marBottom w:val="0"/>
      <w:divBdr>
        <w:top w:val="none" w:sz="0" w:space="0" w:color="auto"/>
        <w:left w:val="none" w:sz="0" w:space="0" w:color="auto"/>
        <w:bottom w:val="none" w:sz="0" w:space="0" w:color="auto"/>
        <w:right w:val="none" w:sz="0" w:space="0" w:color="auto"/>
      </w:divBdr>
    </w:div>
    <w:div w:id="1536498676">
      <w:bodyDiv w:val="1"/>
      <w:marLeft w:val="0"/>
      <w:marRight w:val="0"/>
      <w:marTop w:val="0"/>
      <w:marBottom w:val="0"/>
      <w:divBdr>
        <w:top w:val="none" w:sz="0" w:space="0" w:color="auto"/>
        <w:left w:val="none" w:sz="0" w:space="0" w:color="auto"/>
        <w:bottom w:val="none" w:sz="0" w:space="0" w:color="auto"/>
        <w:right w:val="none" w:sz="0" w:space="0" w:color="auto"/>
      </w:divBdr>
    </w:div>
    <w:div w:id="1542009005">
      <w:bodyDiv w:val="1"/>
      <w:marLeft w:val="0"/>
      <w:marRight w:val="0"/>
      <w:marTop w:val="0"/>
      <w:marBottom w:val="0"/>
      <w:divBdr>
        <w:top w:val="none" w:sz="0" w:space="0" w:color="auto"/>
        <w:left w:val="none" w:sz="0" w:space="0" w:color="auto"/>
        <w:bottom w:val="none" w:sz="0" w:space="0" w:color="auto"/>
        <w:right w:val="none" w:sz="0" w:space="0" w:color="auto"/>
      </w:divBdr>
    </w:div>
    <w:div w:id="1544100559">
      <w:bodyDiv w:val="1"/>
      <w:marLeft w:val="0"/>
      <w:marRight w:val="0"/>
      <w:marTop w:val="0"/>
      <w:marBottom w:val="0"/>
      <w:divBdr>
        <w:top w:val="none" w:sz="0" w:space="0" w:color="auto"/>
        <w:left w:val="none" w:sz="0" w:space="0" w:color="auto"/>
        <w:bottom w:val="none" w:sz="0" w:space="0" w:color="auto"/>
        <w:right w:val="none" w:sz="0" w:space="0" w:color="auto"/>
      </w:divBdr>
    </w:div>
    <w:div w:id="1544557913">
      <w:bodyDiv w:val="1"/>
      <w:marLeft w:val="0"/>
      <w:marRight w:val="0"/>
      <w:marTop w:val="0"/>
      <w:marBottom w:val="0"/>
      <w:divBdr>
        <w:top w:val="none" w:sz="0" w:space="0" w:color="auto"/>
        <w:left w:val="none" w:sz="0" w:space="0" w:color="auto"/>
        <w:bottom w:val="none" w:sz="0" w:space="0" w:color="auto"/>
        <w:right w:val="none" w:sz="0" w:space="0" w:color="auto"/>
      </w:divBdr>
    </w:div>
    <w:div w:id="1546061759">
      <w:bodyDiv w:val="1"/>
      <w:marLeft w:val="0"/>
      <w:marRight w:val="0"/>
      <w:marTop w:val="0"/>
      <w:marBottom w:val="0"/>
      <w:divBdr>
        <w:top w:val="none" w:sz="0" w:space="0" w:color="auto"/>
        <w:left w:val="none" w:sz="0" w:space="0" w:color="auto"/>
        <w:bottom w:val="none" w:sz="0" w:space="0" w:color="auto"/>
        <w:right w:val="none" w:sz="0" w:space="0" w:color="auto"/>
      </w:divBdr>
    </w:div>
    <w:div w:id="1551189711">
      <w:bodyDiv w:val="1"/>
      <w:marLeft w:val="0"/>
      <w:marRight w:val="0"/>
      <w:marTop w:val="0"/>
      <w:marBottom w:val="0"/>
      <w:divBdr>
        <w:top w:val="none" w:sz="0" w:space="0" w:color="auto"/>
        <w:left w:val="none" w:sz="0" w:space="0" w:color="auto"/>
        <w:bottom w:val="none" w:sz="0" w:space="0" w:color="auto"/>
        <w:right w:val="none" w:sz="0" w:space="0" w:color="auto"/>
      </w:divBdr>
    </w:div>
    <w:div w:id="1551765041">
      <w:bodyDiv w:val="1"/>
      <w:marLeft w:val="0"/>
      <w:marRight w:val="0"/>
      <w:marTop w:val="0"/>
      <w:marBottom w:val="0"/>
      <w:divBdr>
        <w:top w:val="none" w:sz="0" w:space="0" w:color="auto"/>
        <w:left w:val="none" w:sz="0" w:space="0" w:color="auto"/>
        <w:bottom w:val="none" w:sz="0" w:space="0" w:color="auto"/>
        <w:right w:val="none" w:sz="0" w:space="0" w:color="auto"/>
      </w:divBdr>
    </w:div>
    <w:div w:id="1552035790">
      <w:bodyDiv w:val="1"/>
      <w:marLeft w:val="0"/>
      <w:marRight w:val="0"/>
      <w:marTop w:val="0"/>
      <w:marBottom w:val="0"/>
      <w:divBdr>
        <w:top w:val="none" w:sz="0" w:space="0" w:color="auto"/>
        <w:left w:val="none" w:sz="0" w:space="0" w:color="auto"/>
        <w:bottom w:val="none" w:sz="0" w:space="0" w:color="auto"/>
        <w:right w:val="none" w:sz="0" w:space="0" w:color="auto"/>
      </w:divBdr>
    </w:div>
    <w:div w:id="1555656692">
      <w:bodyDiv w:val="1"/>
      <w:marLeft w:val="0"/>
      <w:marRight w:val="0"/>
      <w:marTop w:val="0"/>
      <w:marBottom w:val="0"/>
      <w:divBdr>
        <w:top w:val="none" w:sz="0" w:space="0" w:color="auto"/>
        <w:left w:val="none" w:sz="0" w:space="0" w:color="auto"/>
        <w:bottom w:val="none" w:sz="0" w:space="0" w:color="auto"/>
        <w:right w:val="none" w:sz="0" w:space="0" w:color="auto"/>
      </w:divBdr>
    </w:div>
    <w:div w:id="1558006443">
      <w:bodyDiv w:val="1"/>
      <w:marLeft w:val="0"/>
      <w:marRight w:val="0"/>
      <w:marTop w:val="0"/>
      <w:marBottom w:val="0"/>
      <w:divBdr>
        <w:top w:val="none" w:sz="0" w:space="0" w:color="auto"/>
        <w:left w:val="none" w:sz="0" w:space="0" w:color="auto"/>
        <w:bottom w:val="none" w:sz="0" w:space="0" w:color="auto"/>
        <w:right w:val="none" w:sz="0" w:space="0" w:color="auto"/>
      </w:divBdr>
    </w:div>
    <w:div w:id="1561552809">
      <w:bodyDiv w:val="1"/>
      <w:marLeft w:val="0"/>
      <w:marRight w:val="0"/>
      <w:marTop w:val="0"/>
      <w:marBottom w:val="0"/>
      <w:divBdr>
        <w:top w:val="none" w:sz="0" w:space="0" w:color="auto"/>
        <w:left w:val="none" w:sz="0" w:space="0" w:color="auto"/>
        <w:bottom w:val="none" w:sz="0" w:space="0" w:color="auto"/>
        <w:right w:val="none" w:sz="0" w:space="0" w:color="auto"/>
      </w:divBdr>
    </w:div>
    <w:div w:id="1562449671">
      <w:bodyDiv w:val="1"/>
      <w:marLeft w:val="0"/>
      <w:marRight w:val="0"/>
      <w:marTop w:val="0"/>
      <w:marBottom w:val="0"/>
      <w:divBdr>
        <w:top w:val="none" w:sz="0" w:space="0" w:color="auto"/>
        <w:left w:val="none" w:sz="0" w:space="0" w:color="auto"/>
        <w:bottom w:val="none" w:sz="0" w:space="0" w:color="auto"/>
        <w:right w:val="none" w:sz="0" w:space="0" w:color="auto"/>
      </w:divBdr>
    </w:div>
    <w:div w:id="1570724477">
      <w:bodyDiv w:val="1"/>
      <w:marLeft w:val="0"/>
      <w:marRight w:val="0"/>
      <w:marTop w:val="0"/>
      <w:marBottom w:val="0"/>
      <w:divBdr>
        <w:top w:val="none" w:sz="0" w:space="0" w:color="auto"/>
        <w:left w:val="none" w:sz="0" w:space="0" w:color="auto"/>
        <w:bottom w:val="none" w:sz="0" w:space="0" w:color="auto"/>
        <w:right w:val="none" w:sz="0" w:space="0" w:color="auto"/>
      </w:divBdr>
    </w:div>
    <w:div w:id="1574731773">
      <w:bodyDiv w:val="1"/>
      <w:marLeft w:val="0"/>
      <w:marRight w:val="0"/>
      <w:marTop w:val="0"/>
      <w:marBottom w:val="0"/>
      <w:divBdr>
        <w:top w:val="none" w:sz="0" w:space="0" w:color="auto"/>
        <w:left w:val="none" w:sz="0" w:space="0" w:color="auto"/>
        <w:bottom w:val="none" w:sz="0" w:space="0" w:color="auto"/>
        <w:right w:val="none" w:sz="0" w:space="0" w:color="auto"/>
      </w:divBdr>
    </w:div>
    <w:div w:id="1575243581">
      <w:bodyDiv w:val="1"/>
      <w:marLeft w:val="0"/>
      <w:marRight w:val="0"/>
      <w:marTop w:val="0"/>
      <w:marBottom w:val="0"/>
      <w:divBdr>
        <w:top w:val="none" w:sz="0" w:space="0" w:color="auto"/>
        <w:left w:val="none" w:sz="0" w:space="0" w:color="auto"/>
        <w:bottom w:val="none" w:sz="0" w:space="0" w:color="auto"/>
        <w:right w:val="none" w:sz="0" w:space="0" w:color="auto"/>
      </w:divBdr>
    </w:div>
    <w:div w:id="1576741738">
      <w:bodyDiv w:val="1"/>
      <w:marLeft w:val="0"/>
      <w:marRight w:val="0"/>
      <w:marTop w:val="0"/>
      <w:marBottom w:val="0"/>
      <w:divBdr>
        <w:top w:val="none" w:sz="0" w:space="0" w:color="auto"/>
        <w:left w:val="none" w:sz="0" w:space="0" w:color="auto"/>
        <w:bottom w:val="none" w:sz="0" w:space="0" w:color="auto"/>
        <w:right w:val="none" w:sz="0" w:space="0" w:color="auto"/>
      </w:divBdr>
    </w:div>
    <w:div w:id="1578058098">
      <w:bodyDiv w:val="1"/>
      <w:marLeft w:val="0"/>
      <w:marRight w:val="0"/>
      <w:marTop w:val="0"/>
      <w:marBottom w:val="0"/>
      <w:divBdr>
        <w:top w:val="none" w:sz="0" w:space="0" w:color="auto"/>
        <w:left w:val="none" w:sz="0" w:space="0" w:color="auto"/>
        <w:bottom w:val="none" w:sz="0" w:space="0" w:color="auto"/>
        <w:right w:val="none" w:sz="0" w:space="0" w:color="auto"/>
      </w:divBdr>
    </w:div>
    <w:div w:id="1579443274">
      <w:bodyDiv w:val="1"/>
      <w:marLeft w:val="0"/>
      <w:marRight w:val="0"/>
      <w:marTop w:val="0"/>
      <w:marBottom w:val="0"/>
      <w:divBdr>
        <w:top w:val="none" w:sz="0" w:space="0" w:color="auto"/>
        <w:left w:val="none" w:sz="0" w:space="0" w:color="auto"/>
        <w:bottom w:val="none" w:sz="0" w:space="0" w:color="auto"/>
        <w:right w:val="none" w:sz="0" w:space="0" w:color="auto"/>
      </w:divBdr>
    </w:div>
    <w:div w:id="1583105818">
      <w:bodyDiv w:val="1"/>
      <w:marLeft w:val="0"/>
      <w:marRight w:val="0"/>
      <w:marTop w:val="0"/>
      <w:marBottom w:val="0"/>
      <w:divBdr>
        <w:top w:val="none" w:sz="0" w:space="0" w:color="auto"/>
        <w:left w:val="none" w:sz="0" w:space="0" w:color="auto"/>
        <w:bottom w:val="none" w:sz="0" w:space="0" w:color="auto"/>
        <w:right w:val="none" w:sz="0" w:space="0" w:color="auto"/>
      </w:divBdr>
    </w:div>
    <w:div w:id="1583953343">
      <w:bodyDiv w:val="1"/>
      <w:marLeft w:val="0"/>
      <w:marRight w:val="0"/>
      <w:marTop w:val="0"/>
      <w:marBottom w:val="0"/>
      <w:divBdr>
        <w:top w:val="none" w:sz="0" w:space="0" w:color="auto"/>
        <w:left w:val="none" w:sz="0" w:space="0" w:color="auto"/>
        <w:bottom w:val="none" w:sz="0" w:space="0" w:color="auto"/>
        <w:right w:val="none" w:sz="0" w:space="0" w:color="auto"/>
      </w:divBdr>
    </w:div>
    <w:div w:id="1584487141">
      <w:bodyDiv w:val="1"/>
      <w:marLeft w:val="0"/>
      <w:marRight w:val="0"/>
      <w:marTop w:val="0"/>
      <w:marBottom w:val="0"/>
      <w:divBdr>
        <w:top w:val="none" w:sz="0" w:space="0" w:color="auto"/>
        <w:left w:val="none" w:sz="0" w:space="0" w:color="auto"/>
        <w:bottom w:val="none" w:sz="0" w:space="0" w:color="auto"/>
        <w:right w:val="none" w:sz="0" w:space="0" w:color="auto"/>
      </w:divBdr>
    </w:div>
    <w:div w:id="1587959990">
      <w:bodyDiv w:val="1"/>
      <w:marLeft w:val="0"/>
      <w:marRight w:val="0"/>
      <w:marTop w:val="0"/>
      <w:marBottom w:val="0"/>
      <w:divBdr>
        <w:top w:val="none" w:sz="0" w:space="0" w:color="auto"/>
        <w:left w:val="none" w:sz="0" w:space="0" w:color="auto"/>
        <w:bottom w:val="none" w:sz="0" w:space="0" w:color="auto"/>
        <w:right w:val="none" w:sz="0" w:space="0" w:color="auto"/>
      </w:divBdr>
    </w:div>
    <w:div w:id="1588415142">
      <w:bodyDiv w:val="1"/>
      <w:marLeft w:val="0"/>
      <w:marRight w:val="0"/>
      <w:marTop w:val="0"/>
      <w:marBottom w:val="0"/>
      <w:divBdr>
        <w:top w:val="none" w:sz="0" w:space="0" w:color="auto"/>
        <w:left w:val="none" w:sz="0" w:space="0" w:color="auto"/>
        <w:bottom w:val="none" w:sz="0" w:space="0" w:color="auto"/>
        <w:right w:val="none" w:sz="0" w:space="0" w:color="auto"/>
      </w:divBdr>
    </w:div>
    <w:div w:id="1589728823">
      <w:bodyDiv w:val="1"/>
      <w:marLeft w:val="0"/>
      <w:marRight w:val="0"/>
      <w:marTop w:val="0"/>
      <w:marBottom w:val="0"/>
      <w:divBdr>
        <w:top w:val="none" w:sz="0" w:space="0" w:color="auto"/>
        <w:left w:val="none" w:sz="0" w:space="0" w:color="auto"/>
        <w:bottom w:val="none" w:sz="0" w:space="0" w:color="auto"/>
        <w:right w:val="none" w:sz="0" w:space="0" w:color="auto"/>
      </w:divBdr>
    </w:div>
    <w:div w:id="1590775117">
      <w:bodyDiv w:val="1"/>
      <w:marLeft w:val="0"/>
      <w:marRight w:val="0"/>
      <w:marTop w:val="0"/>
      <w:marBottom w:val="0"/>
      <w:divBdr>
        <w:top w:val="none" w:sz="0" w:space="0" w:color="auto"/>
        <w:left w:val="none" w:sz="0" w:space="0" w:color="auto"/>
        <w:bottom w:val="none" w:sz="0" w:space="0" w:color="auto"/>
        <w:right w:val="none" w:sz="0" w:space="0" w:color="auto"/>
      </w:divBdr>
    </w:div>
    <w:div w:id="1591085275">
      <w:bodyDiv w:val="1"/>
      <w:marLeft w:val="0"/>
      <w:marRight w:val="0"/>
      <w:marTop w:val="0"/>
      <w:marBottom w:val="0"/>
      <w:divBdr>
        <w:top w:val="none" w:sz="0" w:space="0" w:color="auto"/>
        <w:left w:val="none" w:sz="0" w:space="0" w:color="auto"/>
        <w:bottom w:val="none" w:sz="0" w:space="0" w:color="auto"/>
        <w:right w:val="none" w:sz="0" w:space="0" w:color="auto"/>
      </w:divBdr>
    </w:div>
    <w:div w:id="1591280418">
      <w:bodyDiv w:val="1"/>
      <w:marLeft w:val="0"/>
      <w:marRight w:val="0"/>
      <w:marTop w:val="0"/>
      <w:marBottom w:val="0"/>
      <w:divBdr>
        <w:top w:val="none" w:sz="0" w:space="0" w:color="auto"/>
        <w:left w:val="none" w:sz="0" w:space="0" w:color="auto"/>
        <w:bottom w:val="none" w:sz="0" w:space="0" w:color="auto"/>
        <w:right w:val="none" w:sz="0" w:space="0" w:color="auto"/>
      </w:divBdr>
    </w:div>
    <w:div w:id="1592472906">
      <w:bodyDiv w:val="1"/>
      <w:marLeft w:val="0"/>
      <w:marRight w:val="0"/>
      <w:marTop w:val="0"/>
      <w:marBottom w:val="0"/>
      <w:divBdr>
        <w:top w:val="none" w:sz="0" w:space="0" w:color="auto"/>
        <w:left w:val="none" w:sz="0" w:space="0" w:color="auto"/>
        <w:bottom w:val="none" w:sz="0" w:space="0" w:color="auto"/>
        <w:right w:val="none" w:sz="0" w:space="0" w:color="auto"/>
      </w:divBdr>
    </w:div>
    <w:div w:id="1595046490">
      <w:bodyDiv w:val="1"/>
      <w:marLeft w:val="0"/>
      <w:marRight w:val="0"/>
      <w:marTop w:val="0"/>
      <w:marBottom w:val="0"/>
      <w:divBdr>
        <w:top w:val="none" w:sz="0" w:space="0" w:color="auto"/>
        <w:left w:val="none" w:sz="0" w:space="0" w:color="auto"/>
        <w:bottom w:val="none" w:sz="0" w:space="0" w:color="auto"/>
        <w:right w:val="none" w:sz="0" w:space="0" w:color="auto"/>
      </w:divBdr>
    </w:div>
    <w:div w:id="1597638680">
      <w:bodyDiv w:val="1"/>
      <w:marLeft w:val="0"/>
      <w:marRight w:val="0"/>
      <w:marTop w:val="0"/>
      <w:marBottom w:val="0"/>
      <w:divBdr>
        <w:top w:val="none" w:sz="0" w:space="0" w:color="auto"/>
        <w:left w:val="none" w:sz="0" w:space="0" w:color="auto"/>
        <w:bottom w:val="none" w:sz="0" w:space="0" w:color="auto"/>
        <w:right w:val="none" w:sz="0" w:space="0" w:color="auto"/>
      </w:divBdr>
    </w:div>
    <w:div w:id="1597900691">
      <w:bodyDiv w:val="1"/>
      <w:marLeft w:val="0"/>
      <w:marRight w:val="0"/>
      <w:marTop w:val="0"/>
      <w:marBottom w:val="0"/>
      <w:divBdr>
        <w:top w:val="none" w:sz="0" w:space="0" w:color="auto"/>
        <w:left w:val="none" w:sz="0" w:space="0" w:color="auto"/>
        <w:bottom w:val="none" w:sz="0" w:space="0" w:color="auto"/>
        <w:right w:val="none" w:sz="0" w:space="0" w:color="auto"/>
      </w:divBdr>
    </w:div>
    <w:div w:id="1599018689">
      <w:bodyDiv w:val="1"/>
      <w:marLeft w:val="0"/>
      <w:marRight w:val="0"/>
      <w:marTop w:val="0"/>
      <w:marBottom w:val="0"/>
      <w:divBdr>
        <w:top w:val="none" w:sz="0" w:space="0" w:color="auto"/>
        <w:left w:val="none" w:sz="0" w:space="0" w:color="auto"/>
        <w:bottom w:val="none" w:sz="0" w:space="0" w:color="auto"/>
        <w:right w:val="none" w:sz="0" w:space="0" w:color="auto"/>
      </w:divBdr>
    </w:div>
    <w:div w:id="1603411108">
      <w:bodyDiv w:val="1"/>
      <w:marLeft w:val="0"/>
      <w:marRight w:val="0"/>
      <w:marTop w:val="0"/>
      <w:marBottom w:val="0"/>
      <w:divBdr>
        <w:top w:val="none" w:sz="0" w:space="0" w:color="auto"/>
        <w:left w:val="none" w:sz="0" w:space="0" w:color="auto"/>
        <w:bottom w:val="none" w:sz="0" w:space="0" w:color="auto"/>
        <w:right w:val="none" w:sz="0" w:space="0" w:color="auto"/>
      </w:divBdr>
    </w:div>
    <w:div w:id="1604724629">
      <w:bodyDiv w:val="1"/>
      <w:marLeft w:val="0"/>
      <w:marRight w:val="0"/>
      <w:marTop w:val="0"/>
      <w:marBottom w:val="0"/>
      <w:divBdr>
        <w:top w:val="none" w:sz="0" w:space="0" w:color="auto"/>
        <w:left w:val="none" w:sz="0" w:space="0" w:color="auto"/>
        <w:bottom w:val="none" w:sz="0" w:space="0" w:color="auto"/>
        <w:right w:val="none" w:sz="0" w:space="0" w:color="auto"/>
      </w:divBdr>
    </w:div>
    <w:div w:id="1607881488">
      <w:bodyDiv w:val="1"/>
      <w:marLeft w:val="0"/>
      <w:marRight w:val="0"/>
      <w:marTop w:val="0"/>
      <w:marBottom w:val="0"/>
      <w:divBdr>
        <w:top w:val="none" w:sz="0" w:space="0" w:color="auto"/>
        <w:left w:val="none" w:sz="0" w:space="0" w:color="auto"/>
        <w:bottom w:val="none" w:sz="0" w:space="0" w:color="auto"/>
        <w:right w:val="none" w:sz="0" w:space="0" w:color="auto"/>
      </w:divBdr>
    </w:div>
    <w:div w:id="1608536455">
      <w:bodyDiv w:val="1"/>
      <w:marLeft w:val="0"/>
      <w:marRight w:val="0"/>
      <w:marTop w:val="0"/>
      <w:marBottom w:val="0"/>
      <w:divBdr>
        <w:top w:val="none" w:sz="0" w:space="0" w:color="auto"/>
        <w:left w:val="none" w:sz="0" w:space="0" w:color="auto"/>
        <w:bottom w:val="none" w:sz="0" w:space="0" w:color="auto"/>
        <w:right w:val="none" w:sz="0" w:space="0" w:color="auto"/>
      </w:divBdr>
    </w:div>
    <w:div w:id="1608659780">
      <w:bodyDiv w:val="1"/>
      <w:marLeft w:val="0"/>
      <w:marRight w:val="0"/>
      <w:marTop w:val="0"/>
      <w:marBottom w:val="0"/>
      <w:divBdr>
        <w:top w:val="none" w:sz="0" w:space="0" w:color="auto"/>
        <w:left w:val="none" w:sz="0" w:space="0" w:color="auto"/>
        <w:bottom w:val="none" w:sz="0" w:space="0" w:color="auto"/>
        <w:right w:val="none" w:sz="0" w:space="0" w:color="auto"/>
      </w:divBdr>
    </w:div>
    <w:div w:id="1609387419">
      <w:bodyDiv w:val="1"/>
      <w:marLeft w:val="0"/>
      <w:marRight w:val="0"/>
      <w:marTop w:val="0"/>
      <w:marBottom w:val="0"/>
      <w:divBdr>
        <w:top w:val="none" w:sz="0" w:space="0" w:color="auto"/>
        <w:left w:val="none" w:sz="0" w:space="0" w:color="auto"/>
        <w:bottom w:val="none" w:sz="0" w:space="0" w:color="auto"/>
        <w:right w:val="none" w:sz="0" w:space="0" w:color="auto"/>
      </w:divBdr>
    </w:div>
    <w:div w:id="1612014176">
      <w:bodyDiv w:val="1"/>
      <w:marLeft w:val="0"/>
      <w:marRight w:val="0"/>
      <w:marTop w:val="0"/>
      <w:marBottom w:val="0"/>
      <w:divBdr>
        <w:top w:val="none" w:sz="0" w:space="0" w:color="auto"/>
        <w:left w:val="none" w:sz="0" w:space="0" w:color="auto"/>
        <w:bottom w:val="none" w:sz="0" w:space="0" w:color="auto"/>
        <w:right w:val="none" w:sz="0" w:space="0" w:color="auto"/>
      </w:divBdr>
    </w:div>
    <w:div w:id="1612128511">
      <w:bodyDiv w:val="1"/>
      <w:marLeft w:val="0"/>
      <w:marRight w:val="0"/>
      <w:marTop w:val="0"/>
      <w:marBottom w:val="0"/>
      <w:divBdr>
        <w:top w:val="none" w:sz="0" w:space="0" w:color="auto"/>
        <w:left w:val="none" w:sz="0" w:space="0" w:color="auto"/>
        <w:bottom w:val="none" w:sz="0" w:space="0" w:color="auto"/>
        <w:right w:val="none" w:sz="0" w:space="0" w:color="auto"/>
      </w:divBdr>
    </w:div>
    <w:div w:id="1613786236">
      <w:bodyDiv w:val="1"/>
      <w:marLeft w:val="0"/>
      <w:marRight w:val="0"/>
      <w:marTop w:val="0"/>
      <w:marBottom w:val="0"/>
      <w:divBdr>
        <w:top w:val="none" w:sz="0" w:space="0" w:color="auto"/>
        <w:left w:val="none" w:sz="0" w:space="0" w:color="auto"/>
        <w:bottom w:val="none" w:sz="0" w:space="0" w:color="auto"/>
        <w:right w:val="none" w:sz="0" w:space="0" w:color="auto"/>
      </w:divBdr>
    </w:div>
    <w:div w:id="1615866206">
      <w:bodyDiv w:val="1"/>
      <w:marLeft w:val="0"/>
      <w:marRight w:val="0"/>
      <w:marTop w:val="0"/>
      <w:marBottom w:val="0"/>
      <w:divBdr>
        <w:top w:val="none" w:sz="0" w:space="0" w:color="auto"/>
        <w:left w:val="none" w:sz="0" w:space="0" w:color="auto"/>
        <w:bottom w:val="none" w:sz="0" w:space="0" w:color="auto"/>
        <w:right w:val="none" w:sz="0" w:space="0" w:color="auto"/>
      </w:divBdr>
    </w:div>
    <w:div w:id="1619679945">
      <w:bodyDiv w:val="1"/>
      <w:marLeft w:val="0"/>
      <w:marRight w:val="0"/>
      <w:marTop w:val="0"/>
      <w:marBottom w:val="0"/>
      <w:divBdr>
        <w:top w:val="none" w:sz="0" w:space="0" w:color="auto"/>
        <w:left w:val="none" w:sz="0" w:space="0" w:color="auto"/>
        <w:bottom w:val="none" w:sz="0" w:space="0" w:color="auto"/>
        <w:right w:val="none" w:sz="0" w:space="0" w:color="auto"/>
      </w:divBdr>
    </w:div>
    <w:div w:id="1620599058">
      <w:bodyDiv w:val="1"/>
      <w:marLeft w:val="0"/>
      <w:marRight w:val="0"/>
      <w:marTop w:val="0"/>
      <w:marBottom w:val="0"/>
      <w:divBdr>
        <w:top w:val="none" w:sz="0" w:space="0" w:color="auto"/>
        <w:left w:val="none" w:sz="0" w:space="0" w:color="auto"/>
        <w:bottom w:val="none" w:sz="0" w:space="0" w:color="auto"/>
        <w:right w:val="none" w:sz="0" w:space="0" w:color="auto"/>
      </w:divBdr>
    </w:div>
    <w:div w:id="1621061253">
      <w:bodyDiv w:val="1"/>
      <w:marLeft w:val="0"/>
      <w:marRight w:val="0"/>
      <w:marTop w:val="0"/>
      <w:marBottom w:val="0"/>
      <w:divBdr>
        <w:top w:val="none" w:sz="0" w:space="0" w:color="auto"/>
        <w:left w:val="none" w:sz="0" w:space="0" w:color="auto"/>
        <w:bottom w:val="none" w:sz="0" w:space="0" w:color="auto"/>
        <w:right w:val="none" w:sz="0" w:space="0" w:color="auto"/>
      </w:divBdr>
    </w:div>
    <w:div w:id="1621105648">
      <w:bodyDiv w:val="1"/>
      <w:marLeft w:val="0"/>
      <w:marRight w:val="0"/>
      <w:marTop w:val="0"/>
      <w:marBottom w:val="0"/>
      <w:divBdr>
        <w:top w:val="none" w:sz="0" w:space="0" w:color="auto"/>
        <w:left w:val="none" w:sz="0" w:space="0" w:color="auto"/>
        <w:bottom w:val="none" w:sz="0" w:space="0" w:color="auto"/>
        <w:right w:val="none" w:sz="0" w:space="0" w:color="auto"/>
      </w:divBdr>
    </w:div>
    <w:div w:id="1626933169">
      <w:bodyDiv w:val="1"/>
      <w:marLeft w:val="0"/>
      <w:marRight w:val="0"/>
      <w:marTop w:val="0"/>
      <w:marBottom w:val="0"/>
      <w:divBdr>
        <w:top w:val="none" w:sz="0" w:space="0" w:color="auto"/>
        <w:left w:val="none" w:sz="0" w:space="0" w:color="auto"/>
        <w:bottom w:val="none" w:sz="0" w:space="0" w:color="auto"/>
        <w:right w:val="none" w:sz="0" w:space="0" w:color="auto"/>
      </w:divBdr>
    </w:div>
    <w:div w:id="1632521047">
      <w:bodyDiv w:val="1"/>
      <w:marLeft w:val="0"/>
      <w:marRight w:val="0"/>
      <w:marTop w:val="0"/>
      <w:marBottom w:val="0"/>
      <w:divBdr>
        <w:top w:val="none" w:sz="0" w:space="0" w:color="auto"/>
        <w:left w:val="none" w:sz="0" w:space="0" w:color="auto"/>
        <w:bottom w:val="none" w:sz="0" w:space="0" w:color="auto"/>
        <w:right w:val="none" w:sz="0" w:space="0" w:color="auto"/>
      </w:divBdr>
    </w:div>
    <w:div w:id="1632638940">
      <w:bodyDiv w:val="1"/>
      <w:marLeft w:val="0"/>
      <w:marRight w:val="0"/>
      <w:marTop w:val="0"/>
      <w:marBottom w:val="0"/>
      <w:divBdr>
        <w:top w:val="none" w:sz="0" w:space="0" w:color="auto"/>
        <w:left w:val="none" w:sz="0" w:space="0" w:color="auto"/>
        <w:bottom w:val="none" w:sz="0" w:space="0" w:color="auto"/>
        <w:right w:val="none" w:sz="0" w:space="0" w:color="auto"/>
      </w:divBdr>
    </w:div>
    <w:div w:id="1634212374">
      <w:bodyDiv w:val="1"/>
      <w:marLeft w:val="0"/>
      <w:marRight w:val="0"/>
      <w:marTop w:val="0"/>
      <w:marBottom w:val="0"/>
      <w:divBdr>
        <w:top w:val="none" w:sz="0" w:space="0" w:color="auto"/>
        <w:left w:val="none" w:sz="0" w:space="0" w:color="auto"/>
        <w:bottom w:val="none" w:sz="0" w:space="0" w:color="auto"/>
        <w:right w:val="none" w:sz="0" w:space="0" w:color="auto"/>
      </w:divBdr>
    </w:div>
    <w:div w:id="1636712467">
      <w:bodyDiv w:val="1"/>
      <w:marLeft w:val="0"/>
      <w:marRight w:val="0"/>
      <w:marTop w:val="0"/>
      <w:marBottom w:val="0"/>
      <w:divBdr>
        <w:top w:val="none" w:sz="0" w:space="0" w:color="auto"/>
        <w:left w:val="none" w:sz="0" w:space="0" w:color="auto"/>
        <w:bottom w:val="none" w:sz="0" w:space="0" w:color="auto"/>
        <w:right w:val="none" w:sz="0" w:space="0" w:color="auto"/>
      </w:divBdr>
    </w:div>
    <w:div w:id="1637367895">
      <w:bodyDiv w:val="1"/>
      <w:marLeft w:val="0"/>
      <w:marRight w:val="0"/>
      <w:marTop w:val="0"/>
      <w:marBottom w:val="0"/>
      <w:divBdr>
        <w:top w:val="none" w:sz="0" w:space="0" w:color="auto"/>
        <w:left w:val="none" w:sz="0" w:space="0" w:color="auto"/>
        <w:bottom w:val="none" w:sz="0" w:space="0" w:color="auto"/>
        <w:right w:val="none" w:sz="0" w:space="0" w:color="auto"/>
      </w:divBdr>
    </w:div>
    <w:div w:id="1638297517">
      <w:bodyDiv w:val="1"/>
      <w:marLeft w:val="0"/>
      <w:marRight w:val="0"/>
      <w:marTop w:val="0"/>
      <w:marBottom w:val="0"/>
      <w:divBdr>
        <w:top w:val="none" w:sz="0" w:space="0" w:color="auto"/>
        <w:left w:val="none" w:sz="0" w:space="0" w:color="auto"/>
        <w:bottom w:val="none" w:sz="0" w:space="0" w:color="auto"/>
        <w:right w:val="none" w:sz="0" w:space="0" w:color="auto"/>
      </w:divBdr>
    </w:div>
    <w:div w:id="1639453512">
      <w:bodyDiv w:val="1"/>
      <w:marLeft w:val="0"/>
      <w:marRight w:val="0"/>
      <w:marTop w:val="0"/>
      <w:marBottom w:val="0"/>
      <w:divBdr>
        <w:top w:val="none" w:sz="0" w:space="0" w:color="auto"/>
        <w:left w:val="none" w:sz="0" w:space="0" w:color="auto"/>
        <w:bottom w:val="none" w:sz="0" w:space="0" w:color="auto"/>
        <w:right w:val="none" w:sz="0" w:space="0" w:color="auto"/>
      </w:divBdr>
    </w:div>
    <w:div w:id="1640039585">
      <w:bodyDiv w:val="1"/>
      <w:marLeft w:val="0"/>
      <w:marRight w:val="0"/>
      <w:marTop w:val="0"/>
      <w:marBottom w:val="0"/>
      <w:divBdr>
        <w:top w:val="none" w:sz="0" w:space="0" w:color="auto"/>
        <w:left w:val="none" w:sz="0" w:space="0" w:color="auto"/>
        <w:bottom w:val="none" w:sz="0" w:space="0" w:color="auto"/>
        <w:right w:val="none" w:sz="0" w:space="0" w:color="auto"/>
      </w:divBdr>
    </w:div>
    <w:div w:id="1641694693">
      <w:bodyDiv w:val="1"/>
      <w:marLeft w:val="0"/>
      <w:marRight w:val="0"/>
      <w:marTop w:val="0"/>
      <w:marBottom w:val="0"/>
      <w:divBdr>
        <w:top w:val="none" w:sz="0" w:space="0" w:color="auto"/>
        <w:left w:val="none" w:sz="0" w:space="0" w:color="auto"/>
        <w:bottom w:val="none" w:sz="0" w:space="0" w:color="auto"/>
        <w:right w:val="none" w:sz="0" w:space="0" w:color="auto"/>
      </w:divBdr>
    </w:div>
    <w:div w:id="1642491757">
      <w:bodyDiv w:val="1"/>
      <w:marLeft w:val="0"/>
      <w:marRight w:val="0"/>
      <w:marTop w:val="0"/>
      <w:marBottom w:val="0"/>
      <w:divBdr>
        <w:top w:val="none" w:sz="0" w:space="0" w:color="auto"/>
        <w:left w:val="none" w:sz="0" w:space="0" w:color="auto"/>
        <w:bottom w:val="none" w:sz="0" w:space="0" w:color="auto"/>
        <w:right w:val="none" w:sz="0" w:space="0" w:color="auto"/>
      </w:divBdr>
    </w:div>
    <w:div w:id="1644583154">
      <w:bodyDiv w:val="1"/>
      <w:marLeft w:val="0"/>
      <w:marRight w:val="0"/>
      <w:marTop w:val="0"/>
      <w:marBottom w:val="0"/>
      <w:divBdr>
        <w:top w:val="none" w:sz="0" w:space="0" w:color="auto"/>
        <w:left w:val="none" w:sz="0" w:space="0" w:color="auto"/>
        <w:bottom w:val="none" w:sz="0" w:space="0" w:color="auto"/>
        <w:right w:val="none" w:sz="0" w:space="0" w:color="auto"/>
      </w:divBdr>
    </w:div>
    <w:div w:id="1644694972">
      <w:bodyDiv w:val="1"/>
      <w:marLeft w:val="0"/>
      <w:marRight w:val="0"/>
      <w:marTop w:val="0"/>
      <w:marBottom w:val="0"/>
      <w:divBdr>
        <w:top w:val="none" w:sz="0" w:space="0" w:color="auto"/>
        <w:left w:val="none" w:sz="0" w:space="0" w:color="auto"/>
        <w:bottom w:val="none" w:sz="0" w:space="0" w:color="auto"/>
        <w:right w:val="none" w:sz="0" w:space="0" w:color="auto"/>
      </w:divBdr>
    </w:div>
    <w:div w:id="1649243004">
      <w:bodyDiv w:val="1"/>
      <w:marLeft w:val="0"/>
      <w:marRight w:val="0"/>
      <w:marTop w:val="0"/>
      <w:marBottom w:val="0"/>
      <w:divBdr>
        <w:top w:val="none" w:sz="0" w:space="0" w:color="auto"/>
        <w:left w:val="none" w:sz="0" w:space="0" w:color="auto"/>
        <w:bottom w:val="none" w:sz="0" w:space="0" w:color="auto"/>
        <w:right w:val="none" w:sz="0" w:space="0" w:color="auto"/>
      </w:divBdr>
    </w:div>
    <w:div w:id="1650672852">
      <w:bodyDiv w:val="1"/>
      <w:marLeft w:val="0"/>
      <w:marRight w:val="0"/>
      <w:marTop w:val="0"/>
      <w:marBottom w:val="0"/>
      <w:divBdr>
        <w:top w:val="none" w:sz="0" w:space="0" w:color="auto"/>
        <w:left w:val="none" w:sz="0" w:space="0" w:color="auto"/>
        <w:bottom w:val="none" w:sz="0" w:space="0" w:color="auto"/>
        <w:right w:val="none" w:sz="0" w:space="0" w:color="auto"/>
      </w:divBdr>
    </w:div>
    <w:div w:id="1651984373">
      <w:bodyDiv w:val="1"/>
      <w:marLeft w:val="0"/>
      <w:marRight w:val="0"/>
      <w:marTop w:val="0"/>
      <w:marBottom w:val="0"/>
      <w:divBdr>
        <w:top w:val="none" w:sz="0" w:space="0" w:color="auto"/>
        <w:left w:val="none" w:sz="0" w:space="0" w:color="auto"/>
        <w:bottom w:val="none" w:sz="0" w:space="0" w:color="auto"/>
        <w:right w:val="none" w:sz="0" w:space="0" w:color="auto"/>
      </w:divBdr>
    </w:div>
    <w:div w:id="1652709015">
      <w:bodyDiv w:val="1"/>
      <w:marLeft w:val="0"/>
      <w:marRight w:val="0"/>
      <w:marTop w:val="0"/>
      <w:marBottom w:val="0"/>
      <w:divBdr>
        <w:top w:val="none" w:sz="0" w:space="0" w:color="auto"/>
        <w:left w:val="none" w:sz="0" w:space="0" w:color="auto"/>
        <w:bottom w:val="none" w:sz="0" w:space="0" w:color="auto"/>
        <w:right w:val="none" w:sz="0" w:space="0" w:color="auto"/>
      </w:divBdr>
    </w:div>
    <w:div w:id="1652710807">
      <w:bodyDiv w:val="1"/>
      <w:marLeft w:val="0"/>
      <w:marRight w:val="0"/>
      <w:marTop w:val="0"/>
      <w:marBottom w:val="0"/>
      <w:divBdr>
        <w:top w:val="none" w:sz="0" w:space="0" w:color="auto"/>
        <w:left w:val="none" w:sz="0" w:space="0" w:color="auto"/>
        <w:bottom w:val="none" w:sz="0" w:space="0" w:color="auto"/>
        <w:right w:val="none" w:sz="0" w:space="0" w:color="auto"/>
      </w:divBdr>
    </w:div>
    <w:div w:id="1653635753">
      <w:bodyDiv w:val="1"/>
      <w:marLeft w:val="0"/>
      <w:marRight w:val="0"/>
      <w:marTop w:val="0"/>
      <w:marBottom w:val="0"/>
      <w:divBdr>
        <w:top w:val="none" w:sz="0" w:space="0" w:color="auto"/>
        <w:left w:val="none" w:sz="0" w:space="0" w:color="auto"/>
        <w:bottom w:val="none" w:sz="0" w:space="0" w:color="auto"/>
        <w:right w:val="none" w:sz="0" w:space="0" w:color="auto"/>
      </w:divBdr>
    </w:div>
    <w:div w:id="1654674861">
      <w:bodyDiv w:val="1"/>
      <w:marLeft w:val="0"/>
      <w:marRight w:val="0"/>
      <w:marTop w:val="0"/>
      <w:marBottom w:val="0"/>
      <w:divBdr>
        <w:top w:val="none" w:sz="0" w:space="0" w:color="auto"/>
        <w:left w:val="none" w:sz="0" w:space="0" w:color="auto"/>
        <w:bottom w:val="none" w:sz="0" w:space="0" w:color="auto"/>
        <w:right w:val="none" w:sz="0" w:space="0" w:color="auto"/>
      </w:divBdr>
    </w:div>
    <w:div w:id="1656449919">
      <w:bodyDiv w:val="1"/>
      <w:marLeft w:val="0"/>
      <w:marRight w:val="0"/>
      <w:marTop w:val="0"/>
      <w:marBottom w:val="0"/>
      <w:divBdr>
        <w:top w:val="none" w:sz="0" w:space="0" w:color="auto"/>
        <w:left w:val="none" w:sz="0" w:space="0" w:color="auto"/>
        <w:bottom w:val="none" w:sz="0" w:space="0" w:color="auto"/>
        <w:right w:val="none" w:sz="0" w:space="0" w:color="auto"/>
      </w:divBdr>
    </w:div>
    <w:div w:id="1660765453">
      <w:bodyDiv w:val="1"/>
      <w:marLeft w:val="0"/>
      <w:marRight w:val="0"/>
      <w:marTop w:val="0"/>
      <w:marBottom w:val="0"/>
      <w:divBdr>
        <w:top w:val="none" w:sz="0" w:space="0" w:color="auto"/>
        <w:left w:val="none" w:sz="0" w:space="0" w:color="auto"/>
        <w:bottom w:val="none" w:sz="0" w:space="0" w:color="auto"/>
        <w:right w:val="none" w:sz="0" w:space="0" w:color="auto"/>
      </w:divBdr>
    </w:div>
    <w:div w:id="1660958832">
      <w:bodyDiv w:val="1"/>
      <w:marLeft w:val="0"/>
      <w:marRight w:val="0"/>
      <w:marTop w:val="0"/>
      <w:marBottom w:val="0"/>
      <w:divBdr>
        <w:top w:val="none" w:sz="0" w:space="0" w:color="auto"/>
        <w:left w:val="none" w:sz="0" w:space="0" w:color="auto"/>
        <w:bottom w:val="none" w:sz="0" w:space="0" w:color="auto"/>
        <w:right w:val="none" w:sz="0" w:space="0" w:color="auto"/>
      </w:divBdr>
    </w:div>
    <w:div w:id="1662851851">
      <w:bodyDiv w:val="1"/>
      <w:marLeft w:val="0"/>
      <w:marRight w:val="0"/>
      <w:marTop w:val="0"/>
      <w:marBottom w:val="0"/>
      <w:divBdr>
        <w:top w:val="none" w:sz="0" w:space="0" w:color="auto"/>
        <w:left w:val="none" w:sz="0" w:space="0" w:color="auto"/>
        <w:bottom w:val="none" w:sz="0" w:space="0" w:color="auto"/>
        <w:right w:val="none" w:sz="0" w:space="0" w:color="auto"/>
      </w:divBdr>
    </w:div>
    <w:div w:id="1664235304">
      <w:bodyDiv w:val="1"/>
      <w:marLeft w:val="0"/>
      <w:marRight w:val="0"/>
      <w:marTop w:val="0"/>
      <w:marBottom w:val="0"/>
      <w:divBdr>
        <w:top w:val="none" w:sz="0" w:space="0" w:color="auto"/>
        <w:left w:val="none" w:sz="0" w:space="0" w:color="auto"/>
        <w:bottom w:val="none" w:sz="0" w:space="0" w:color="auto"/>
        <w:right w:val="none" w:sz="0" w:space="0" w:color="auto"/>
      </w:divBdr>
    </w:div>
    <w:div w:id="1665695541">
      <w:bodyDiv w:val="1"/>
      <w:marLeft w:val="0"/>
      <w:marRight w:val="0"/>
      <w:marTop w:val="0"/>
      <w:marBottom w:val="0"/>
      <w:divBdr>
        <w:top w:val="none" w:sz="0" w:space="0" w:color="auto"/>
        <w:left w:val="none" w:sz="0" w:space="0" w:color="auto"/>
        <w:bottom w:val="none" w:sz="0" w:space="0" w:color="auto"/>
        <w:right w:val="none" w:sz="0" w:space="0" w:color="auto"/>
      </w:divBdr>
    </w:div>
    <w:div w:id="1666398719">
      <w:bodyDiv w:val="1"/>
      <w:marLeft w:val="0"/>
      <w:marRight w:val="0"/>
      <w:marTop w:val="0"/>
      <w:marBottom w:val="0"/>
      <w:divBdr>
        <w:top w:val="none" w:sz="0" w:space="0" w:color="auto"/>
        <w:left w:val="none" w:sz="0" w:space="0" w:color="auto"/>
        <w:bottom w:val="none" w:sz="0" w:space="0" w:color="auto"/>
        <w:right w:val="none" w:sz="0" w:space="0" w:color="auto"/>
      </w:divBdr>
      <w:divsChild>
        <w:div w:id="873423685">
          <w:marLeft w:val="0"/>
          <w:marRight w:val="0"/>
          <w:marTop w:val="0"/>
          <w:marBottom w:val="0"/>
          <w:divBdr>
            <w:top w:val="none" w:sz="0" w:space="0" w:color="auto"/>
            <w:left w:val="none" w:sz="0" w:space="0" w:color="auto"/>
            <w:bottom w:val="none" w:sz="0" w:space="0" w:color="auto"/>
            <w:right w:val="none" w:sz="0" w:space="0" w:color="auto"/>
          </w:divBdr>
        </w:div>
        <w:div w:id="2077313444">
          <w:marLeft w:val="0"/>
          <w:marRight w:val="0"/>
          <w:marTop w:val="0"/>
          <w:marBottom w:val="0"/>
          <w:divBdr>
            <w:top w:val="none" w:sz="0" w:space="0" w:color="auto"/>
            <w:left w:val="none" w:sz="0" w:space="0" w:color="auto"/>
            <w:bottom w:val="none" w:sz="0" w:space="0" w:color="auto"/>
            <w:right w:val="none" w:sz="0" w:space="0" w:color="auto"/>
          </w:divBdr>
        </w:div>
      </w:divsChild>
    </w:div>
    <w:div w:id="1671985785">
      <w:bodyDiv w:val="1"/>
      <w:marLeft w:val="0"/>
      <w:marRight w:val="0"/>
      <w:marTop w:val="0"/>
      <w:marBottom w:val="0"/>
      <w:divBdr>
        <w:top w:val="none" w:sz="0" w:space="0" w:color="auto"/>
        <w:left w:val="none" w:sz="0" w:space="0" w:color="auto"/>
        <w:bottom w:val="none" w:sz="0" w:space="0" w:color="auto"/>
        <w:right w:val="none" w:sz="0" w:space="0" w:color="auto"/>
      </w:divBdr>
    </w:div>
    <w:div w:id="1674455606">
      <w:bodyDiv w:val="1"/>
      <w:marLeft w:val="0"/>
      <w:marRight w:val="0"/>
      <w:marTop w:val="0"/>
      <w:marBottom w:val="0"/>
      <w:divBdr>
        <w:top w:val="none" w:sz="0" w:space="0" w:color="auto"/>
        <w:left w:val="none" w:sz="0" w:space="0" w:color="auto"/>
        <w:bottom w:val="none" w:sz="0" w:space="0" w:color="auto"/>
        <w:right w:val="none" w:sz="0" w:space="0" w:color="auto"/>
      </w:divBdr>
    </w:div>
    <w:div w:id="1676034680">
      <w:bodyDiv w:val="1"/>
      <w:marLeft w:val="0"/>
      <w:marRight w:val="0"/>
      <w:marTop w:val="0"/>
      <w:marBottom w:val="0"/>
      <w:divBdr>
        <w:top w:val="none" w:sz="0" w:space="0" w:color="auto"/>
        <w:left w:val="none" w:sz="0" w:space="0" w:color="auto"/>
        <w:bottom w:val="none" w:sz="0" w:space="0" w:color="auto"/>
        <w:right w:val="none" w:sz="0" w:space="0" w:color="auto"/>
      </w:divBdr>
    </w:div>
    <w:div w:id="1678267306">
      <w:bodyDiv w:val="1"/>
      <w:marLeft w:val="0"/>
      <w:marRight w:val="0"/>
      <w:marTop w:val="0"/>
      <w:marBottom w:val="0"/>
      <w:divBdr>
        <w:top w:val="none" w:sz="0" w:space="0" w:color="auto"/>
        <w:left w:val="none" w:sz="0" w:space="0" w:color="auto"/>
        <w:bottom w:val="none" w:sz="0" w:space="0" w:color="auto"/>
        <w:right w:val="none" w:sz="0" w:space="0" w:color="auto"/>
      </w:divBdr>
    </w:div>
    <w:div w:id="1679187408">
      <w:bodyDiv w:val="1"/>
      <w:marLeft w:val="0"/>
      <w:marRight w:val="0"/>
      <w:marTop w:val="0"/>
      <w:marBottom w:val="0"/>
      <w:divBdr>
        <w:top w:val="none" w:sz="0" w:space="0" w:color="auto"/>
        <w:left w:val="none" w:sz="0" w:space="0" w:color="auto"/>
        <w:bottom w:val="none" w:sz="0" w:space="0" w:color="auto"/>
        <w:right w:val="none" w:sz="0" w:space="0" w:color="auto"/>
      </w:divBdr>
    </w:div>
    <w:div w:id="1679386919">
      <w:bodyDiv w:val="1"/>
      <w:marLeft w:val="0"/>
      <w:marRight w:val="0"/>
      <w:marTop w:val="0"/>
      <w:marBottom w:val="0"/>
      <w:divBdr>
        <w:top w:val="none" w:sz="0" w:space="0" w:color="auto"/>
        <w:left w:val="none" w:sz="0" w:space="0" w:color="auto"/>
        <w:bottom w:val="none" w:sz="0" w:space="0" w:color="auto"/>
        <w:right w:val="none" w:sz="0" w:space="0" w:color="auto"/>
      </w:divBdr>
      <w:divsChild>
        <w:div w:id="182283317">
          <w:marLeft w:val="0"/>
          <w:marRight w:val="0"/>
          <w:marTop w:val="0"/>
          <w:marBottom w:val="0"/>
          <w:divBdr>
            <w:top w:val="none" w:sz="0" w:space="0" w:color="auto"/>
            <w:left w:val="none" w:sz="0" w:space="0" w:color="auto"/>
            <w:bottom w:val="none" w:sz="0" w:space="0" w:color="auto"/>
            <w:right w:val="none" w:sz="0" w:space="0" w:color="auto"/>
          </w:divBdr>
        </w:div>
      </w:divsChild>
    </w:div>
    <w:div w:id="1679455035">
      <w:bodyDiv w:val="1"/>
      <w:marLeft w:val="0"/>
      <w:marRight w:val="0"/>
      <w:marTop w:val="0"/>
      <w:marBottom w:val="0"/>
      <w:divBdr>
        <w:top w:val="none" w:sz="0" w:space="0" w:color="auto"/>
        <w:left w:val="none" w:sz="0" w:space="0" w:color="auto"/>
        <w:bottom w:val="none" w:sz="0" w:space="0" w:color="auto"/>
        <w:right w:val="none" w:sz="0" w:space="0" w:color="auto"/>
      </w:divBdr>
    </w:div>
    <w:div w:id="1685479702">
      <w:bodyDiv w:val="1"/>
      <w:marLeft w:val="0"/>
      <w:marRight w:val="0"/>
      <w:marTop w:val="0"/>
      <w:marBottom w:val="0"/>
      <w:divBdr>
        <w:top w:val="none" w:sz="0" w:space="0" w:color="auto"/>
        <w:left w:val="none" w:sz="0" w:space="0" w:color="auto"/>
        <w:bottom w:val="none" w:sz="0" w:space="0" w:color="auto"/>
        <w:right w:val="none" w:sz="0" w:space="0" w:color="auto"/>
      </w:divBdr>
    </w:div>
    <w:div w:id="1685939580">
      <w:bodyDiv w:val="1"/>
      <w:marLeft w:val="0"/>
      <w:marRight w:val="0"/>
      <w:marTop w:val="0"/>
      <w:marBottom w:val="0"/>
      <w:divBdr>
        <w:top w:val="none" w:sz="0" w:space="0" w:color="auto"/>
        <w:left w:val="none" w:sz="0" w:space="0" w:color="auto"/>
        <w:bottom w:val="none" w:sz="0" w:space="0" w:color="auto"/>
        <w:right w:val="none" w:sz="0" w:space="0" w:color="auto"/>
      </w:divBdr>
    </w:div>
    <w:div w:id="1692608192">
      <w:bodyDiv w:val="1"/>
      <w:marLeft w:val="0"/>
      <w:marRight w:val="0"/>
      <w:marTop w:val="0"/>
      <w:marBottom w:val="0"/>
      <w:divBdr>
        <w:top w:val="none" w:sz="0" w:space="0" w:color="auto"/>
        <w:left w:val="none" w:sz="0" w:space="0" w:color="auto"/>
        <w:bottom w:val="none" w:sz="0" w:space="0" w:color="auto"/>
        <w:right w:val="none" w:sz="0" w:space="0" w:color="auto"/>
      </w:divBdr>
    </w:div>
    <w:div w:id="1693141777">
      <w:bodyDiv w:val="1"/>
      <w:marLeft w:val="0"/>
      <w:marRight w:val="0"/>
      <w:marTop w:val="0"/>
      <w:marBottom w:val="0"/>
      <w:divBdr>
        <w:top w:val="none" w:sz="0" w:space="0" w:color="auto"/>
        <w:left w:val="none" w:sz="0" w:space="0" w:color="auto"/>
        <w:bottom w:val="none" w:sz="0" w:space="0" w:color="auto"/>
        <w:right w:val="none" w:sz="0" w:space="0" w:color="auto"/>
      </w:divBdr>
    </w:div>
    <w:div w:id="1693989764">
      <w:bodyDiv w:val="1"/>
      <w:marLeft w:val="0"/>
      <w:marRight w:val="0"/>
      <w:marTop w:val="0"/>
      <w:marBottom w:val="0"/>
      <w:divBdr>
        <w:top w:val="none" w:sz="0" w:space="0" w:color="auto"/>
        <w:left w:val="none" w:sz="0" w:space="0" w:color="auto"/>
        <w:bottom w:val="none" w:sz="0" w:space="0" w:color="auto"/>
        <w:right w:val="none" w:sz="0" w:space="0" w:color="auto"/>
      </w:divBdr>
    </w:div>
    <w:div w:id="1699970886">
      <w:bodyDiv w:val="1"/>
      <w:marLeft w:val="0"/>
      <w:marRight w:val="0"/>
      <w:marTop w:val="0"/>
      <w:marBottom w:val="0"/>
      <w:divBdr>
        <w:top w:val="none" w:sz="0" w:space="0" w:color="auto"/>
        <w:left w:val="none" w:sz="0" w:space="0" w:color="auto"/>
        <w:bottom w:val="none" w:sz="0" w:space="0" w:color="auto"/>
        <w:right w:val="none" w:sz="0" w:space="0" w:color="auto"/>
      </w:divBdr>
    </w:div>
    <w:div w:id="1708600837">
      <w:bodyDiv w:val="1"/>
      <w:marLeft w:val="0"/>
      <w:marRight w:val="0"/>
      <w:marTop w:val="0"/>
      <w:marBottom w:val="0"/>
      <w:divBdr>
        <w:top w:val="none" w:sz="0" w:space="0" w:color="auto"/>
        <w:left w:val="none" w:sz="0" w:space="0" w:color="auto"/>
        <w:bottom w:val="none" w:sz="0" w:space="0" w:color="auto"/>
        <w:right w:val="none" w:sz="0" w:space="0" w:color="auto"/>
      </w:divBdr>
    </w:div>
    <w:div w:id="1708604866">
      <w:bodyDiv w:val="1"/>
      <w:marLeft w:val="0"/>
      <w:marRight w:val="0"/>
      <w:marTop w:val="0"/>
      <w:marBottom w:val="0"/>
      <w:divBdr>
        <w:top w:val="none" w:sz="0" w:space="0" w:color="auto"/>
        <w:left w:val="none" w:sz="0" w:space="0" w:color="auto"/>
        <w:bottom w:val="none" w:sz="0" w:space="0" w:color="auto"/>
        <w:right w:val="none" w:sz="0" w:space="0" w:color="auto"/>
      </w:divBdr>
    </w:div>
    <w:div w:id="1712069430">
      <w:bodyDiv w:val="1"/>
      <w:marLeft w:val="0"/>
      <w:marRight w:val="0"/>
      <w:marTop w:val="0"/>
      <w:marBottom w:val="0"/>
      <w:divBdr>
        <w:top w:val="none" w:sz="0" w:space="0" w:color="auto"/>
        <w:left w:val="none" w:sz="0" w:space="0" w:color="auto"/>
        <w:bottom w:val="none" w:sz="0" w:space="0" w:color="auto"/>
        <w:right w:val="none" w:sz="0" w:space="0" w:color="auto"/>
      </w:divBdr>
    </w:div>
    <w:div w:id="1712264473">
      <w:bodyDiv w:val="1"/>
      <w:marLeft w:val="0"/>
      <w:marRight w:val="0"/>
      <w:marTop w:val="0"/>
      <w:marBottom w:val="0"/>
      <w:divBdr>
        <w:top w:val="none" w:sz="0" w:space="0" w:color="auto"/>
        <w:left w:val="none" w:sz="0" w:space="0" w:color="auto"/>
        <w:bottom w:val="none" w:sz="0" w:space="0" w:color="auto"/>
        <w:right w:val="none" w:sz="0" w:space="0" w:color="auto"/>
      </w:divBdr>
    </w:div>
    <w:div w:id="1713463253">
      <w:bodyDiv w:val="1"/>
      <w:marLeft w:val="0"/>
      <w:marRight w:val="0"/>
      <w:marTop w:val="0"/>
      <w:marBottom w:val="0"/>
      <w:divBdr>
        <w:top w:val="none" w:sz="0" w:space="0" w:color="auto"/>
        <w:left w:val="none" w:sz="0" w:space="0" w:color="auto"/>
        <w:bottom w:val="none" w:sz="0" w:space="0" w:color="auto"/>
        <w:right w:val="none" w:sz="0" w:space="0" w:color="auto"/>
      </w:divBdr>
    </w:div>
    <w:div w:id="1715544358">
      <w:bodyDiv w:val="1"/>
      <w:marLeft w:val="0"/>
      <w:marRight w:val="0"/>
      <w:marTop w:val="0"/>
      <w:marBottom w:val="0"/>
      <w:divBdr>
        <w:top w:val="none" w:sz="0" w:space="0" w:color="auto"/>
        <w:left w:val="none" w:sz="0" w:space="0" w:color="auto"/>
        <w:bottom w:val="none" w:sz="0" w:space="0" w:color="auto"/>
        <w:right w:val="none" w:sz="0" w:space="0" w:color="auto"/>
      </w:divBdr>
    </w:div>
    <w:div w:id="1715885586">
      <w:bodyDiv w:val="1"/>
      <w:marLeft w:val="0"/>
      <w:marRight w:val="0"/>
      <w:marTop w:val="0"/>
      <w:marBottom w:val="0"/>
      <w:divBdr>
        <w:top w:val="none" w:sz="0" w:space="0" w:color="auto"/>
        <w:left w:val="none" w:sz="0" w:space="0" w:color="auto"/>
        <w:bottom w:val="none" w:sz="0" w:space="0" w:color="auto"/>
        <w:right w:val="none" w:sz="0" w:space="0" w:color="auto"/>
      </w:divBdr>
    </w:div>
    <w:div w:id="1717390095">
      <w:bodyDiv w:val="1"/>
      <w:marLeft w:val="0"/>
      <w:marRight w:val="0"/>
      <w:marTop w:val="0"/>
      <w:marBottom w:val="0"/>
      <w:divBdr>
        <w:top w:val="none" w:sz="0" w:space="0" w:color="auto"/>
        <w:left w:val="none" w:sz="0" w:space="0" w:color="auto"/>
        <w:bottom w:val="none" w:sz="0" w:space="0" w:color="auto"/>
        <w:right w:val="none" w:sz="0" w:space="0" w:color="auto"/>
      </w:divBdr>
    </w:div>
    <w:div w:id="1718435686">
      <w:bodyDiv w:val="1"/>
      <w:marLeft w:val="0"/>
      <w:marRight w:val="0"/>
      <w:marTop w:val="0"/>
      <w:marBottom w:val="0"/>
      <w:divBdr>
        <w:top w:val="none" w:sz="0" w:space="0" w:color="auto"/>
        <w:left w:val="none" w:sz="0" w:space="0" w:color="auto"/>
        <w:bottom w:val="none" w:sz="0" w:space="0" w:color="auto"/>
        <w:right w:val="none" w:sz="0" w:space="0" w:color="auto"/>
      </w:divBdr>
    </w:div>
    <w:div w:id="1719741573">
      <w:bodyDiv w:val="1"/>
      <w:marLeft w:val="0"/>
      <w:marRight w:val="0"/>
      <w:marTop w:val="0"/>
      <w:marBottom w:val="0"/>
      <w:divBdr>
        <w:top w:val="none" w:sz="0" w:space="0" w:color="auto"/>
        <w:left w:val="none" w:sz="0" w:space="0" w:color="auto"/>
        <w:bottom w:val="none" w:sz="0" w:space="0" w:color="auto"/>
        <w:right w:val="none" w:sz="0" w:space="0" w:color="auto"/>
      </w:divBdr>
    </w:div>
    <w:div w:id="1723400901">
      <w:bodyDiv w:val="1"/>
      <w:marLeft w:val="0"/>
      <w:marRight w:val="0"/>
      <w:marTop w:val="0"/>
      <w:marBottom w:val="0"/>
      <w:divBdr>
        <w:top w:val="none" w:sz="0" w:space="0" w:color="auto"/>
        <w:left w:val="none" w:sz="0" w:space="0" w:color="auto"/>
        <w:bottom w:val="none" w:sz="0" w:space="0" w:color="auto"/>
        <w:right w:val="none" w:sz="0" w:space="0" w:color="auto"/>
      </w:divBdr>
    </w:div>
    <w:div w:id="1727753994">
      <w:bodyDiv w:val="1"/>
      <w:marLeft w:val="0"/>
      <w:marRight w:val="0"/>
      <w:marTop w:val="0"/>
      <w:marBottom w:val="0"/>
      <w:divBdr>
        <w:top w:val="none" w:sz="0" w:space="0" w:color="auto"/>
        <w:left w:val="none" w:sz="0" w:space="0" w:color="auto"/>
        <w:bottom w:val="none" w:sz="0" w:space="0" w:color="auto"/>
        <w:right w:val="none" w:sz="0" w:space="0" w:color="auto"/>
      </w:divBdr>
    </w:div>
    <w:div w:id="1731070731">
      <w:bodyDiv w:val="1"/>
      <w:marLeft w:val="0"/>
      <w:marRight w:val="0"/>
      <w:marTop w:val="0"/>
      <w:marBottom w:val="0"/>
      <w:divBdr>
        <w:top w:val="none" w:sz="0" w:space="0" w:color="auto"/>
        <w:left w:val="none" w:sz="0" w:space="0" w:color="auto"/>
        <w:bottom w:val="none" w:sz="0" w:space="0" w:color="auto"/>
        <w:right w:val="none" w:sz="0" w:space="0" w:color="auto"/>
      </w:divBdr>
    </w:div>
    <w:div w:id="1731079726">
      <w:bodyDiv w:val="1"/>
      <w:marLeft w:val="0"/>
      <w:marRight w:val="0"/>
      <w:marTop w:val="0"/>
      <w:marBottom w:val="0"/>
      <w:divBdr>
        <w:top w:val="none" w:sz="0" w:space="0" w:color="auto"/>
        <w:left w:val="none" w:sz="0" w:space="0" w:color="auto"/>
        <w:bottom w:val="none" w:sz="0" w:space="0" w:color="auto"/>
        <w:right w:val="none" w:sz="0" w:space="0" w:color="auto"/>
      </w:divBdr>
    </w:div>
    <w:div w:id="1732340390">
      <w:bodyDiv w:val="1"/>
      <w:marLeft w:val="0"/>
      <w:marRight w:val="0"/>
      <w:marTop w:val="0"/>
      <w:marBottom w:val="0"/>
      <w:divBdr>
        <w:top w:val="none" w:sz="0" w:space="0" w:color="auto"/>
        <w:left w:val="none" w:sz="0" w:space="0" w:color="auto"/>
        <w:bottom w:val="none" w:sz="0" w:space="0" w:color="auto"/>
        <w:right w:val="none" w:sz="0" w:space="0" w:color="auto"/>
      </w:divBdr>
    </w:div>
    <w:div w:id="1737168401">
      <w:bodyDiv w:val="1"/>
      <w:marLeft w:val="0"/>
      <w:marRight w:val="0"/>
      <w:marTop w:val="0"/>
      <w:marBottom w:val="0"/>
      <w:divBdr>
        <w:top w:val="none" w:sz="0" w:space="0" w:color="auto"/>
        <w:left w:val="none" w:sz="0" w:space="0" w:color="auto"/>
        <w:bottom w:val="none" w:sz="0" w:space="0" w:color="auto"/>
        <w:right w:val="none" w:sz="0" w:space="0" w:color="auto"/>
      </w:divBdr>
    </w:div>
    <w:div w:id="1738895352">
      <w:bodyDiv w:val="1"/>
      <w:marLeft w:val="0"/>
      <w:marRight w:val="0"/>
      <w:marTop w:val="0"/>
      <w:marBottom w:val="0"/>
      <w:divBdr>
        <w:top w:val="none" w:sz="0" w:space="0" w:color="auto"/>
        <w:left w:val="none" w:sz="0" w:space="0" w:color="auto"/>
        <w:bottom w:val="none" w:sz="0" w:space="0" w:color="auto"/>
        <w:right w:val="none" w:sz="0" w:space="0" w:color="auto"/>
      </w:divBdr>
    </w:div>
    <w:div w:id="1740514999">
      <w:bodyDiv w:val="1"/>
      <w:marLeft w:val="0"/>
      <w:marRight w:val="0"/>
      <w:marTop w:val="0"/>
      <w:marBottom w:val="0"/>
      <w:divBdr>
        <w:top w:val="none" w:sz="0" w:space="0" w:color="auto"/>
        <w:left w:val="none" w:sz="0" w:space="0" w:color="auto"/>
        <w:bottom w:val="none" w:sz="0" w:space="0" w:color="auto"/>
        <w:right w:val="none" w:sz="0" w:space="0" w:color="auto"/>
      </w:divBdr>
    </w:div>
    <w:div w:id="1747336449">
      <w:bodyDiv w:val="1"/>
      <w:marLeft w:val="0"/>
      <w:marRight w:val="0"/>
      <w:marTop w:val="0"/>
      <w:marBottom w:val="0"/>
      <w:divBdr>
        <w:top w:val="none" w:sz="0" w:space="0" w:color="auto"/>
        <w:left w:val="none" w:sz="0" w:space="0" w:color="auto"/>
        <w:bottom w:val="none" w:sz="0" w:space="0" w:color="auto"/>
        <w:right w:val="none" w:sz="0" w:space="0" w:color="auto"/>
      </w:divBdr>
    </w:div>
    <w:div w:id="1750343125">
      <w:bodyDiv w:val="1"/>
      <w:marLeft w:val="0"/>
      <w:marRight w:val="0"/>
      <w:marTop w:val="0"/>
      <w:marBottom w:val="0"/>
      <w:divBdr>
        <w:top w:val="none" w:sz="0" w:space="0" w:color="auto"/>
        <w:left w:val="none" w:sz="0" w:space="0" w:color="auto"/>
        <w:bottom w:val="none" w:sz="0" w:space="0" w:color="auto"/>
        <w:right w:val="none" w:sz="0" w:space="0" w:color="auto"/>
      </w:divBdr>
    </w:div>
    <w:div w:id="1752847451">
      <w:bodyDiv w:val="1"/>
      <w:marLeft w:val="0"/>
      <w:marRight w:val="0"/>
      <w:marTop w:val="0"/>
      <w:marBottom w:val="0"/>
      <w:divBdr>
        <w:top w:val="none" w:sz="0" w:space="0" w:color="auto"/>
        <w:left w:val="none" w:sz="0" w:space="0" w:color="auto"/>
        <w:bottom w:val="none" w:sz="0" w:space="0" w:color="auto"/>
        <w:right w:val="none" w:sz="0" w:space="0" w:color="auto"/>
      </w:divBdr>
    </w:div>
    <w:div w:id="1753307516">
      <w:bodyDiv w:val="1"/>
      <w:marLeft w:val="0"/>
      <w:marRight w:val="0"/>
      <w:marTop w:val="0"/>
      <w:marBottom w:val="0"/>
      <w:divBdr>
        <w:top w:val="none" w:sz="0" w:space="0" w:color="auto"/>
        <w:left w:val="none" w:sz="0" w:space="0" w:color="auto"/>
        <w:bottom w:val="none" w:sz="0" w:space="0" w:color="auto"/>
        <w:right w:val="none" w:sz="0" w:space="0" w:color="auto"/>
      </w:divBdr>
    </w:div>
    <w:div w:id="1755740094">
      <w:bodyDiv w:val="1"/>
      <w:marLeft w:val="0"/>
      <w:marRight w:val="0"/>
      <w:marTop w:val="0"/>
      <w:marBottom w:val="0"/>
      <w:divBdr>
        <w:top w:val="none" w:sz="0" w:space="0" w:color="auto"/>
        <w:left w:val="none" w:sz="0" w:space="0" w:color="auto"/>
        <w:bottom w:val="none" w:sz="0" w:space="0" w:color="auto"/>
        <w:right w:val="none" w:sz="0" w:space="0" w:color="auto"/>
      </w:divBdr>
    </w:div>
    <w:div w:id="1761562354">
      <w:bodyDiv w:val="1"/>
      <w:marLeft w:val="0"/>
      <w:marRight w:val="0"/>
      <w:marTop w:val="0"/>
      <w:marBottom w:val="0"/>
      <w:divBdr>
        <w:top w:val="none" w:sz="0" w:space="0" w:color="auto"/>
        <w:left w:val="none" w:sz="0" w:space="0" w:color="auto"/>
        <w:bottom w:val="none" w:sz="0" w:space="0" w:color="auto"/>
        <w:right w:val="none" w:sz="0" w:space="0" w:color="auto"/>
      </w:divBdr>
    </w:div>
    <w:div w:id="1771045354">
      <w:bodyDiv w:val="1"/>
      <w:marLeft w:val="0"/>
      <w:marRight w:val="0"/>
      <w:marTop w:val="0"/>
      <w:marBottom w:val="0"/>
      <w:divBdr>
        <w:top w:val="none" w:sz="0" w:space="0" w:color="auto"/>
        <w:left w:val="none" w:sz="0" w:space="0" w:color="auto"/>
        <w:bottom w:val="none" w:sz="0" w:space="0" w:color="auto"/>
        <w:right w:val="none" w:sz="0" w:space="0" w:color="auto"/>
      </w:divBdr>
    </w:div>
    <w:div w:id="1772696984">
      <w:bodyDiv w:val="1"/>
      <w:marLeft w:val="0"/>
      <w:marRight w:val="0"/>
      <w:marTop w:val="0"/>
      <w:marBottom w:val="0"/>
      <w:divBdr>
        <w:top w:val="none" w:sz="0" w:space="0" w:color="auto"/>
        <w:left w:val="none" w:sz="0" w:space="0" w:color="auto"/>
        <w:bottom w:val="none" w:sz="0" w:space="0" w:color="auto"/>
        <w:right w:val="none" w:sz="0" w:space="0" w:color="auto"/>
      </w:divBdr>
    </w:div>
    <w:div w:id="1773630028">
      <w:bodyDiv w:val="1"/>
      <w:marLeft w:val="0"/>
      <w:marRight w:val="0"/>
      <w:marTop w:val="0"/>
      <w:marBottom w:val="0"/>
      <w:divBdr>
        <w:top w:val="none" w:sz="0" w:space="0" w:color="auto"/>
        <w:left w:val="none" w:sz="0" w:space="0" w:color="auto"/>
        <w:bottom w:val="none" w:sz="0" w:space="0" w:color="auto"/>
        <w:right w:val="none" w:sz="0" w:space="0" w:color="auto"/>
      </w:divBdr>
    </w:div>
    <w:div w:id="1776630730">
      <w:bodyDiv w:val="1"/>
      <w:marLeft w:val="0"/>
      <w:marRight w:val="0"/>
      <w:marTop w:val="0"/>
      <w:marBottom w:val="0"/>
      <w:divBdr>
        <w:top w:val="none" w:sz="0" w:space="0" w:color="auto"/>
        <w:left w:val="none" w:sz="0" w:space="0" w:color="auto"/>
        <w:bottom w:val="none" w:sz="0" w:space="0" w:color="auto"/>
        <w:right w:val="none" w:sz="0" w:space="0" w:color="auto"/>
      </w:divBdr>
    </w:div>
    <w:div w:id="1781797525">
      <w:bodyDiv w:val="1"/>
      <w:marLeft w:val="0"/>
      <w:marRight w:val="0"/>
      <w:marTop w:val="0"/>
      <w:marBottom w:val="0"/>
      <w:divBdr>
        <w:top w:val="none" w:sz="0" w:space="0" w:color="auto"/>
        <w:left w:val="none" w:sz="0" w:space="0" w:color="auto"/>
        <w:bottom w:val="none" w:sz="0" w:space="0" w:color="auto"/>
        <w:right w:val="none" w:sz="0" w:space="0" w:color="auto"/>
      </w:divBdr>
    </w:div>
    <w:div w:id="1781993042">
      <w:bodyDiv w:val="1"/>
      <w:marLeft w:val="0"/>
      <w:marRight w:val="0"/>
      <w:marTop w:val="0"/>
      <w:marBottom w:val="0"/>
      <w:divBdr>
        <w:top w:val="none" w:sz="0" w:space="0" w:color="auto"/>
        <w:left w:val="none" w:sz="0" w:space="0" w:color="auto"/>
        <w:bottom w:val="none" w:sz="0" w:space="0" w:color="auto"/>
        <w:right w:val="none" w:sz="0" w:space="0" w:color="auto"/>
      </w:divBdr>
    </w:div>
    <w:div w:id="1787045859">
      <w:bodyDiv w:val="1"/>
      <w:marLeft w:val="0"/>
      <w:marRight w:val="0"/>
      <w:marTop w:val="0"/>
      <w:marBottom w:val="0"/>
      <w:divBdr>
        <w:top w:val="none" w:sz="0" w:space="0" w:color="auto"/>
        <w:left w:val="none" w:sz="0" w:space="0" w:color="auto"/>
        <w:bottom w:val="none" w:sz="0" w:space="0" w:color="auto"/>
        <w:right w:val="none" w:sz="0" w:space="0" w:color="auto"/>
      </w:divBdr>
    </w:div>
    <w:div w:id="1790313341">
      <w:bodyDiv w:val="1"/>
      <w:marLeft w:val="0"/>
      <w:marRight w:val="0"/>
      <w:marTop w:val="0"/>
      <w:marBottom w:val="0"/>
      <w:divBdr>
        <w:top w:val="none" w:sz="0" w:space="0" w:color="auto"/>
        <w:left w:val="none" w:sz="0" w:space="0" w:color="auto"/>
        <w:bottom w:val="none" w:sz="0" w:space="0" w:color="auto"/>
        <w:right w:val="none" w:sz="0" w:space="0" w:color="auto"/>
      </w:divBdr>
    </w:div>
    <w:div w:id="1790784710">
      <w:bodyDiv w:val="1"/>
      <w:marLeft w:val="0"/>
      <w:marRight w:val="0"/>
      <w:marTop w:val="0"/>
      <w:marBottom w:val="0"/>
      <w:divBdr>
        <w:top w:val="none" w:sz="0" w:space="0" w:color="auto"/>
        <w:left w:val="none" w:sz="0" w:space="0" w:color="auto"/>
        <w:bottom w:val="none" w:sz="0" w:space="0" w:color="auto"/>
        <w:right w:val="none" w:sz="0" w:space="0" w:color="auto"/>
      </w:divBdr>
    </w:div>
    <w:div w:id="1792506511">
      <w:bodyDiv w:val="1"/>
      <w:marLeft w:val="0"/>
      <w:marRight w:val="0"/>
      <w:marTop w:val="0"/>
      <w:marBottom w:val="0"/>
      <w:divBdr>
        <w:top w:val="none" w:sz="0" w:space="0" w:color="auto"/>
        <w:left w:val="none" w:sz="0" w:space="0" w:color="auto"/>
        <w:bottom w:val="none" w:sz="0" w:space="0" w:color="auto"/>
        <w:right w:val="none" w:sz="0" w:space="0" w:color="auto"/>
      </w:divBdr>
    </w:div>
    <w:div w:id="1793087752">
      <w:bodyDiv w:val="1"/>
      <w:marLeft w:val="0"/>
      <w:marRight w:val="0"/>
      <w:marTop w:val="0"/>
      <w:marBottom w:val="0"/>
      <w:divBdr>
        <w:top w:val="none" w:sz="0" w:space="0" w:color="auto"/>
        <w:left w:val="none" w:sz="0" w:space="0" w:color="auto"/>
        <w:bottom w:val="none" w:sz="0" w:space="0" w:color="auto"/>
        <w:right w:val="none" w:sz="0" w:space="0" w:color="auto"/>
      </w:divBdr>
    </w:div>
    <w:div w:id="1793815839">
      <w:bodyDiv w:val="1"/>
      <w:marLeft w:val="0"/>
      <w:marRight w:val="0"/>
      <w:marTop w:val="0"/>
      <w:marBottom w:val="0"/>
      <w:divBdr>
        <w:top w:val="none" w:sz="0" w:space="0" w:color="auto"/>
        <w:left w:val="none" w:sz="0" w:space="0" w:color="auto"/>
        <w:bottom w:val="none" w:sz="0" w:space="0" w:color="auto"/>
        <w:right w:val="none" w:sz="0" w:space="0" w:color="auto"/>
      </w:divBdr>
    </w:div>
    <w:div w:id="1794014062">
      <w:bodyDiv w:val="1"/>
      <w:marLeft w:val="0"/>
      <w:marRight w:val="0"/>
      <w:marTop w:val="0"/>
      <w:marBottom w:val="0"/>
      <w:divBdr>
        <w:top w:val="none" w:sz="0" w:space="0" w:color="auto"/>
        <w:left w:val="none" w:sz="0" w:space="0" w:color="auto"/>
        <w:bottom w:val="none" w:sz="0" w:space="0" w:color="auto"/>
        <w:right w:val="none" w:sz="0" w:space="0" w:color="auto"/>
      </w:divBdr>
    </w:div>
    <w:div w:id="1795126471">
      <w:bodyDiv w:val="1"/>
      <w:marLeft w:val="0"/>
      <w:marRight w:val="0"/>
      <w:marTop w:val="0"/>
      <w:marBottom w:val="0"/>
      <w:divBdr>
        <w:top w:val="none" w:sz="0" w:space="0" w:color="auto"/>
        <w:left w:val="none" w:sz="0" w:space="0" w:color="auto"/>
        <w:bottom w:val="none" w:sz="0" w:space="0" w:color="auto"/>
        <w:right w:val="none" w:sz="0" w:space="0" w:color="auto"/>
      </w:divBdr>
    </w:div>
    <w:div w:id="1797412142">
      <w:bodyDiv w:val="1"/>
      <w:marLeft w:val="0"/>
      <w:marRight w:val="0"/>
      <w:marTop w:val="0"/>
      <w:marBottom w:val="0"/>
      <w:divBdr>
        <w:top w:val="none" w:sz="0" w:space="0" w:color="auto"/>
        <w:left w:val="none" w:sz="0" w:space="0" w:color="auto"/>
        <w:bottom w:val="none" w:sz="0" w:space="0" w:color="auto"/>
        <w:right w:val="none" w:sz="0" w:space="0" w:color="auto"/>
      </w:divBdr>
    </w:div>
    <w:div w:id="1797720032">
      <w:bodyDiv w:val="1"/>
      <w:marLeft w:val="0"/>
      <w:marRight w:val="0"/>
      <w:marTop w:val="0"/>
      <w:marBottom w:val="0"/>
      <w:divBdr>
        <w:top w:val="none" w:sz="0" w:space="0" w:color="auto"/>
        <w:left w:val="none" w:sz="0" w:space="0" w:color="auto"/>
        <w:bottom w:val="none" w:sz="0" w:space="0" w:color="auto"/>
        <w:right w:val="none" w:sz="0" w:space="0" w:color="auto"/>
      </w:divBdr>
    </w:div>
    <w:div w:id="1801145781">
      <w:bodyDiv w:val="1"/>
      <w:marLeft w:val="0"/>
      <w:marRight w:val="0"/>
      <w:marTop w:val="0"/>
      <w:marBottom w:val="0"/>
      <w:divBdr>
        <w:top w:val="none" w:sz="0" w:space="0" w:color="auto"/>
        <w:left w:val="none" w:sz="0" w:space="0" w:color="auto"/>
        <w:bottom w:val="none" w:sz="0" w:space="0" w:color="auto"/>
        <w:right w:val="none" w:sz="0" w:space="0" w:color="auto"/>
      </w:divBdr>
    </w:div>
    <w:div w:id="1801337834">
      <w:bodyDiv w:val="1"/>
      <w:marLeft w:val="0"/>
      <w:marRight w:val="0"/>
      <w:marTop w:val="0"/>
      <w:marBottom w:val="0"/>
      <w:divBdr>
        <w:top w:val="none" w:sz="0" w:space="0" w:color="auto"/>
        <w:left w:val="none" w:sz="0" w:space="0" w:color="auto"/>
        <w:bottom w:val="none" w:sz="0" w:space="0" w:color="auto"/>
        <w:right w:val="none" w:sz="0" w:space="0" w:color="auto"/>
      </w:divBdr>
    </w:div>
    <w:div w:id="1804303514">
      <w:bodyDiv w:val="1"/>
      <w:marLeft w:val="0"/>
      <w:marRight w:val="0"/>
      <w:marTop w:val="0"/>
      <w:marBottom w:val="0"/>
      <w:divBdr>
        <w:top w:val="none" w:sz="0" w:space="0" w:color="auto"/>
        <w:left w:val="none" w:sz="0" w:space="0" w:color="auto"/>
        <w:bottom w:val="none" w:sz="0" w:space="0" w:color="auto"/>
        <w:right w:val="none" w:sz="0" w:space="0" w:color="auto"/>
      </w:divBdr>
    </w:div>
    <w:div w:id="1805273259">
      <w:bodyDiv w:val="1"/>
      <w:marLeft w:val="0"/>
      <w:marRight w:val="0"/>
      <w:marTop w:val="0"/>
      <w:marBottom w:val="0"/>
      <w:divBdr>
        <w:top w:val="none" w:sz="0" w:space="0" w:color="auto"/>
        <w:left w:val="none" w:sz="0" w:space="0" w:color="auto"/>
        <w:bottom w:val="none" w:sz="0" w:space="0" w:color="auto"/>
        <w:right w:val="none" w:sz="0" w:space="0" w:color="auto"/>
      </w:divBdr>
    </w:div>
    <w:div w:id="1806578215">
      <w:bodyDiv w:val="1"/>
      <w:marLeft w:val="0"/>
      <w:marRight w:val="0"/>
      <w:marTop w:val="0"/>
      <w:marBottom w:val="0"/>
      <w:divBdr>
        <w:top w:val="none" w:sz="0" w:space="0" w:color="auto"/>
        <w:left w:val="none" w:sz="0" w:space="0" w:color="auto"/>
        <w:bottom w:val="none" w:sz="0" w:space="0" w:color="auto"/>
        <w:right w:val="none" w:sz="0" w:space="0" w:color="auto"/>
      </w:divBdr>
    </w:div>
    <w:div w:id="1809932835">
      <w:bodyDiv w:val="1"/>
      <w:marLeft w:val="0"/>
      <w:marRight w:val="0"/>
      <w:marTop w:val="0"/>
      <w:marBottom w:val="0"/>
      <w:divBdr>
        <w:top w:val="none" w:sz="0" w:space="0" w:color="auto"/>
        <w:left w:val="none" w:sz="0" w:space="0" w:color="auto"/>
        <w:bottom w:val="none" w:sz="0" w:space="0" w:color="auto"/>
        <w:right w:val="none" w:sz="0" w:space="0" w:color="auto"/>
      </w:divBdr>
    </w:div>
    <w:div w:id="1810702889">
      <w:bodyDiv w:val="1"/>
      <w:marLeft w:val="0"/>
      <w:marRight w:val="0"/>
      <w:marTop w:val="0"/>
      <w:marBottom w:val="0"/>
      <w:divBdr>
        <w:top w:val="none" w:sz="0" w:space="0" w:color="auto"/>
        <w:left w:val="none" w:sz="0" w:space="0" w:color="auto"/>
        <w:bottom w:val="none" w:sz="0" w:space="0" w:color="auto"/>
        <w:right w:val="none" w:sz="0" w:space="0" w:color="auto"/>
      </w:divBdr>
    </w:div>
    <w:div w:id="1810975980">
      <w:bodyDiv w:val="1"/>
      <w:marLeft w:val="0"/>
      <w:marRight w:val="0"/>
      <w:marTop w:val="0"/>
      <w:marBottom w:val="0"/>
      <w:divBdr>
        <w:top w:val="none" w:sz="0" w:space="0" w:color="auto"/>
        <w:left w:val="none" w:sz="0" w:space="0" w:color="auto"/>
        <w:bottom w:val="none" w:sz="0" w:space="0" w:color="auto"/>
        <w:right w:val="none" w:sz="0" w:space="0" w:color="auto"/>
      </w:divBdr>
    </w:div>
    <w:div w:id="1812282150">
      <w:bodyDiv w:val="1"/>
      <w:marLeft w:val="0"/>
      <w:marRight w:val="0"/>
      <w:marTop w:val="0"/>
      <w:marBottom w:val="0"/>
      <w:divBdr>
        <w:top w:val="none" w:sz="0" w:space="0" w:color="auto"/>
        <w:left w:val="none" w:sz="0" w:space="0" w:color="auto"/>
        <w:bottom w:val="none" w:sz="0" w:space="0" w:color="auto"/>
        <w:right w:val="none" w:sz="0" w:space="0" w:color="auto"/>
      </w:divBdr>
    </w:div>
    <w:div w:id="1814366130">
      <w:bodyDiv w:val="1"/>
      <w:marLeft w:val="0"/>
      <w:marRight w:val="0"/>
      <w:marTop w:val="0"/>
      <w:marBottom w:val="0"/>
      <w:divBdr>
        <w:top w:val="none" w:sz="0" w:space="0" w:color="auto"/>
        <w:left w:val="none" w:sz="0" w:space="0" w:color="auto"/>
        <w:bottom w:val="none" w:sz="0" w:space="0" w:color="auto"/>
        <w:right w:val="none" w:sz="0" w:space="0" w:color="auto"/>
      </w:divBdr>
    </w:div>
    <w:div w:id="1817065885">
      <w:bodyDiv w:val="1"/>
      <w:marLeft w:val="0"/>
      <w:marRight w:val="0"/>
      <w:marTop w:val="0"/>
      <w:marBottom w:val="0"/>
      <w:divBdr>
        <w:top w:val="none" w:sz="0" w:space="0" w:color="auto"/>
        <w:left w:val="none" w:sz="0" w:space="0" w:color="auto"/>
        <w:bottom w:val="none" w:sz="0" w:space="0" w:color="auto"/>
        <w:right w:val="none" w:sz="0" w:space="0" w:color="auto"/>
      </w:divBdr>
    </w:div>
    <w:div w:id="1817338605">
      <w:bodyDiv w:val="1"/>
      <w:marLeft w:val="0"/>
      <w:marRight w:val="0"/>
      <w:marTop w:val="0"/>
      <w:marBottom w:val="0"/>
      <w:divBdr>
        <w:top w:val="none" w:sz="0" w:space="0" w:color="auto"/>
        <w:left w:val="none" w:sz="0" w:space="0" w:color="auto"/>
        <w:bottom w:val="none" w:sz="0" w:space="0" w:color="auto"/>
        <w:right w:val="none" w:sz="0" w:space="0" w:color="auto"/>
      </w:divBdr>
    </w:div>
    <w:div w:id="1817994279">
      <w:bodyDiv w:val="1"/>
      <w:marLeft w:val="0"/>
      <w:marRight w:val="0"/>
      <w:marTop w:val="0"/>
      <w:marBottom w:val="0"/>
      <w:divBdr>
        <w:top w:val="none" w:sz="0" w:space="0" w:color="auto"/>
        <w:left w:val="none" w:sz="0" w:space="0" w:color="auto"/>
        <w:bottom w:val="none" w:sz="0" w:space="0" w:color="auto"/>
        <w:right w:val="none" w:sz="0" w:space="0" w:color="auto"/>
      </w:divBdr>
    </w:div>
    <w:div w:id="1818573486">
      <w:bodyDiv w:val="1"/>
      <w:marLeft w:val="0"/>
      <w:marRight w:val="0"/>
      <w:marTop w:val="0"/>
      <w:marBottom w:val="0"/>
      <w:divBdr>
        <w:top w:val="none" w:sz="0" w:space="0" w:color="auto"/>
        <w:left w:val="none" w:sz="0" w:space="0" w:color="auto"/>
        <w:bottom w:val="none" w:sz="0" w:space="0" w:color="auto"/>
        <w:right w:val="none" w:sz="0" w:space="0" w:color="auto"/>
      </w:divBdr>
    </w:div>
    <w:div w:id="1819373746">
      <w:bodyDiv w:val="1"/>
      <w:marLeft w:val="0"/>
      <w:marRight w:val="0"/>
      <w:marTop w:val="0"/>
      <w:marBottom w:val="0"/>
      <w:divBdr>
        <w:top w:val="none" w:sz="0" w:space="0" w:color="auto"/>
        <w:left w:val="none" w:sz="0" w:space="0" w:color="auto"/>
        <w:bottom w:val="none" w:sz="0" w:space="0" w:color="auto"/>
        <w:right w:val="none" w:sz="0" w:space="0" w:color="auto"/>
      </w:divBdr>
    </w:div>
    <w:div w:id="1819689016">
      <w:bodyDiv w:val="1"/>
      <w:marLeft w:val="0"/>
      <w:marRight w:val="0"/>
      <w:marTop w:val="0"/>
      <w:marBottom w:val="0"/>
      <w:divBdr>
        <w:top w:val="none" w:sz="0" w:space="0" w:color="auto"/>
        <w:left w:val="none" w:sz="0" w:space="0" w:color="auto"/>
        <w:bottom w:val="none" w:sz="0" w:space="0" w:color="auto"/>
        <w:right w:val="none" w:sz="0" w:space="0" w:color="auto"/>
      </w:divBdr>
    </w:div>
    <w:div w:id="1820725529">
      <w:bodyDiv w:val="1"/>
      <w:marLeft w:val="0"/>
      <w:marRight w:val="0"/>
      <w:marTop w:val="0"/>
      <w:marBottom w:val="0"/>
      <w:divBdr>
        <w:top w:val="none" w:sz="0" w:space="0" w:color="auto"/>
        <w:left w:val="none" w:sz="0" w:space="0" w:color="auto"/>
        <w:bottom w:val="none" w:sz="0" w:space="0" w:color="auto"/>
        <w:right w:val="none" w:sz="0" w:space="0" w:color="auto"/>
      </w:divBdr>
    </w:div>
    <w:div w:id="1821117105">
      <w:bodyDiv w:val="1"/>
      <w:marLeft w:val="0"/>
      <w:marRight w:val="0"/>
      <w:marTop w:val="0"/>
      <w:marBottom w:val="0"/>
      <w:divBdr>
        <w:top w:val="none" w:sz="0" w:space="0" w:color="auto"/>
        <w:left w:val="none" w:sz="0" w:space="0" w:color="auto"/>
        <w:bottom w:val="none" w:sz="0" w:space="0" w:color="auto"/>
        <w:right w:val="none" w:sz="0" w:space="0" w:color="auto"/>
      </w:divBdr>
    </w:div>
    <w:div w:id="1821381511">
      <w:bodyDiv w:val="1"/>
      <w:marLeft w:val="0"/>
      <w:marRight w:val="0"/>
      <w:marTop w:val="0"/>
      <w:marBottom w:val="0"/>
      <w:divBdr>
        <w:top w:val="none" w:sz="0" w:space="0" w:color="auto"/>
        <w:left w:val="none" w:sz="0" w:space="0" w:color="auto"/>
        <w:bottom w:val="none" w:sz="0" w:space="0" w:color="auto"/>
        <w:right w:val="none" w:sz="0" w:space="0" w:color="auto"/>
      </w:divBdr>
    </w:div>
    <w:div w:id="1821921128">
      <w:bodyDiv w:val="1"/>
      <w:marLeft w:val="0"/>
      <w:marRight w:val="0"/>
      <w:marTop w:val="0"/>
      <w:marBottom w:val="0"/>
      <w:divBdr>
        <w:top w:val="none" w:sz="0" w:space="0" w:color="auto"/>
        <w:left w:val="none" w:sz="0" w:space="0" w:color="auto"/>
        <w:bottom w:val="none" w:sz="0" w:space="0" w:color="auto"/>
        <w:right w:val="none" w:sz="0" w:space="0" w:color="auto"/>
      </w:divBdr>
    </w:div>
    <w:div w:id="1822572396">
      <w:bodyDiv w:val="1"/>
      <w:marLeft w:val="0"/>
      <w:marRight w:val="0"/>
      <w:marTop w:val="0"/>
      <w:marBottom w:val="0"/>
      <w:divBdr>
        <w:top w:val="none" w:sz="0" w:space="0" w:color="auto"/>
        <w:left w:val="none" w:sz="0" w:space="0" w:color="auto"/>
        <w:bottom w:val="none" w:sz="0" w:space="0" w:color="auto"/>
        <w:right w:val="none" w:sz="0" w:space="0" w:color="auto"/>
      </w:divBdr>
    </w:div>
    <w:div w:id="1822692172">
      <w:bodyDiv w:val="1"/>
      <w:marLeft w:val="0"/>
      <w:marRight w:val="0"/>
      <w:marTop w:val="0"/>
      <w:marBottom w:val="0"/>
      <w:divBdr>
        <w:top w:val="none" w:sz="0" w:space="0" w:color="auto"/>
        <w:left w:val="none" w:sz="0" w:space="0" w:color="auto"/>
        <w:bottom w:val="none" w:sz="0" w:space="0" w:color="auto"/>
        <w:right w:val="none" w:sz="0" w:space="0" w:color="auto"/>
      </w:divBdr>
    </w:div>
    <w:div w:id="1825656887">
      <w:bodyDiv w:val="1"/>
      <w:marLeft w:val="0"/>
      <w:marRight w:val="0"/>
      <w:marTop w:val="0"/>
      <w:marBottom w:val="0"/>
      <w:divBdr>
        <w:top w:val="none" w:sz="0" w:space="0" w:color="auto"/>
        <w:left w:val="none" w:sz="0" w:space="0" w:color="auto"/>
        <w:bottom w:val="none" w:sz="0" w:space="0" w:color="auto"/>
        <w:right w:val="none" w:sz="0" w:space="0" w:color="auto"/>
      </w:divBdr>
    </w:div>
    <w:div w:id="1830511071">
      <w:bodyDiv w:val="1"/>
      <w:marLeft w:val="0"/>
      <w:marRight w:val="0"/>
      <w:marTop w:val="0"/>
      <w:marBottom w:val="0"/>
      <w:divBdr>
        <w:top w:val="none" w:sz="0" w:space="0" w:color="auto"/>
        <w:left w:val="none" w:sz="0" w:space="0" w:color="auto"/>
        <w:bottom w:val="none" w:sz="0" w:space="0" w:color="auto"/>
        <w:right w:val="none" w:sz="0" w:space="0" w:color="auto"/>
      </w:divBdr>
    </w:div>
    <w:div w:id="1838306665">
      <w:bodyDiv w:val="1"/>
      <w:marLeft w:val="0"/>
      <w:marRight w:val="0"/>
      <w:marTop w:val="0"/>
      <w:marBottom w:val="0"/>
      <w:divBdr>
        <w:top w:val="none" w:sz="0" w:space="0" w:color="auto"/>
        <w:left w:val="none" w:sz="0" w:space="0" w:color="auto"/>
        <w:bottom w:val="none" w:sz="0" w:space="0" w:color="auto"/>
        <w:right w:val="none" w:sz="0" w:space="0" w:color="auto"/>
      </w:divBdr>
    </w:div>
    <w:div w:id="1838958386">
      <w:bodyDiv w:val="1"/>
      <w:marLeft w:val="0"/>
      <w:marRight w:val="0"/>
      <w:marTop w:val="0"/>
      <w:marBottom w:val="0"/>
      <w:divBdr>
        <w:top w:val="none" w:sz="0" w:space="0" w:color="auto"/>
        <w:left w:val="none" w:sz="0" w:space="0" w:color="auto"/>
        <w:bottom w:val="none" w:sz="0" w:space="0" w:color="auto"/>
        <w:right w:val="none" w:sz="0" w:space="0" w:color="auto"/>
      </w:divBdr>
    </w:div>
    <w:div w:id="1847014239">
      <w:bodyDiv w:val="1"/>
      <w:marLeft w:val="0"/>
      <w:marRight w:val="0"/>
      <w:marTop w:val="0"/>
      <w:marBottom w:val="0"/>
      <w:divBdr>
        <w:top w:val="none" w:sz="0" w:space="0" w:color="auto"/>
        <w:left w:val="none" w:sz="0" w:space="0" w:color="auto"/>
        <w:bottom w:val="none" w:sz="0" w:space="0" w:color="auto"/>
        <w:right w:val="none" w:sz="0" w:space="0" w:color="auto"/>
      </w:divBdr>
    </w:div>
    <w:div w:id="1848666712">
      <w:bodyDiv w:val="1"/>
      <w:marLeft w:val="0"/>
      <w:marRight w:val="0"/>
      <w:marTop w:val="0"/>
      <w:marBottom w:val="0"/>
      <w:divBdr>
        <w:top w:val="none" w:sz="0" w:space="0" w:color="auto"/>
        <w:left w:val="none" w:sz="0" w:space="0" w:color="auto"/>
        <w:bottom w:val="none" w:sz="0" w:space="0" w:color="auto"/>
        <w:right w:val="none" w:sz="0" w:space="0" w:color="auto"/>
      </w:divBdr>
    </w:div>
    <w:div w:id="1851407918">
      <w:bodyDiv w:val="1"/>
      <w:marLeft w:val="0"/>
      <w:marRight w:val="0"/>
      <w:marTop w:val="0"/>
      <w:marBottom w:val="0"/>
      <w:divBdr>
        <w:top w:val="none" w:sz="0" w:space="0" w:color="auto"/>
        <w:left w:val="none" w:sz="0" w:space="0" w:color="auto"/>
        <w:bottom w:val="none" w:sz="0" w:space="0" w:color="auto"/>
        <w:right w:val="none" w:sz="0" w:space="0" w:color="auto"/>
      </w:divBdr>
    </w:div>
    <w:div w:id="1856266494">
      <w:bodyDiv w:val="1"/>
      <w:marLeft w:val="0"/>
      <w:marRight w:val="0"/>
      <w:marTop w:val="0"/>
      <w:marBottom w:val="0"/>
      <w:divBdr>
        <w:top w:val="none" w:sz="0" w:space="0" w:color="auto"/>
        <w:left w:val="none" w:sz="0" w:space="0" w:color="auto"/>
        <w:bottom w:val="none" w:sz="0" w:space="0" w:color="auto"/>
        <w:right w:val="none" w:sz="0" w:space="0" w:color="auto"/>
      </w:divBdr>
    </w:div>
    <w:div w:id="1862276355">
      <w:bodyDiv w:val="1"/>
      <w:marLeft w:val="0"/>
      <w:marRight w:val="0"/>
      <w:marTop w:val="0"/>
      <w:marBottom w:val="0"/>
      <w:divBdr>
        <w:top w:val="none" w:sz="0" w:space="0" w:color="auto"/>
        <w:left w:val="none" w:sz="0" w:space="0" w:color="auto"/>
        <w:bottom w:val="none" w:sz="0" w:space="0" w:color="auto"/>
        <w:right w:val="none" w:sz="0" w:space="0" w:color="auto"/>
      </w:divBdr>
    </w:div>
    <w:div w:id="1867475746">
      <w:bodyDiv w:val="1"/>
      <w:marLeft w:val="0"/>
      <w:marRight w:val="0"/>
      <w:marTop w:val="0"/>
      <w:marBottom w:val="0"/>
      <w:divBdr>
        <w:top w:val="none" w:sz="0" w:space="0" w:color="auto"/>
        <w:left w:val="none" w:sz="0" w:space="0" w:color="auto"/>
        <w:bottom w:val="none" w:sz="0" w:space="0" w:color="auto"/>
        <w:right w:val="none" w:sz="0" w:space="0" w:color="auto"/>
      </w:divBdr>
    </w:div>
    <w:div w:id="1872764144">
      <w:bodyDiv w:val="1"/>
      <w:marLeft w:val="0"/>
      <w:marRight w:val="0"/>
      <w:marTop w:val="0"/>
      <w:marBottom w:val="0"/>
      <w:divBdr>
        <w:top w:val="none" w:sz="0" w:space="0" w:color="auto"/>
        <w:left w:val="none" w:sz="0" w:space="0" w:color="auto"/>
        <w:bottom w:val="none" w:sz="0" w:space="0" w:color="auto"/>
        <w:right w:val="none" w:sz="0" w:space="0" w:color="auto"/>
      </w:divBdr>
    </w:div>
    <w:div w:id="1874295974">
      <w:bodyDiv w:val="1"/>
      <w:marLeft w:val="0"/>
      <w:marRight w:val="0"/>
      <w:marTop w:val="0"/>
      <w:marBottom w:val="0"/>
      <w:divBdr>
        <w:top w:val="none" w:sz="0" w:space="0" w:color="auto"/>
        <w:left w:val="none" w:sz="0" w:space="0" w:color="auto"/>
        <w:bottom w:val="none" w:sz="0" w:space="0" w:color="auto"/>
        <w:right w:val="none" w:sz="0" w:space="0" w:color="auto"/>
      </w:divBdr>
    </w:div>
    <w:div w:id="1875802620">
      <w:bodyDiv w:val="1"/>
      <w:marLeft w:val="0"/>
      <w:marRight w:val="0"/>
      <w:marTop w:val="0"/>
      <w:marBottom w:val="0"/>
      <w:divBdr>
        <w:top w:val="none" w:sz="0" w:space="0" w:color="auto"/>
        <w:left w:val="none" w:sz="0" w:space="0" w:color="auto"/>
        <w:bottom w:val="none" w:sz="0" w:space="0" w:color="auto"/>
        <w:right w:val="none" w:sz="0" w:space="0" w:color="auto"/>
      </w:divBdr>
    </w:div>
    <w:div w:id="1876192046">
      <w:bodyDiv w:val="1"/>
      <w:marLeft w:val="0"/>
      <w:marRight w:val="0"/>
      <w:marTop w:val="0"/>
      <w:marBottom w:val="0"/>
      <w:divBdr>
        <w:top w:val="none" w:sz="0" w:space="0" w:color="auto"/>
        <w:left w:val="none" w:sz="0" w:space="0" w:color="auto"/>
        <w:bottom w:val="none" w:sz="0" w:space="0" w:color="auto"/>
        <w:right w:val="none" w:sz="0" w:space="0" w:color="auto"/>
      </w:divBdr>
    </w:div>
    <w:div w:id="1876382438">
      <w:bodyDiv w:val="1"/>
      <w:marLeft w:val="0"/>
      <w:marRight w:val="0"/>
      <w:marTop w:val="0"/>
      <w:marBottom w:val="0"/>
      <w:divBdr>
        <w:top w:val="none" w:sz="0" w:space="0" w:color="auto"/>
        <w:left w:val="none" w:sz="0" w:space="0" w:color="auto"/>
        <w:bottom w:val="none" w:sz="0" w:space="0" w:color="auto"/>
        <w:right w:val="none" w:sz="0" w:space="0" w:color="auto"/>
      </w:divBdr>
    </w:div>
    <w:div w:id="1877308315">
      <w:bodyDiv w:val="1"/>
      <w:marLeft w:val="0"/>
      <w:marRight w:val="0"/>
      <w:marTop w:val="0"/>
      <w:marBottom w:val="0"/>
      <w:divBdr>
        <w:top w:val="none" w:sz="0" w:space="0" w:color="auto"/>
        <w:left w:val="none" w:sz="0" w:space="0" w:color="auto"/>
        <w:bottom w:val="none" w:sz="0" w:space="0" w:color="auto"/>
        <w:right w:val="none" w:sz="0" w:space="0" w:color="auto"/>
      </w:divBdr>
    </w:div>
    <w:div w:id="1878472061">
      <w:bodyDiv w:val="1"/>
      <w:marLeft w:val="0"/>
      <w:marRight w:val="0"/>
      <w:marTop w:val="0"/>
      <w:marBottom w:val="0"/>
      <w:divBdr>
        <w:top w:val="none" w:sz="0" w:space="0" w:color="auto"/>
        <w:left w:val="none" w:sz="0" w:space="0" w:color="auto"/>
        <w:bottom w:val="none" w:sz="0" w:space="0" w:color="auto"/>
        <w:right w:val="none" w:sz="0" w:space="0" w:color="auto"/>
      </w:divBdr>
    </w:div>
    <w:div w:id="1879312784">
      <w:bodyDiv w:val="1"/>
      <w:marLeft w:val="0"/>
      <w:marRight w:val="0"/>
      <w:marTop w:val="0"/>
      <w:marBottom w:val="0"/>
      <w:divBdr>
        <w:top w:val="none" w:sz="0" w:space="0" w:color="auto"/>
        <w:left w:val="none" w:sz="0" w:space="0" w:color="auto"/>
        <w:bottom w:val="none" w:sz="0" w:space="0" w:color="auto"/>
        <w:right w:val="none" w:sz="0" w:space="0" w:color="auto"/>
      </w:divBdr>
      <w:divsChild>
        <w:div w:id="965312441">
          <w:marLeft w:val="0"/>
          <w:marRight w:val="0"/>
          <w:marTop w:val="0"/>
          <w:marBottom w:val="0"/>
          <w:divBdr>
            <w:top w:val="none" w:sz="0" w:space="0" w:color="auto"/>
            <w:left w:val="none" w:sz="0" w:space="0" w:color="auto"/>
            <w:bottom w:val="none" w:sz="0" w:space="0" w:color="auto"/>
            <w:right w:val="none" w:sz="0" w:space="0" w:color="auto"/>
          </w:divBdr>
        </w:div>
        <w:div w:id="408885111">
          <w:marLeft w:val="0"/>
          <w:marRight w:val="0"/>
          <w:marTop w:val="0"/>
          <w:marBottom w:val="0"/>
          <w:divBdr>
            <w:top w:val="none" w:sz="0" w:space="0" w:color="auto"/>
            <w:left w:val="none" w:sz="0" w:space="0" w:color="auto"/>
            <w:bottom w:val="none" w:sz="0" w:space="0" w:color="auto"/>
            <w:right w:val="none" w:sz="0" w:space="0" w:color="auto"/>
          </w:divBdr>
        </w:div>
        <w:div w:id="777335654">
          <w:marLeft w:val="0"/>
          <w:marRight w:val="0"/>
          <w:marTop w:val="0"/>
          <w:marBottom w:val="0"/>
          <w:divBdr>
            <w:top w:val="none" w:sz="0" w:space="0" w:color="auto"/>
            <w:left w:val="none" w:sz="0" w:space="0" w:color="auto"/>
            <w:bottom w:val="none" w:sz="0" w:space="0" w:color="auto"/>
            <w:right w:val="none" w:sz="0" w:space="0" w:color="auto"/>
          </w:divBdr>
        </w:div>
        <w:div w:id="1573850683">
          <w:marLeft w:val="0"/>
          <w:marRight w:val="0"/>
          <w:marTop w:val="0"/>
          <w:marBottom w:val="0"/>
          <w:divBdr>
            <w:top w:val="none" w:sz="0" w:space="0" w:color="auto"/>
            <w:left w:val="none" w:sz="0" w:space="0" w:color="auto"/>
            <w:bottom w:val="none" w:sz="0" w:space="0" w:color="auto"/>
            <w:right w:val="none" w:sz="0" w:space="0" w:color="auto"/>
          </w:divBdr>
        </w:div>
      </w:divsChild>
    </w:div>
    <w:div w:id="1880240384">
      <w:bodyDiv w:val="1"/>
      <w:marLeft w:val="0"/>
      <w:marRight w:val="0"/>
      <w:marTop w:val="0"/>
      <w:marBottom w:val="0"/>
      <w:divBdr>
        <w:top w:val="none" w:sz="0" w:space="0" w:color="auto"/>
        <w:left w:val="none" w:sz="0" w:space="0" w:color="auto"/>
        <w:bottom w:val="none" w:sz="0" w:space="0" w:color="auto"/>
        <w:right w:val="none" w:sz="0" w:space="0" w:color="auto"/>
      </w:divBdr>
    </w:div>
    <w:div w:id="1883908160">
      <w:bodyDiv w:val="1"/>
      <w:marLeft w:val="0"/>
      <w:marRight w:val="0"/>
      <w:marTop w:val="0"/>
      <w:marBottom w:val="0"/>
      <w:divBdr>
        <w:top w:val="none" w:sz="0" w:space="0" w:color="auto"/>
        <w:left w:val="none" w:sz="0" w:space="0" w:color="auto"/>
        <w:bottom w:val="none" w:sz="0" w:space="0" w:color="auto"/>
        <w:right w:val="none" w:sz="0" w:space="0" w:color="auto"/>
      </w:divBdr>
    </w:div>
    <w:div w:id="1885092122">
      <w:bodyDiv w:val="1"/>
      <w:marLeft w:val="0"/>
      <w:marRight w:val="0"/>
      <w:marTop w:val="0"/>
      <w:marBottom w:val="0"/>
      <w:divBdr>
        <w:top w:val="none" w:sz="0" w:space="0" w:color="auto"/>
        <w:left w:val="none" w:sz="0" w:space="0" w:color="auto"/>
        <w:bottom w:val="none" w:sz="0" w:space="0" w:color="auto"/>
        <w:right w:val="none" w:sz="0" w:space="0" w:color="auto"/>
      </w:divBdr>
    </w:div>
    <w:div w:id="1885676393">
      <w:bodyDiv w:val="1"/>
      <w:marLeft w:val="0"/>
      <w:marRight w:val="0"/>
      <w:marTop w:val="0"/>
      <w:marBottom w:val="0"/>
      <w:divBdr>
        <w:top w:val="none" w:sz="0" w:space="0" w:color="auto"/>
        <w:left w:val="none" w:sz="0" w:space="0" w:color="auto"/>
        <w:bottom w:val="none" w:sz="0" w:space="0" w:color="auto"/>
        <w:right w:val="none" w:sz="0" w:space="0" w:color="auto"/>
      </w:divBdr>
    </w:div>
    <w:div w:id="1885822748">
      <w:bodyDiv w:val="1"/>
      <w:marLeft w:val="0"/>
      <w:marRight w:val="0"/>
      <w:marTop w:val="0"/>
      <w:marBottom w:val="0"/>
      <w:divBdr>
        <w:top w:val="none" w:sz="0" w:space="0" w:color="auto"/>
        <w:left w:val="none" w:sz="0" w:space="0" w:color="auto"/>
        <w:bottom w:val="none" w:sz="0" w:space="0" w:color="auto"/>
        <w:right w:val="none" w:sz="0" w:space="0" w:color="auto"/>
      </w:divBdr>
    </w:div>
    <w:div w:id="1886214426">
      <w:bodyDiv w:val="1"/>
      <w:marLeft w:val="0"/>
      <w:marRight w:val="0"/>
      <w:marTop w:val="0"/>
      <w:marBottom w:val="0"/>
      <w:divBdr>
        <w:top w:val="none" w:sz="0" w:space="0" w:color="auto"/>
        <w:left w:val="none" w:sz="0" w:space="0" w:color="auto"/>
        <w:bottom w:val="none" w:sz="0" w:space="0" w:color="auto"/>
        <w:right w:val="none" w:sz="0" w:space="0" w:color="auto"/>
      </w:divBdr>
    </w:div>
    <w:div w:id="1886872787">
      <w:bodyDiv w:val="1"/>
      <w:marLeft w:val="0"/>
      <w:marRight w:val="0"/>
      <w:marTop w:val="0"/>
      <w:marBottom w:val="0"/>
      <w:divBdr>
        <w:top w:val="none" w:sz="0" w:space="0" w:color="auto"/>
        <w:left w:val="none" w:sz="0" w:space="0" w:color="auto"/>
        <w:bottom w:val="none" w:sz="0" w:space="0" w:color="auto"/>
        <w:right w:val="none" w:sz="0" w:space="0" w:color="auto"/>
      </w:divBdr>
    </w:div>
    <w:div w:id="1888954655">
      <w:bodyDiv w:val="1"/>
      <w:marLeft w:val="0"/>
      <w:marRight w:val="0"/>
      <w:marTop w:val="0"/>
      <w:marBottom w:val="0"/>
      <w:divBdr>
        <w:top w:val="none" w:sz="0" w:space="0" w:color="auto"/>
        <w:left w:val="none" w:sz="0" w:space="0" w:color="auto"/>
        <w:bottom w:val="none" w:sz="0" w:space="0" w:color="auto"/>
        <w:right w:val="none" w:sz="0" w:space="0" w:color="auto"/>
      </w:divBdr>
    </w:div>
    <w:div w:id="1889490670">
      <w:bodyDiv w:val="1"/>
      <w:marLeft w:val="0"/>
      <w:marRight w:val="0"/>
      <w:marTop w:val="0"/>
      <w:marBottom w:val="0"/>
      <w:divBdr>
        <w:top w:val="none" w:sz="0" w:space="0" w:color="auto"/>
        <w:left w:val="none" w:sz="0" w:space="0" w:color="auto"/>
        <w:bottom w:val="none" w:sz="0" w:space="0" w:color="auto"/>
        <w:right w:val="none" w:sz="0" w:space="0" w:color="auto"/>
      </w:divBdr>
    </w:div>
    <w:div w:id="1889566189">
      <w:bodyDiv w:val="1"/>
      <w:marLeft w:val="0"/>
      <w:marRight w:val="0"/>
      <w:marTop w:val="0"/>
      <w:marBottom w:val="0"/>
      <w:divBdr>
        <w:top w:val="none" w:sz="0" w:space="0" w:color="auto"/>
        <w:left w:val="none" w:sz="0" w:space="0" w:color="auto"/>
        <w:bottom w:val="none" w:sz="0" w:space="0" w:color="auto"/>
        <w:right w:val="none" w:sz="0" w:space="0" w:color="auto"/>
      </w:divBdr>
    </w:div>
    <w:div w:id="1890797806">
      <w:bodyDiv w:val="1"/>
      <w:marLeft w:val="0"/>
      <w:marRight w:val="0"/>
      <w:marTop w:val="0"/>
      <w:marBottom w:val="0"/>
      <w:divBdr>
        <w:top w:val="none" w:sz="0" w:space="0" w:color="auto"/>
        <w:left w:val="none" w:sz="0" w:space="0" w:color="auto"/>
        <w:bottom w:val="none" w:sz="0" w:space="0" w:color="auto"/>
        <w:right w:val="none" w:sz="0" w:space="0" w:color="auto"/>
      </w:divBdr>
    </w:div>
    <w:div w:id="1891185944">
      <w:bodyDiv w:val="1"/>
      <w:marLeft w:val="0"/>
      <w:marRight w:val="0"/>
      <w:marTop w:val="0"/>
      <w:marBottom w:val="0"/>
      <w:divBdr>
        <w:top w:val="none" w:sz="0" w:space="0" w:color="auto"/>
        <w:left w:val="none" w:sz="0" w:space="0" w:color="auto"/>
        <w:bottom w:val="none" w:sz="0" w:space="0" w:color="auto"/>
        <w:right w:val="none" w:sz="0" w:space="0" w:color="auto"/>
      </w:divBdr>
    </w:div>
    <w:div w:id="1893760955">
      <w:bodyDiv w:val="1"/>
      <w:marLeft w:val="0"/>
      <w:marRight w:val="0"/>
      <w:marTop w:val="0"/>
      <w:marBottom w:val="0"/>
      <w:divBdr>
        <w:top w:val="none" w:sz="0" w:space="0" w:color="auto"/>
        <w:left w:val="none" w:sz="0" w:space="0" w:color="auto"/>
        <w:bottom w:val="none" w:sz="0" w:space="0" w:color="auto"/>
        <w:right w:val="none" w:sz="0" w:space="0" w:color="auto"/>
      </w:divBdr>
    </w:div>
    <w:div w:id="1894073480">
      <w:bodyDiv w:val="1"/>
      <w:marLeft w:val="0"/>
      <w:marRight w:val="0"/>
      <w:marTop w:val="0"/>
      <w:marBottom w:val="0"/>
      <w:divBdr>
        <w:top w:val="none" w:sz="0" w:space="0" w:color="auto"/>
        <w:left w:val="none" w:sz="0" w:space="0" w:color="auto"/>
        <w:bottom w:val="none" w:sz="0" w:space="0" w:color="auto"/>
        <w:right w:val="none" w:sz="0" w:space="0" w:color="auto"/>
      </w:divBdr>
    </w:div>
    <w:div w:id="1895241127">
      <w:bodyDiv w:val="1"/>
      <w:marLeft w:val="0"/>
      <w:marRight w:val="0"/>
      <w:marTop w:val="0"/>
      <w:marBottom w:val="0"/>
      <w:divBdr>
        <w:top w:val="none" w:sz="0" w:space="0" w:color="auto"/>
        <w:left w:val="none" w:sz="0" w:space="0" w:color="auto"/>
        <w:bottom w:val="none" w:sz="0" w:space="0" w:color="auto"/>
        <w:right w:val="none" w:sz="0" w:space="0" w:color="auto"/>
      </w:divBdr>
    </w:div>
    <w:div w:id="1896774457">
      <w:bodyDiv w:val="1"/>
      <w:marLeft w:val="0"/>
      <w:marRight w:val="0"/>
      <w:marTop w:val="0"/>
      <w:marBottom w:val="0"/>
      <w:divBdr>
        <w:top w:val="none" w:sz="0" w:space="0" w:color="auto"/>
        <w:left w:val="none" w:sz="0" w:space="0" w:color="auto"/>
        <w:bottom w:val="none" w:sz="0" w:space="0" w:color="auto"/>
        <w:right w:val="none" w:sz="0" w:space="0" w:color="auto"/>
      </w:divBdr>
    </w:div>
    <w:div w:id="1898011763">
      <w:bodyDiv w:val="1"/>
      <w:marLeft w:val="0"/>
      <w:marRight w:val="0"/>
      <w:marTop w:val="0"/>
      <w:marBottom w:val="0"/>
      <w:divBdr>
        <w:top w:val="none" w:sz="0" w:space="0" w:color="auto"/>
        <w:left w:val="none" w:sz="0" w:space="0" w:color="auto"/>
        <w:bottom w:val="none" w:sz="0" w:space="0" w:color="auto"/>
        <w:right w:val="none" w:sz="0" w:space="0" w:color="auto"/>
      </w:divBdr>
    </w:div>
    <w:div w:id="1900481588">
      <w:bodyDiv w:val="1"/>
      <w:marLeft w:val="0"/>
      <w:marRight w:val="0"/>
      <w:marTop w:val="0"/>
      <w:marBottom w:val="0"/>
      <w:divBdr>
        <w:top w:val="none" w:sz="0" w:space="0" w:color="auto"/>
        <w:left w:val="none" w:sz="0" w:space="0" w:color="auto"/>
        <w:bottom w:val="none" w:sz="0" w:space="0" w:color="auto"/>
        <w:right w:val="none" w:sz="0" w:space="0" w:color="auto"/>
      </w:divBdr>
    </w:div>
    <w:div w:id="1906062668">
      <w:bodyDiv w:val="1"/>
      <w:marLeft w:val="0"/>
      <w:marRight w:val="0"/>
      <w:marTop w:val="0"/>
      <w:marBottom w:val="0"/>
      <w:divBdr>
        <w:top w:val="none" w:sz="0" w:space="0" w:color="auto"/>
        <w:left w:val="none" w:sz="0" w:space="0" w:color="auto"/>
        <w:bottom w:val="none" w:sz="0" w:space="0" w:color="auto"/>
        <w:right w:val="none" w:sz="0" w:space="0" w:color="auto"/>
      </w:divBdr>
    </w:div>
    <w:div w:id="1908488139">
      <w:bodyDiv w:val="1"/>
      <w:marLeft w:val="0"/>
      <w:marRight w:val="0"/>
      <w:marTop w:val="0"/>
      <w:marBottom w:val="0"/>
      <w:divBdr>
        <w:top w:val="none" w:sz="0" w:space="0" w:color="auto"/>
        <w:left w:val="none" w:sz="0" w:space="0" w:color="auto"/>
        <w:bottom w:val="none" w:sz="0" w:space="0" w:color="auto"/>
        <w:right w:val="none" w:sz="0" w:space="0" w:color="auto"/>
      </w:divBdr>
    </w:div>
    <w:div w:id="1908805036">
      <w:bodyDiv w:val="1"/>
      <w:marLeft w:val="0"/>
      <w:marRight w:val="0"/>
      <w:marTop w:val="0"/>
      <w:marBottom w:val="0"/>
      <w:divBdr>
        <w:top w:val="none" w:sz="0" w:space="0" w:color="auto"/>
        <w:left w:val="none" w:sz="0" w:space="0" w:color="auto"/>
        <w:bottom w:val="none" w:sz="0" w:space="0" w:color="auto"/>
        <w:right w:val="none" w:sz="0" w:space="0" w:color="auto"/>
      </w:divBdr>
    </w:div>
    <w:div w:id="1911884224">
      <w:bodyDiv w:val="1"/>
      <w:marLeft w:val="0"/>
      <w:marRight w:val="0"/>
      <w:marTop w:val="0"/>
      <w:marBottom w:val="0"/>
      <w:divBdr>
        <w:top w:val="none" w:sz="0" w:space="0" w:color="auto"/>
        <w:left w:val="none" w:sz="0" w:space="0" w:color="auto"/>
        <w:bottom w:val="none" w:sz="0" w:space="0" w:color="auto"/>
        <w:right w:val="none" w:sz="0" w:space="0" w:color="auto"/>
      </w:divBdr>
    </w:div>
    <w:div w:id="1912884193">
      <w:bodyDiv w:val="1"/>
      <w:marLeft w:val="0"/>
      <w:marRight w:val="0"/>
      <w:marTop w:val="0"/>
      <w:marBottom w:val="0"/>
      <w:divBdr>
        <w:top w:val="none" w:sz="0" w:space="0" w:color="auto"/>
        <w:left w:val="none" w:sz="0" w:space="0" w:color="auto"/>
        <w:bottom w:val="none" w:sz="0" w:space="0" w:color="auto"/>
        <w:right w:val="none" w:sz="0" w:space="0" w:color="auto"/>
      </w:divBdr>
    </w:div>
    <w:div w:id="1913343680">
      <w:bodyDiv w:val="1"/>
      <w:marLeft w:val="0"/>
      <w:marRight w:val="0"/>
      <w:marTop w:val="0"/>
      <w:marBottom w:val="0"/>
      <w:divBdr>
        <w:top w:val="none" w:sz="0" w:space="0" w:color="auto"/>
        <w:left w:val="none" w:sz="0" w:space="0" w:color="auto"/>
        <w:bottom w:val="none" w:sz="0" w:space="0" w:color="auto"/>
        <w:right w:val="none" w:sz="0" w:space="0" w:color="auto"/>
      </w:divBdr>
    </w:div>
    <w:div w:id="1914585793">
      <w:bodyDiv w:val="1"/>
      <w:marLeft w:val="0"/>
      <w:marRight w:val="0"/>
      <w:marTop w:val="0"/>
      <w:marBottom w:val="0"/>
      <w:divBdr>
        <w:top w:val="none" w:sz="0" w:space="0" w:color="auto"/>
        <w:left w:val="none" w:sz="0" w:space="0" w:color="auto"/>
        <w:bottom w:val="none" w:sz="0" w:space="0" w:color="auto"/>
        <w:right w:val="none" w:sz="0" w:space="0" w:color="auto"/>
      </w:divBdr>
    </w:div>
    <w:div w:id="1920864382">
      <w:bodyDiv w:val="1"/>
      <w:marLeft w:val="0"/>
      <w:marRight w:val="0"/>
      <w:marTop w:val="0"/>
      <w:marBottom w:val="0"/>
      <w:divBdr>
        <w:top w:val="none" w:sz="0" w:space="0" w:color="auto"/>
        <w:left w:val="none" w:sz="0" w:space="0" w:color="auto"/>
        <w:bottom w:val="none" w:sz="0" w:space="0" w:color="auto"/>
        <w:right w:val="none" w:sz="0" w:space="0" w:color="auto"/>
      </w:divBdr>
    </w:div>
    <w:div w:id="1921519490">
      <w:bodyDiv w:val="1"/>
      <w:marLeft w:val="0"/>
      <w:marRight w:val="0"/>
      <w:marTop w:val="0"/>
      <w:marBottom w:val="0"/>
      <w:divBdr>
        <w:top w:val="none" w:sz="0" w:space="0" w:color="auto"/>
        <w:left w:val="none" w:sz="0" w:space="0" w:color="auto"/>
        <w:bottom w:val="none" w:sz="0" w:space="0" w:color="auto"/>
        <w:right w:val="none" w:sz="0" w:space="0" w:color="auto"/>
      </w:divBdr>
    </w:div>
    <w:div w:id="1922251555">
      <w:bodyDiv w:val="1"/>
      <w:marLeft w:val="0"/>
      <w:marRight w:val="0"/>
      <w:marTop w:val="0"/>
      <w:marBottom w:val="0"/>
      <w:divBdr>
        <w:top w:val="none" w:sz="0" w:space="0" w:color="auto"/>
        <w:left w:val="none" w:sz="0" w:space="0" w:color="auto"/>
        <w:bottom w:val="none" w:sz="0" w:space="0" w:color="auto"/>
        <w:right w:val="none" w:sz="0" w:space="0" w:color="auto"/>
      </w:divBdr>
    </w:div>
    <w:div w:id="1925649722">
      <w:bodyDiv w:val="1"/>
      <w:marLeft w:val="0"/>
      <w:marRight w:val="0"/>
      <w:marTop w:val="0"/>
      <w:marBottom w:val="0"/>
      <w:divBdr>
        <w:top w:val="none" w:sz="0" w:space="0" w:color="auto"/>
        <w:left w:val="none" w:sz="0" w:space="0" w:color="auto"/>
        <w:bottom w:val="none" w:sz="0" w:space="0" w:color="auto"/>
        <w:right w:val="none" w:sz="0" w:space="0" w:color="auto"/>
      </w:divBdr>
    </w:div>
    <w:div w:id="1926381303">
      <w:bodyDiv w:val="1"/>
      <w:marLeft w:val="0"/>
      <w:marRight w:val="0"/>
      <w:marTop w:val="0"/>
      <w:marBottom w:val="0"/>
      <w:divBdr>
        <w:top w:val="none" w:sz="0" w:space="0" w:color="auto"/>
        <w:left w:val="none" w:sz="0" w:space="0" w:color="auto"/>
        <w:bottom w:val="none" w:sz="0" w:space="0" w:color="auto"/>
        <w:right w:val="none" w:sz="0" w:space="0" w:color="auto"/>
      </w:divBdr>
    </w:div>
    <w:div w:id="1927110272">
      <w:bodyDiv w:val="1"/>
      <w:marLeft w:val="0"/>
      <w:marRight w:val="0"/>
      <w:marTop w:val="0"/>
      <w:marBottom w:val="0"/>
      <w:divBdr>
        <w:top w:val="none" w:sz="0" w:space="0" w:color="auto"/>
        <w:left w:val="none" w:sz="0" w:space="0" w:color="auto"/>
        <w:bottom w:val="none" w:sz="0" w:space="0" w:color="auto"/>
        <w:right w:val="none" w:sz="0" w:space="0" w:color="auto"/>
      </w:divBdr>
    </w:div>
    <w:div w:id="1929187714">
      <w:bodyDiv w:val="1"/>
      <w:marLeft w:val="0"/>
      <w:marRight w:val="0"/>
      <w:marTop w:val="0"/>
      <w:marBottom w:val="0"/>
      <w:divBdr>
        <w:top w:val="none" w:sz="0" w:space="0" w:color="auto"/>
        <w:left w:val="none" w:sz="0" w:space="0" w:color="auto"/>
        <w:bottom w:val="none" w:sz="0" w:space="0" w:color="auto"/>
        <w:right w:val="none" w:sz="0" w:space="0" w:color="auto"/>
      </w:divBdr>
    </w:div>
    <w:div w:id="1929465414">
      <w:bodyDiv w:val="1"/>
      <w:marLeft w:val="0"/>
      <w:marRight w:val="0"/>
      <w:marTop w:val="0"/>
      <w:marBottom w:val="0"/>
      <w:divBdr>
        <w:top w:val="none" w:sz="0" w:space="0" w:color="auto"/>
        <w:left w:val="none" w:sz="0" w:space="0" w:color="auto"/>
        <w:bottom w:val="none" w:sz="0" w:space="0" w:color="auto"/>
        <w:right w:val="none" w:sz="0" w:space="0" w:color="auto"/>
      </w:divBdr>
    </w:div>
    <w:div w:id="1931306094">
      <w:bodyDiv w:val="1"/>
      <w:marLeft w:val="0"/>
      <w:marRight w:val="0"/>
      <w:marTop w:val="0"/>
      <w:marBottom w:val="0"/>
      <w:divBdr>
        <w:top w:val="none" w:sz="0" w:space="0" w:color="auto"/>
        <w:left w:val="none" w:sz="0" w:space="0" w:color="auto"/>
        <w:bottom w:val="none" w:sz="0" w:space="0" w:color="auto"/>
        <w:right w:val="none" w:sz="0" w:space="0" w:color="auto"/>
      </w:divBdr>
    </w:div>
    <w:div w:id="1940021629">
      <w:bodyDiv w:val="1"/>
      <w:marLeft w:val="0"/>
      <w:marRight w:val="0"/>
      <w:marTop w:val="0"/>
      <w:marBottom w:val="0"/>
      <w:divBdr>
        <w:top w:val="none" w:sz="0" w:space="0" w:color="auto"/>
        <w:left w:val="none" w:sz="0" w:space="0" w:color="auto"/>
        <w:bottom w:val="none" w:sz="0" w:space="0" w:color="auto"/>
        <w:right w:val="none" w:sz="0" w:space="0" w:color="auto"/>
      </w:divBdr>
    </w:div>
    <w:div w:id="1940872430">
      <w:bodyDiv w:val="1"/>
      <w:marLeft w:val="0"/>
      <w:marRight w:val="0"/>
      <w:marTop w:val="0"/>
      <w:marBottom w:val="0"/>
      <w:divBdr>
        <w:top w:val="none" w:sz="0" w:space="0" w:color="auto"/>
        <w:left w:val="none" w:sz="0" w:space="0" w:color="auto"/>
        <w:bottom w:val="none" w:sz="0" w:space="0" w:color="auto"/>
        <w:right w:val="none" w:sz="0" w:space="0" w:color="auto"/>
      </w:divBdr>
    </w:div>
    <w:div w:id="1941063790">
      <w:bodyDiv w:val="1"/>
      <w:marLeft w:val="0"/>
      <w:marRight w:val="0"/>
      <w:marTop w:val="0"/>
      <w:marBottom w:val="0"/>
      <w:divBdr>
        <w:top w:val="none" w:sz="0" w:space="0" w:color="auto"/>
        <w:left w:val="none" w:sz="0" w:space="0" w:color="auto"/>
        <w:bottom w:val="none" w:sz="0" w:space="0" w:color="auto"/>
        <w:right w:val="none" w:sz="0" w:space="0" w:color="auto"/>
      </w:divBdr>
    </w:div>
    <w:div w:id="1941452943">
      <w:bodyDiv w:val="1"/>
      <w:marLeft w:val="0"/>
      <w:marRight w:val="0"/>
      <w:marTop w:val="0"/>
      <w:marBottom w:val="0"/>
      <w:divBdr>
        <w:top w:val="none" w:sz="0" w:space="0" w:color="auto"/>
        <w:left w:val="none" w:sz="0" w:space="0" w:color="auto"/>
        <w:bottom w:val="none" w:sz="0" w:space="0" w:color="auto"/>
        <w:right w:val="none" w:sz="0" w:space="0" w:color="auto"/>
      </w:divBdr>
    </w:div>
    <w:div w:id="1945308096">
      <w:bodyDiv w:val="1"/>
      <w:marLeft w:val="0"/>
      <w:marRight w:val="0"/>
      <w:marTop w:val="0"/>
      <w:marBottom w:val="0"/>
      <w:divBdr>
        <w:top w:val="none" w:sz="0" w:space="0" w:color="auto"/>
        <w:left w:val="none" w:sz="0" w:space="0" w:color="auto"/>
        <w:bottom w:val="none" w:sz="0" w:space="0" w:color="auto"/>
        <w:right w:val="none" w:sz="0" w:space="0" w:color="auto"/>
      </w:divBdr>
    </w:div>
    <w:div w:id="1945456667">
      <w:bodyDiv w:val="1"/>
      <w:marLeft w:val="0"/>
      <w:marRight w:val="0"/>
      <w:marTop w:val="0"/>
      <w:marBottom w:val="0"/>
      <w:divBdr>
        <w:top w:val="none" w:sz="0" w:space="0" w:color="auto"/>
        <w:left w:val="none" w:sz="0" w:space="0" w:color="auto"/>
        <w:bottom w:val="none" w:sz="0" w:space="0" w:color="auto"/>
        <w:right w:val="none" w:sz="0" w:space="0" w:color="auto"/>
      </w:divBdr>
    </w:div>
    <w:div w:id="1945765418">
      <w:bodyDiv w:val="1"/>
      <w:marLeft w:val="0"/>
      <w:marRight w:val="0"/>
      <w:marTop w:val="0"/>
      <w:marBottom w:val="0"/>
      <w:divBdr>
        <w:top w:val="none" w:sz="0" w:space="0" w:color="auto"/>
        <w:left w:val="none" w:sz="0" w:space="0" w:color="auto"/>
        <w:bottom w:val="none" w:sz="0" w:space="0" w:color="auto"/>
        <w:right w:val="none" w:sz="0" w:space="0" w:color="auto"/>
      </w:divBdr>
    </w:div>
    <w:div w:id="1951204205">
      <w:bodyDiv w:val="1"/>
      <w:marLeft w:val="0"/>
      <w:marRight w:val="0"/>
      <w:marTop w:val="0"/>
      <w:marBottom w:val="0"/>
      <w:divBdr>
        <w:top w:val="none" w:sz="0" w:space="0" w:color="auto"/>
        <w:left w:val="none" w:sz="0" w:space="0" w:color="auto"/>
        <w:bottom w:val="none" w:sz="0" w:space="0" w:color="auto"/>
        <w:right w:val="none" w:sz="0" w:space="0" w:color="auto"/>
      </w:divBdr>
    </w:div>
    <w:div w:id="1959875889">
      <w:bodyDiv w:val="1"/>
      <w:marLeft w:val="0"/>
      <w:marRight w:val="0"/>
      <w:marTop w:val="0"/>
      <w:marBottom w:val="0"/>
      <w:divBdr>
        <w:top w:val="none" w:sz="0" w:space="0" w:color="auto"/>
        <w:left w:val="none" w:sz="0" w:space="0" w:color="auto"/>
        <w:bottom w:val="none" w:sz="0" w:space="0" w:color="auto"/>
        <w:right w:val="none" w:sz="0" w:space="0" w:color="auto"/>
      </w:divBdr>
    </w:div>
    <w:div w:id="1962148436">
      <w:bodyDiv w:val="1"/>
      <w:marLeft w:val="0"/>
      <w:marRight w:val="0"/>
      <w:marTop w:val="0"/>
      <w:marBottom w:val="0"/>
      <w:divBdr>
        <w:top w:val="none" w:sz="0" w:space="0" w:color="auto"/>
        <w:left w:val="none" w:sz="0" w:space="0" w:color="auto"/>
        <w:bottom w:val="none" w:sz="0" w:space="0" w:color="auto"/>
        <w:right w:val="none" w:sz="0" w:space="0" w:color="auto"/>
      </w:divBdr>
    </w:div>
    <w:div w:id="1963681452">
      <w:bodyDiv w:val="1"/>
      <w:marLeft w:val="0"/>
      <w:marRight w:val="0"/>
      <w:marTop w:val="0"/>
      <w:marBottom w:val="0"/>
      <w:divBdr>
        <w:top w:val="none" w:sz="0" w:space="0" w:color="auto"/>
        <w:left w:val="none" w:sz="0" w:space="0" w:color="auto"/>
        <w:bottom w:val="none" w:sz="0" w:space="0" w:color="auto"/>
        <w:right w:val="none" w:sz="0" w:space="0" w:color="auto"/>
      </w:divBdr>
    </w:div>
    <w:div w:id="1968579550">
      <w:bodyDiv w:val="1"/>
      <w:marLeft w:val="0"/>
      <w:marRight w:val="0"/>
      <w:marTop w:val="0"/>
      <w:marBottom w:val="0"/>
      <w:divBdr>
        <w:top w:val="none" w:sz="0" w:space="0" w:color="auto"/>
        <w:left w:val="none" w:sz="0" w:space="0" w:color="auto"/>
        <w:bottom w:val="none" w:sz="0" w:space="0" w:color="auto"/>
        <w:right w:val="none" w:sz="0" w:space="0" w:color="auto"/>
      </w:divBdr>
    </w:div>
    <w:div w:id="1970355705">
      <w:bodyDiv w:val="1"/>
      <w:marLeft w:val="0"/>
      <w:marRight w:val="0"/>
      <w:marTop w:val="0"/>
      <w:marBottom w:val="0"/>
      <w:divBdr>
        <w:top w:val="none" w:sz="0" w:space="0" w:color="auto"/>
        <w:left w:val="none" w:sz="0" w:space="0" w:color="auto"/>
        <w:bottom w:val="none" w:sz="0" w:space="0" w:color="auto"/>
        <w:right w:val="none" w:sz="0" w:space="0" w:color="auto"/>
      </w:divBdr>
    </w:div>
    <w:div w:id="1970816374">
      <w:bodyDiv w:val="1"/>
      <w:marLeft w:val="0"/>
      <w:marRight w:val="0"/>
      <w:marTop w:val="0"/>
      <w:marBottom w:val="0"/>
      <w:divBdr>
        <w:top w:val="none" w:sz="0" w:space="0" w:color="auto"/>
        <w:left w:val="none" w:sz="0" w:space="0" w:color="auto"/>
        <w:bottom w:val="none" w:sz="0" w:space="0" w:color="auto"/>
        <w:right w:val="none" w:sz="0" w:space="0" w:color="auto"/>
      </w:divBdr>
    </w:div>
    <w:div w:id="1975519990">
      <w:bodyDiv w:val="1"/>
      <w:marLeft w:val="0"/>
      <w:marRight w:val="0"/>
      <w:marTop w:val="0"/>
      <w:marBottom w:val="0"/>
      <w:divBdr>
        <w:top w:val="none" w:sz="0" w:space="0" w:color="auto"/>
        <w:left w:val="none" w:sz="0" w:space="0" w:color="auto"/>
        <w:bottom w:val="none" w:sz="0" w:space="0" w:color="auto"/>
        <w:right w:val="none" w:sz="0" w:space="0" w:color="auto"/>
      </w:divBdr>
    </w:div>
    <w:div w:id="1976182820">
      <w:bodyDiv w:val="1"/>
      <w:marLeft w:val="0"/>
      <w:marRight w:val="0"/>
      <w:marTop w:val="0"/>
      <w:marBottom w:val="0"/>
      <w:divBdr>
        <w:top w:val="none" w:sz="0" w:space="0" w:color="auto"/>
        <w:left w:val="none" w:sz="0" w:space="0" w:color="auto"/>
        <w:bottom w:val="none" w:sz="0" w:space="0" w:color="auto"/>
        <w:right w:val="none" w:sz="0" w:space="0" w:color="auto"/>
      </w:divBdr>
    </w:div>
    <w:div w:id="1978993241">
      <w:bodyDiv w:val="1"/>
      <w:marLeft w:val="0"/>
      <w:marRight w:val="0"/>
      <w:marTop w:val="0"/>
      <w:marBottom w:val="0"/>
      <w:divBdr>
        <w:top w:val="none" w:sz="0" w:space="0" w:color="auto"/>
        <w:left w:val="none" w:sz="0" w:space="0" w:color="auto"/>
        <w:bottom w:val="none" w:sz="0" w:space="0" w:color="auto"/>
        <w:right w:val="none" w:sz="0" w:space="0" w:color="auto"/>
      </w:divBdr>
    </w:div>
    <w:div w:id="1981155833">
      <w:bodyDiv w:val="1"/>
      <w:marLeft w:val="0"/>
      <w:marRight w:val="0"/>
      <w:marTop w:val="0"/>
      <w:marBottom w:val="0"/>
      <w:divBdr>
        <w:top w:val="none" w:sz="0" w:space="0" w:color="auto"/>
        <w:left w:val="none" w:sz="0" w:space="0" w:color="auto"/>
        <w:bottom w:val="none" w:sz="0" w:space="0" w:color="auto"/>
        <w:right w:val="none" w:sz="0" w:space="0" w:color="auto"/>
      </w:divBdr>
    </w:div>
    <w:div w:id="1982422730">
      <w:bodyDiv w:val="1"/>
      <w:marLeft w:val="0"/>
      <w:marRight w:val="0"/>
      <w:marTop w:val="0"/>
      <w:marBottom w:val="0"/>
      <w:divBdr>
        <w:top w:val="none" w:sz="0" w:space="0" w:color="auto"/>
        <w:left w:val="none" w:sz="0" w:space="0" w:color="auto"/>
        <w:bottom w:val="none" w:sz="0" w:space="0" w:color="auto"/>
        <w:right w:val="none" w:sz="0" w:space="0" w:color="auto"/>
      </w:divBdr>
    </w:div>
    <w:div w:id="1984893642">
      <w:bodyDiv w:val="1"/>
      <w:marLeft w:val="0"/>
      <w:marRight w:val="0"/>
      <w:marTop w:val="0"/>
      <w:marBottom w:val="0"/>
      <w:divBdr>
        <w:top w:val="none" w:sz="0" w:space="0" w:color="auto"/>
        <w:left w:val="none" w:sz="0" w:space="0" w:color="auto"/>
        <w:bottom w:val="none" w:sz="0" w:space="0" w:color="auto"/>
        <w:right w:val="none" w:sz="0" w:space="0" w:color="auto"/>
      </w:divBdr>
    </w:div>
    <w:div w:id="1985357332">
      <w:bodyDiv w:val="1"/>
      <w:marLeft w:val="0"/>
      <w:marRight w:val="0"/>
      <w:marTop w:val="0"/>
      <w:marBottom w:val="0"/>
      <w:divBdr>
        <w:top w:val="none" w:sz="0" w:space="0" w:color="auto"/>
        <w:left w:val="none" w:sz="0" w:space="0" w:color="auto"/>
        <w:bottom w:val="none" w:sz="0" w:space="0" w:color="auto"/>
        <w:right w:val="none" w:sz="0" w:space="0" w:color="auto"/>
      </w:divBdr>
    </w:div>
    <w:div w:id="1986543877">
      <w:bodyDiv w:val="1"/>
      <w:marLeft w:val="0"/>
      <w:marRight w:val="0"/>
      <w:marTop w:val="0"/>
      <w:marBottom w:val="0"/>
      <w:divBdr>
        <w:top w:val="none" w:sz="0" w:space="0" w:color="auto"/>
        <w:left w:val="none" w:sz="0" w:space="0" w:color="auto"/>
        <w:bottom w:val="none" w:sz="0" w:space="0" w:color="auto"/>
        <w:right w:val="none" w:sz="0" w:space="0" w:color="auto"/>
      </w:divBdr>
    </w:div>
    <w:div w:id="1988626489">
      <w:bodyDiv w:val="1"/>
      <w:marLeft w:val="0"/>
      <w:marRight w:val="0"/>
      <w:marTop w:val="0"/>
      <w:marBottom w:val="0"/>
      <w:divBdr>
        <w:top w:val="none" w:sz="0" w:space="0" w:color="auto"/>
        <w:left w:val="none" w:sz="0" w:space="0" w:color="auto"/>
        <w:bottom w:val="none" w:sz="0" w:space="0" w:color="auto"/>
        <w:right w:val="none" w:sz="0" w:space="0" w:color="auto"/>
      </w:divBdr>
    </w:div>
    <w:div w:id="1990278499">
      <w:bodyDiv w:val="1"/>
      <w:marLeft w:val="0"/>
      <w:marRight w:val="0"/>
      <w:marTop w:val="0"/>
      <w:marBottom w:val="0"/>
      <w:divBdr>
        <w:top w:val="none" w:sz="0" w:space="0" w:color="auto"/>
        <w:left w:val="none" w:sz="0" w:space="0" w:color="auto"/>
        <w:bottom w:val="none" w:sz="0" w:space="0" w:color="auto"/>
        <w:right w:val="none" w:sz="0" w:space="0" w:color="auto"/>
      </w:divBdr>
    </w:div>
    <w:div w:id="1990745262">
      <w:bodyDiv w:val="1"/>
      <w:marLeft w:val="0"/>
      <w:marRight w:val="0"/>
      <w:marTop w:val="0"/>
      <w:marBottom w:val="0"/>
      <w:divBdr>
        <w:top w:val="none" w:sz="0" w:space="0" w:color="auto"/>
        <w:left w:val="none" w:sz="0" w:space="0" w:color="auto"/>
        <w:bottom w:val="none" w:sz="0" w:space="0" w:color="auto"/>
        <w:right w:val="none" w:sz="0" w:space="0" w:color="auto"/>
      </w:divBdr>
    </w:div>
    <w:div w:id="1990747011">
      <w:bodyDiv w:val="1"/>
      <w:marLeft w:val="0"/>
      <w:marRight w:val="0"/>
      <w:marTop w:val="0"/>
      <w:marBottom w:val="0"/>
      <w:divBdr>
        <w:top w:val="none" w:sz="0" w:space="0" w:color="auto"/>
        <w:left w:val="none" w:sz="0" w:space="0" w:color="auto"/>
        <w:bottom w:val="none" w:sz="0" w:space="0" w:color="auto"/>
        <w:right w:val="none" w:sz="0" w:space="0" w:color="auto"/>
      </w:divBdr>
    </w:div>
    <w:div w:id="1991397647">
      <w:bodyDiv w:val="1"/>
      <w:marLeft w:val="0"/>
      <w:marRight w:val="0"/>
      <w:marTop w:val="0"/>
      <w:marBottom w:val="0"/>
      <w:divBdr>
        <w:top w:val="none" w:sz="0" w:space="0" w:color="auto"/>
        <w:left w:val="none" w:sz="0" w:space="0" w:color="auto"/>
        <w:bottom w:val="none" w:sz="0" w:space="0" w:color="auto"/>
        <w:right w:val="none" w:sz="0" w:space="0" w:color="auto"/>
      </w:divBdr>
    </w:div>
    <w:div w:id="2004971080">
      <w:bodyDiv w:val="1"/>
      <w:marLeft w:val="0"/>
      <w:marRight w:val="0"/>
      <w:marTop w:val="0"/>
      <w:marBottom w:val="0"/>
      <w:divBdr>
        <w:top w:val="none" w:sz="0" w:space="0" w:color="auto"/>
        <w:left w:val="none" w:sz="0" w:space="0" w:color="auto"/>
        <w:bottom w:val="none" w:sz="0" w:space="0" w:color="auto"/>
        <w:right w:val="none" w:sz="0" w:space="0" w:color="auto"/>
      </w:divBdr>
    </w:div>
    <w:div w:id="2010021493">
      <w:bodyDiv w:val="1"/>
      <w:marLeft w:val="0"/>
      <w:marRight w:val="0"/>
      <w:marTop w:val="0"/>
      <w:marBottom w:val="0"/>
      <w:divBdr>
        <w:top w:val="none" w:sz="0" w:space="0" w:color="auto"/>
        <w:left w:val="none" w:sz="0" w:space="0" w:color="auto"/>
        <w:bottom w:val="none" w:sz="0" w:space="0" w:color="auto"/>
        <w:right w:val="none" w:sz="0" w:space="0" w:color="auto"/>
      </w:divBdr>
    </w:div>
    <w:div w:id="2013560632">
      <w:bodyDiv w:val="1"/>
      <w:marLeft w:val="0"/>
      <w:marRight w:val="0"/>
      <w:marTop w:val="0"/>
      <w:marBottom w:val="0"/>
      <w:divBdr>
        <w:top w:val="none" w:sz="0" w:space="0" w:color="auto"/>
        <w:left w:val="none" w:sz="0" w:space="0" w:color="auto"/>
        <w:bottom w:val="none" w:sz="0" w:space="0" w:color="auto"/>
        <w:right w:val="none" w:sz="0" w:space="0" w:color="auto"/>
      </w:divBdr>
      <w:divsChild>
        <w:div w:id="2054384534">
          <w:marLeft w:val="0"/>
          <w:marRight w:val="0"/>
          <w:marTop w:val="144"/>
          <w:marBottom w:val="144"/>
          <w:divBdr>
            <w:top w:val="none" w:sz="0" w:space="0" w:color="auto"/>
            <w:left w:val="none" w:sz="0" w:space="0" w:color="auto"/>
            <w:bottom w:val="none" w:sz="0" w:space="0" w:color="auto"/>
            <w:right w:val="none" w:sz="0" w:space="0" w:color="auto"/>
          </w:divBdr>
        </w:div>
      </w:divsChild>
    </w:div>
    <w:div w:id="2015306042">
      <w:bodyDiv w:val="1"/>
      <w:marLeft w:val="0"/>
      <w:marRight w:val="0"/>
      <w:marTop w:val="0"/>
      <w:marBottom w:val="0"/>
      <w:divBdr>
        <w:top w:val="none" w:sz="0" w:space="0" w:color="auto"/>
        <w:left w:val="none" w:sz="0" w:space="0" w:color="auto"/>
        <w:bottom w:val="none" w:sz="0" w:space="0" w:color="auto"/>
        <w:right w:val="none" w:sz="0" w:space="0" w:color="auto"/>
      </w:divBdr>
    </w:div>
    <w:div w:id="2017804775">
      <w:bodyDiv w:val="1"/>
      <w:marLeft w:val="0"/>
      <w:marRight w:val="0"/>
      <w:marTop w:val="0"/>
      <w:marBottom w:val="0"/>
      <w:divBdr>
        <w:top w:val="none" w:sz="0" w:space="0" w:color="auto"/>
        <w:left w:val="none" w:sz="0" w:space="0" w:color="auto"/>
        <w:bottom w:val="none" w:sz="0" w:space="0" w:color="auto"/>
        <w:right w:val="none" w:sz="0" w:space="0" w:color="auto"/>
      </w:divBdr>
    </w:div>
    <w:div w:id="2021738079">
      <w:bodyDiv w:val="1"/>
      <w:marLeft w:val="0"/>
      <w:marRight w:val="0"/>
      <w:marTop w:val="0"/>
      <w:marBottom w:val="0"/>
      <w:divBdr>
        <w:top w:val="none" w:sz="0" w:space="0" w:color="auto"/>
        <w:left w:val="none" w:sz="0" w:space="0" w:color="auto"/>
        <w:bottom w:val="none" w:sz="0" w:space="0" w:color="auto"/>
        <w:right w:val="none" w:sz="0" w:space="0" w:color="auto"/>
      </w:divBdr>
    </w:div>
    <w:div w:id="2022009478">
      <w:bodyDiv w:val="1"/>
      <w:marLeft w:val="0"/>
      <w:marRight w:val="0"/>
      <w:marTop w:val="0"/>
      <w:marBottom w:val="0"/>
      <w:divBdr>
        <w:top w:val="none" w:sz="0" w:space="0" w:color="auto"/>
        <w:left w:val="none" w:sz="0" w:space="0" w:color="auto"/>
        <w:bottom w:val="none" w:sz="0" w:space="0" w:color="auto"/>
        <w:right w:val="none" w:sz="0" w:space="0" w:color="auto"/>
      </w:divBdr>
    </w:div>
    <w:div w:id="2022202777">
      <w:bodyDiv w:val="1"/>
      <w:marLeft w:val="0"/>
      <w:marRight w:val="0"/>
      <w:marTop w:val="0"/>
      <w:marBottom w:val="0"/>
      <w:divBdr>
        <w:top w:val="none" w:sz="0" w:space="0" w:color="auto"/>
        <w:left w:val="none" w:sz="0" w:space="0" w:color="auto"/>
        <w:bottom w:val="none" w:sz="0" w:space="0" w:color="auto"/>
        <w:right w:val="none" w:sz="0" w:space="0" w:color="auto"/>
      </w:divBdr>
    </w:div>
    <w:div w:id="2022779521">
      <w:bodyDiv w:val="1"/>
      <w:marLeft w:val="0"/>
      <w:marRight w:val="0"/>
      <w:marTop w:val="0"/>
      <w:marBottom w:val="0"/>
      <w:divBdr>
        <w:top w:val="none" w:sz="0" w:space="0" w:color="auto"/>
        <w:left w:val="none" w:sz="0" w:space="0" w:color="auto"/>
        <w:bottom w:val="none" w:sz="0" w:space="0" w:color="auto"/>
        <w:right w:val="none" w:sz="0" w:space="0" w:color="auto"/>
      </w:divBdr>
    </w:div>
    <w:div w:id="2023699564">
      <w:bodyDiv w:val="1"/>
      <w:marLeft w:val="0"/>
      <w:marRight w:val="0"/>
      <w:marTop w:val="0"/>
      <w:marBottom w:val="0"/>
      <w:divBdr>
        <w:top w:val="none" w:sz="0" w:space="0" w:color="auto"/>
        <w:left w:val="none" w:sz="0" w:space="0" w:color="auto"/>
        <w:bottom w:val="none" w:sz="0" w:space="0" w:color="auto"/>
        <w:right w:val="none" w:sz="0" w:space="0" w:color="auto"/>
      </w:divBdr>
    </w:div>
    <w:div w:id="2026128665">
      <w:bodyDiv w:val="1"/>
      <w:marLeft w:val="0"/>
      <w:marRight w:val="0"/>
      <w:marTop w:val="0"/>
      <w:marBottom w:val="0"/>
      <w:divBdr>
        <w:top w:val="none" w:sz="0" w:space="0" w:color="auto"/>
        <w:left w:val="none" w:sz="0" w:space="0" w:color="auto"/>
        <w:bottom w:val="none" w:sz="0" w:space="0" w:color="auto"/>
        <w:right w:val="none" w:sz="0" w:space="0" w:color="auto"/>
      </w:divBdr>
    </w:div>
    <w:div w:id="2027124207">
      <w:bodyDiv w:val="1"/>
      <w:marLeft w:val="0"/>
      <w:marRight w:val="0"/>
      <w:marTop w:val="0"/>
      <w:marBottom w:val="0"/>
      <w:divBdr>
        <w:top w:val="none" w:sz="0" w:space="0" w:color="auto"/>
        <w:left w:val="none" w:sz="0" w:space="0" w:color="auto"/>
        <w:bottom w:val="none" w:sz="0" w:space="0" w:color="auto"/>
        <w:right w:val="none" w:sz="0" w:space="0" w:color="auto"/>
      </w:divBdr>
    </w:div>
    <w:div w:id="2028944625">
      <w:bodyDiv w:val="1"/>
      <w:marLeft w:val="0"/>
      <w:marRight w:val="0"/>
      <w:marTop w:val="0"/>
      <w:marBottom w:val="0"/>
      <w:divBdr>
        <w:top w:val="none" w:sz="0" w:space="0" w:color="auto"/>
        <w:left w:val="none" w:sz="0" w:space="0" w:color="auto"/>
        <w:bottom w:val="none" w:sz="0" w:space="0" w:color="auto"/>
        <w:right w:val="none" w:sz="0" w:space="0" w:color="auto"/>
      </w:divBdr>
    </w:div>
    <w:div w:id="2030988028">
      <w:bodyDiv w:val="1"/>
      <w:marLeft w:val="0"/>
      <w:marRight w:val="0"/>
      <w:marTop w:val="0"/>
      <w:marBottom w:val="0"/>
      <w:divBdr>
        <w:top w:val="none" w:sz="0" w:space="0" w:color="auto"/>
        <w:left w:val="none" w:sz="0" w:space="0" w:color="auto"/>
        <w:bottom w:val="none" w:sz="0" w:space="0" w:color="auto"/>
        <w:right w:val="none" w:sz="0" w:space="0" w:color="auto"/>
      </w:divBdr>
    </w:div>
    <w:div w:id="2032100566">
      <w:bodyDiv w:val="1"/>
      <w:marLeft w:val="0"/>
      <w:marRight w:val="0"/>
      <w:marTop w:val="0"/>
      <w:marBottom w:val="0"/>
      <w:divBdr>
        <w:top w:val="none" w:sz="0" w:space="0" w:color="auto"/>
        <w:left w:val="none" w:sz="0" w:space="0" w:color="auto"/>
        <w:bottom w:val="none" w:sz="0" w:space="0" w:color="auto"/>
        <w:right w:val="none" w:sz="0" w:space="0" w:color="auto"/>
      </w:divBdr>
    </w:div>
    <w:div w:id="2032758261">
      <w:bodyDiv w:val="1"/>
      <w:marLeft w:val="0"/>
      <w:marRight w:val="0"/>
      <w:marTop w:val="0"/>
      <w:marBottom w:val="0"/>
      <w:divBdr>
        <w:top w:val="none" w:sz="0" w:space="0" w:color="auto"/>
        <w:left w:val="none" w:sz="0" w:space="0" w:color="auto"/>
        <w:bottom w:val="none" w:sz="0" w:space="0" w:color="auto"/>
        <w:right w:val="none" w:sz="0" w:space="0" w:color="auto"/>
      </w:divBdr>
    </w:div>
    <w:div w:id="2037344055">
      <w:bodyDiv w:val="1"/>
      <w:marLeft w:val="0"/>
      <w:marRight w:val="0"/>
      <w:marTop w:val="0"/>
      <w:marBottom w:val="0"/>
      <w:divBdr>
        <w:top w:val="none" w:sz="0" w:space="0" w:color="auto"/>
        <w:left w:val="none" w:sz="0" w:space="0" w:color="auto"/>
        <w:bottom w:val="none" w:sz="0" w:space="0" w:color="auto"/>
        <w:right w:val="none" w:sz="0" w:space="0" w:color="auto"/>
      </w:divBdr>
    </w:div>
    <w:div w:id="2040276780">
      <w:bodyDiv w:val="1"/>
      <w:marLeft w:val="0"/>
      <w:marRight w:val="0"/>
      <w:marTop w:val="0"/>
      <w:marBottom w:val="0"/>
      <w:divBdr>
        <w:top w:val="none" w:sz="0" w:space="0" w:color="auto"/>
        <w:left w:val="none" w:sz="0" w:space="0" w:color="auto"/>
        <w:bottom w:val="none" w:sz="0" w:space="0" w:color="auto"/>
        <w:right w:val="none" w:sz="0" w:space="0" w:color="auto"/>
      </w:divBdr>
    </w:div>
    <w:div w:id="2042322881">
      <w:bodyDiv w:val="1"/>
      <w:marLeft w:val="0"/>
      <w:marRight w:val="0"/>
      <w:marTop w:val="0"/>
      <w:marBottom w:val="0"/>
      <w:divBdr>
        <w:top w:val="none" w:sz="0" w:space="0" w:color="auto"/>
        <w:left w:val="none" w:sz="0" w:space="0" w:color="auto"/>
        <w:bottom w:val="none" w:sz="0" w:space="0" w:color="auto"/>
        <w:right w:val="none" w:sz="0" w:space="0" w:color="auto"/>
      </w:divBdr>
    </w:div>
    <w:div w:id="2047682070">
      <w:bodyDiv w:val="1"/>
      <w:marLeft w:val="0"/>
      <w:marRight w:val="0"/>
      <w:marTop w:val="0"/>
      <w:marBottom w:val="0"/>
      <w:divBdr>
        <w:top w:val="none" w:sz="0" w:space="0" w:color="auto"/>
        <w:left w:val="none" w:sz="0" w:space="0" w:color="auto"/>
        <w:bottom w:val="none" w:sz="0" w:space="0" w:color="auto"/>
        <w:right w:val="none" w:sz="0" w:space="0" w:color="auto"/>
      </w:divBdr>
    </w:div>
    <w:div w:id="2048021728">
      <w:bodyDiv w:val="1"/>
      <w:marLeft w:val="0"/>
      <w:marRight w:val="0"/>
      <w:marTop w:val="0"/>
      <w:marBottom w:val="0"/>
      <w:divBdr>
        <w:top w:val="none" w:sz="0" w:space="0" w:color="auto"/>
        <w:left w:val="none" w:sz="0" w:space="0" w:color="auto"/>
        <w:bottom w:val="none" w:sz="0" w:space="0" w:color="auto"/>
        <w:right w:val="none" w:sz="0" w:space="0" w:color="auto"/>
      </w:divBdr>
    </w:div>
    <w:div w:id="2048600742">
      <w:bodyDiv w:val="1"/>
      <w:marLeft w:val="0"/>
      <w:marRight w:val="0"/>
      <w:marTop w:val="0"/>
      <w:marBottom w:val="0"/>
      <w:divBdr>
        <w:top w:val="none" w:sz="0" w:space="0" w:color="auto"/>
        <w:left w:val="none" w:sz="0" w:space="0" w:color="auto"/>
        <w:bottom w:val="none" w:sz="0" w:space="0" w:color="auto"/>
        <w:right w:val="none" w:sz="0" w:space="0" w:color="auto"/>
      </w:divBdr>
    </w:div>
    <w:div w:id="2056345977">
      <w:bodyDiv w:val="1"/>
      <w:marLeft w:val="0"/>
      <w:marRight w:val="0"/>
      <w:marTop w:val="0"/>
      <w:marBottom w:val="0"/>
      <w:divBdr>
        <w:top w:val="none" w:sz="0" w:space="0" w:color="auto"/>
        <w:left w:val="none" w:sz="0" w:space="0" w:color="auto"/>
        <w:bottom w:val="none" w:sz="0" w:space="0" w:color="auto"/>
        <w:right w:val="none" w:sz="0" w:space="0" w:color="auto"/>
      </w:divBdr>
    </w:div>
    <w:div w:id="2060854598">
      <w:bodyDiv w:val="1"/>
      <w:marLeft w:val="0"/>
      <w:marRight w:val="0"/>
      <w:marTop w:val="0"/>
      <w:marBottom w:val="0"/>
      <w:divBdr>
        <w:top w:val="none" w:sz="0" w:space="0" w:color="auto"/>
        <w:left w:val="none" w:sz="0" w:space="0" w:color="auto"/>
        <w:bottom w:val="none" w:sz="0" w:space="0" w:color="auto"/>
        <w:right w:val="none" w:sz="0" w:space="0" w:color="auto"/>
      </w:divBdr>
    </w:div>
    <w:div w:id="2062553648">
      <w:bodyDiv w:val="1"/>
      <w:marLeft w:val="0"/>
      <w:marRight w:val="0"/>
      <w:marTop w:val="0"/>
      <w:marBottom w:val="0"/>
      <w:divBdr>
        <w:top w:val="none" w:sz="0" w:space="0" w:color="auto"/>
        <w:left w:val="none" w:sz="0" w:space="0" w:color="auto"/>
        <w:bottom w:val="none" w:sz="0" w:space="0" w:color="auto"/>
        <w:right w:val="none" w:sz="0" w:space="0" w:color="auto"/>
      </w:divBdr>
    </w:div>
    <w:div w:id="2062710385">
      <w:bodyDiv w:val="1"/>
      <w:marLeft w:val="0"/>
      <w:marRight w:val="0"/>
      <w:marTop w:val="0"/>
      <w:marBottom w:val="0"/>
      <w:divBdr>
        <w:top w:val="none" w:sz="0" w:space="0" w:color="auto"/>
        <w:left w:val="none" w:sz="0" w:space="0" w:color="auto"/>
        <w:bottom w:val="none" w:sz="0" w:space="0" w:color="auto"/>
        <w:right w:val="none" w:sz="0" w:space="0" w:color="auto"/>
      </w:divBdr>
    </w:div>
    <w:div w:id="2063602061">
      <w:bodyDiv w:val="1"/>
      <w:marLeft w:val="0"/>
      <w:marRight w:val="0"/>
      <w:marTop w:val="0"/>
      <w:marBottom w:val="0"/>
      <w:divBdr>
        <w:top w:val="none" w:sz="0" w:space="0" w:color="auto"/>
        <w:left w:val="none" w:sz="0" w:space="0" w:color="auto"/>
        <w:bottom w:val="none" w:sz="0" w:space="0" w:color="auto"/>
        <w:right w:val="none" w:sz="0" w:space="0" w:color="auto"/>
      </w:divBdr>
    </w:div>
    <w:div w:id="2068644577">
      <w:bodyDiv w:val="1"/>
      <w:marLeft w:val="0"/>
      <w:marRight w:val="0"/>
      <w:marTop w:val="0"/>
      <w:marBottom w:val="0"/>
      <w:divBdr>
        <w:top w:val="none" w:sz="0" w:space="0" w:color="auto"/>
        <w:left w:val="none" w:sz="0" w:space="0" w:color="auto"/>
        <w:bottom w:val="none" w:sz="0" w:space="0" w:color="auto"/>
        <w:right w:val="none" w:sz="0" w:space="0" w:color="auto"/>
      </w:divBdr>
    </w:div>
    <w:div w:id="2070229447">
      <w:bodyDiv w:val="1"/>
      <w:marLeft w:val="0"/>
      <w:marRight w:val="0"/>
      <w:marTop w:val="0"/>
      <w:marBottom w:val="0"/>
      <w:divBdr>
        <w:top w:val="none" w:sz="0" w:space="0" w:color="auto"/>
        <w:left w:val="none" w:sz="0" w:space="0" w:color="auto"/>
        <w:bottom w:val="none" w:sz="0" w:space="0" w:color="auto"/>
        <w:right w:val="none" w:sz="0" w:space="0" w:color="auto"/>
      </w:divBdr>
    </w:div>
    <w:div w:id="2074500758">
      <w:bodyDiv w:val="1"/>
      <w:marLeft w:val="0"/>
      <w:marRight w:val="0"/>
      <w:marTop w:val="0"/>
      <w:marBottom w:val="0"/>
      <w:divBdr>
        <w:top w:val="none" w:sz="0" w:space="0" w:color="auto"/>
        <w:left w:val="none" w:sz="0" w:space="0" w:color="auto"/>
        <w:bottom w:val="none" w:sz="0" w:space="0" w:color="auto"/>
        <w:right w:val="none" w:sz="0" w:space="0" w:color="auto"/>
      </w:divBdr>
    </w:div>
    <w:div w:id="2075471182">
      <w:bodyDiv w:val="1"/>
      <w:marLeft w:val="0"/>
      <w:marRight w:val="0"/>
      <w:marTop w:val="0"/>
      <w:marBottom w:val="0"/>
      <w:divBdr>
        <w:top w:val="none" w:sz="0" w:space="0" w:color="auto"/>
        <w:left w:val="none" w:sz="0" w:space="0" w:color="auto"/>
        <w:bottom w:val="none" w:sz="0" w:space="0" w:color="auto"/>
        <w:right w:val="none" w:sz="0" w:space="0" w:color="auto"/>
      </w:divBdr>
    </w:div>
    <w:div w:id="2078279958">
      <w:bodyDiv w:val="1"/>
      <w:marLeft w:val="0"/>
      <w:marRight w:val="0"/>
      <w:marTop w:val="0"/>
      <w:marBottom w:val="0"/>
      <w:divBdr>
        <w:top w:val="none" w:sz="0" w:space="0" w:color="auto"/>
        <w:left w:val="none" w:sz="0" w:space="0" w:color="auto"/>
        <w:bottom w:val="none" w:sz="0" w:space="0" w:color="auto"/>
        <w:right w:val="none" w:sz="0" w:space="0" w:color="auto"/>
      </w:divBdr>
    </w:div>
    <w:div w:id="2081906217">
      <w:bodyDiv w:val="1"/>
      <w:marLeft w:val="0"/>
      <w:marRight w:val="0"/>
      <w:marTop w:val="0"/>
      <w:marBottom w:val="0"/>
      <w:divBdr>
        <w:top w:val="none" w:sz="0" w:space="0" w:color="auto"/>
        <w:left w:val="none" w:sz="0" w:space="0" w:color="auto"/>
        <w:bottom w:val="none" w:sz="0" w:space="0" w:color="auto"/>
        <w:right w:val="none" w:sz="0" w:space="0" w:color="auto"/>
      </w:divBdr>
    </w:div>
    <w:div w:id="2084836652">
      <w:bodyDiv w:val="1"/>
      <w:marLeft w:val="0"/>
      <w:marRight w:val="0"/>
      <w:marTop w:val="0"/>
      <w:marBottom w:val="0"/>
      <w:divBdr>
        <w:top w:val="none" w:sz="0" w:space="0" w:color="auto"/>
        <w:left w:val="none" w:sz="0" w:space="0" w:color="auto"/>
        <w:bottom w:val="none" w:sz="0" w:space="0" w:color="auto"/>
        <w:right w:val="none" w:sz="0" w:space="0" w:color="auto"/>
      </w:divBdr>
    </w:div>
    <w:div w:id="2086292165">
      <w:bodyDiv w:val="1"/>
      <w:marLeft w:val="0"/>
      <w:marRight w:val="0"/>
      <w:marTop w:val="0"/>
      <w:marBottom w:val="0"/>
      <w:divBdr>
        <w:top w:val="none" w:sz="0" w:space="0" w:color="auto"/>
        <w:left w:val="none" w:sz="0" w:space="0" w:color="auto"/>
        <w:bottom w:val="none" w:sz="0" w:space="0" w:color="auto"/>
        <w:right w:val="none" w:sz="0" w:space="0" w:color="auto"/>
      </w:divBdr>
    </w:div>
    <w:div w:id="2087147166">
      <w:bodyDiv w:val="1"/>
      <w:marLeft w:val="0"/>
      <w:marRight w:val="0"/>
      <w:marTop w:val="0"/>
      <w:marBottom w:val="0"/>
      <w:divBdr>
        <w:top w:val="none" w:sz="0" w:space="0" w:color="auto"/>
        <w:left w:val="none" w:sz="0" w:space="0" w:color="auto"/>
        <w:bottom w:val="none" w:sz="0" w:space="0" w:color="auto"/>
        <w:right w:val="none" w:sz="0" w:space="0" w:color="auto"/>
      </w:divBdr>
    </w:div>
    <w:div w:id="2088726043">
      <w:bodyDiv w:val="1"/>
      <w:marLeft w:val="0"/>
      <w:marRight w:val="0"/>
      <w:marTop w:val="0"/>
      <w:marBottom w:val="0"/>
      <w:divBdr>
        <w:top w:val="none" w:sz="0" w:space="0" w:color="auto"/>
        <w:left w:val="none" w:sz="0" w:space="0" w:color="auto"/>
        <w:bottom w:val="none" w:sz="0" w:space="0" w:color="auto"/>
        <w:right w:val="none" w:sz="0" w:space="0" w:color="auto"/>
      </w:divBdr>
    </w:div>
    <w:div w:id="2094163127">
      <w:bodyDiv w:val="1"/>
      <w:marLeft w:val="0"/>
      <w:marRight w:val="0"/>
      <w:marTop w:val="0"/>
      <w:marBottom w:val="0"/>
      <w:divBdr>
        <w:top w:val="none" w:sz="0" w:space="0" w:color="auto"/>
        <w:left w:val="none" w:sz="0" w:space="0" w:color="auto"/>
        <w:bottom w:val="none" w:sz="0" w:space="0" w:color="auto"/>
        <w:right w:val="none" w:sz="0" w:space="0" w:color="auto"/>
      </w:divBdr>
    </w:div>
    <w:div w:id="2095546106">
      <w:bodyDiv w:val="1"/>
      <w:marLeft w:val="0"/>
      <w:marRight w:val="0"/>
      <w:marTop w:val="0"/>
      <w:marBottom w:val="0"/>
      <w:divBdr>
        <w:top w:val="none" w:sz="0" w:space="0" w:color="auto"/>
        <w:left w:val="none" w:sz="0" w:space="0" w:color="auto"/>
        <w:bottom w:val="none" w:sz="0" w:space="0" w:color="auto"/>
        <w:right w:val="none" w:sz="0" w:space="0" w:color="auto"/>
      </w:divBdr>
    </w:div>
    <w:div w:id="2095979186">
      <w:bodyDiv w:val="1"/>
      <w:marLeft w:val="0"/>
      <w:marRight w:val="0"/>
      <w:marTop w:val="0"/>
      <w:marBottom w:val="0"/>
      <w:divBdr>
        <w:top w:val="none" w:sz="0" w:space="0" w:color="auto"/>
        <w:left w:val="none" w:sz="0" w:space="0" w:color="auto"/>
        <w:bottom w:val="none" w:sz="0" w:space="0" w:color="auto"/>
        <w:right w:val="none" w:sz="0" w:space="0" w:color="auto"/>
      </w:divBdr>
    </w:div>
    <w:div w:id="2098482474">
      <w:bodyDiv w:val="1"/>
      <w:marLeft w:val="0"/>
      <w:marRight w:val="0"/>
      <w:marTop w:val="0"/>
      <w:marBottom w:val="0"/>
      <w:divBdr>
        <w:top w:val="none" w:sz="0" w:space="0" w:color="auto"/>
        <w:left w:val="none" w:sz="0" w:space="0" w:color="auto"/>
        <w:bottom w:val="none" w:sz="0" w:space="0" w:color="auto"/>
        <w:right w:val="none" w:sz="0" w:space="0" w:color="auto"/>
      </w:divBdr>
    </w:div>
    <w:div w:id="2099597323">
      <w:bodyDiv w:val="1"/>
      <w:marLeft w:val="0"/>
      <w:marRight w:val="0"/>
      <w:marTop w:val="0"/>
      <w:marBottom w:val="0"/>
      <w:divBdr>
        <w:top w:val="none" w:sz="0" w:space="0" w:color="auto"/>
        <w:left w:val="none" w:sz="0" w:space="0" w:color="auto"/>
        <w:bottom w:val="none" w:sz="0" w:space="0" w:color="auto"/>
        <w:right w:val="none" w:sz="0" w:space="0" w:color="auto"/>
      </w:divBdr>
    </w:div>
    <w:div w:id="2100250058">
      <w:bodyDiv w:val="1"/>
      <w:marLeft w:val="0"/>
      <w:marRight w:val="0"/>
      <w:marTop w:val="0"/>
      <w:marBottom w:val="0"/>
      <w:divBdr>
        <w:top w:val="none" w:sz="0" w:space="0" w:color="auto"/>
        <w:left w:val="none" w:sz="0" w:space="0" w:color="auto"/>
        <w:bottom w:val="none" w:sz="0" w:space="0" w:color="auto"/>
        <w:right w:val="none" w:sz="0" w:space="0" w:color="auto"/>
      </w:divBdr>
    </w:div>
    <w:div w:id="2101825683">
      <w:bodyDiv w:val="1"/>
      <w:marLeft w:val="0"/>
      <w:marRight w:val="0"/>
      <w:marTop w:val="0"/>
      <w:marBottom w:val="0"/>
      <w:divBdr>
        <w:top w:val="none" w:sz="0" w:space="0" w:color="auto"/>
        <w:left w:val="none" w:sz="0" w:space="0" w:color="auto"/>
        <w:bottom w:val="none" w:sz="0" w:space="0" w:color="auto"/>
        <w:right w:val="none" w:sz="0" w:space="0" w:color="auto"/>
      </w:divBdr>
    </w:div>
    <w:div w:id="2104108228">
      <w:bodyDiv w:val="1"/>
      <w:marLeft w:val="0"/>
      <w:marRight w:val="0"/>
      <w:marTop w:val="0"/>
      <w:marBottom w:val="0"/>
      <w:divBdr>
        <w:top w:val="none" w:sz="0" w:space="0" w:color="auto"/>
        <w:left w:val="none" w:sz="0" w:space="0" w:color="auto"/>
        <w:bottom w:val="none" w:sz="0" w:space="0" w:color="auto"/>
        <w:right w:val="none" w:sz="0" w:space="0" w:color="auto"/>
      </w:divBdr>
    </w:div>
    <w:div w:id="2105110400">
      <w:bodyDiv w:val="1"/>
      <w:marLeft w:val="0"/>
      <w:marRight w:val="0"/>
      <w:marTop w:val="0"/>
      <w:marBottom w:val="0"/>
      <w:divBdr>
        <w:top w:val="none" w:sz="0" w:space="0" w:color="auto"/>
        <w:left w:val="none" w:sz="0" w:space="0" w:color="auto"/>
        <w:bottom w:val="none" w:sz="0" w:space="0" w:color="auto"/>
        <w:right w:val="none" w:sz="0" w:space="0" w:color="auto"/>
      </w:divBdr>
    </w:div>
    <w:div w:id="2106420311">
      <w:bodyDiv w:val="1"/>
      <w:marLeft w:val="0"/>
      <w:marRight w:val="0"/>
      <w:marTop w:val="0"/>
      <w:marBottom w:val="0"/>
      <w:divBdr>
        <w:top w:val="none" w:sz="0" w:space="0" w:color="auto"/>
        <w:left w:val="none" w:sz="0" w:space="0" w:color="auto"/>
        <w:bottom w:val="none" w:sz="0" w:space="0" w:color="auto"/>
        <w:right w:val="none" w:sz="0" w:space="0" w:color="auto"/>
      </w:divBdr>
    </w:div>
    <w:div w:id="2107072262">
      <w:bodyDiv w:val="1"/>
      <w:marLeft w:val="0"/>
      <w:marRight w:val="0"/>
      <w:marTop w:val="0"/>
      <w:marBottom w:val="0"/>
      <w:divBdr>
        <w:top w:val="none" w:sz="0" w:space="0" w:color="auto"/>
        <w:left w:val="none" w:sz="0" w:space="0" w:color="auto"/>
        <w:bottom w:val="none" w:sz="0" w:space="0" w:color="auto"/>
        <w:right w:val="none" w:sz="0" w:space="0" w:color="auto"/>
      </w:divBdr>
    </w:div>
    <w:div w:id="2110469500">
      <w:bodyDiv w:val="1"/>
      <w:marLeft w:val="0"/>
      <w:marRight w:val="0"/>
      <w:marTop w:val="0"/>
      <w:marBottom w:val="0"/>
      <w:divBdr>
        <w:top w:val="none" w:sz="0" w:space="0" w:color="auto"/>
        <w:left w:val="none" w:sz="0" w:space="0" w:color="auto"/>
        <w:bottom w:val="none" w:sz="0" w:space="0" w:color="auto"/>
        <w:right w:val="none" w:sz="0" w:space="0" w:color="auto"/>
      </w:divBdr>
    </w:div>
    <w:div w:id="2111311001">
      <w:bodyDiv w:val="1"/>
      <w:marLeft w:val="0"/>
      <w:marRight w:val="0"/>
      <w:marTop w:val="0"/>
      <w:marBottom w:val="0"/>
      <w:divBdr>
        <w:top w:val="none" w:sz="0" w:space="0" w:color="auto"/>
        <w:left w:val="none" w:sz="0" w:space="0" w:color="auto"/>
        <w:bottom w:val="none" w:sz="0" w:space="0" w:color="auto"/>
        <w:right w:val="none" w:sz="0" w:space="0" w:color="auto"/>
      </w:divBdr>
    </w:div>
    <w:div w:id="2112429415">
      <w:bodyDiv w:val="1"/>
      <w:marLeft w:val="0"/>
      <w:marRight w:val="0"/>
      <w:marTop w:val="0"/>
      <w:marBottom w:val="0"/>
      <w:divBdr>
        <w:top w:val="none" w:sz="0" w:space="0" w:color="auto"/>
        <w:left w:val="none" w:sz="0" w:space="0" w:color="auto"/>
        <w:bottom w:val="none" w:sz="0" w:space="0" w:color="auto"/>
        <w:right w:val="none" w:sz="0" w:space="0" w:color="auto"/>
      </w:divBdr>
    </w:div>
    <w:div w:id="2114587751">
      <w:bodyDiv w:val="1"/>
      <w:marLeft w:val="0"/>
      <w:marRight w:val="0"/>
      <w:marTop w:val="0"/>
      <w:marBottom w:val="0"/>
      <w:divBdr>
        <w:top w:val="none" w:sz="0" w:space="0" w:color="auto"/>
        <w:left w:val="none" w:sz="0" w:space="0" w:color="auto"/>
        <w:bottom w:val="none" w:sz="0" w:space="0" w:color="auto"/>
        <w:right w:val="none" w:sz="0" w:space="0" w:color="auto"/>
      </w:divBdr>
    </w:div>
    <w:div w:id="2116442802">
      <w:bodyDiv w:val="1"/>
      <w:marLeft w:val="0"/>
      <w:marRight w:val="0"/>
      <w:marTop w:val="0"/>
      <w:marBottom w:val="0"/>
      <w:divBdr>
        <w:top w:val="none" w:sz="0" w:space="0" w:color="auto"/>
        <w:left w:val="none" w:sz="0" w:space="0" w:color="auto"/>
        <w:bottom w:val="none" w:sz="0" w:space="0" w:color="auto"/>
        <w:right w:val="none" w:sz="0" w:space="0" w:color="auto"/>
      </w:divBdr>
    </w:div>
    <w:div w:id="2116628612">
      <w:bodyDiv w:val="1"/>
      <w:marLeft w:val="0"/>
      <w:marRight w:val="0"/>
      <w:marTop w:val="0"/>
      <w:marBottom w:val="0"/>
      <w:divBdr>
        <w:top w:val="none" w:sz="0" w:space="0" w:color="auto"/>
        <w:left w:val="none" w:sz="0" w:space="0" w:color="auto"/>
        <w:bottom w:val="none" w:sz="0" w:space="0" w:color="auto"/>
        <w:right w:val="none" w:sz="0" w:space="0" w:color="auto"/>
      </w:divBdr>
    </w:div>
    <w:div w:id="2116973526">
      <w:bodyDiv w:val="1"/>
      <w:marLeft w:val="0"/>
      <w:marRight w:val="0"/>
      <w:marTop w:val="0"/>
      <w:marBottom w:val="0"/>
      <w:divBdr>
        <w:top w:val="none" w:sz="0" w:space="0" w:color="auto"/>
        <w:left w:val="none" w:sz="0" w:space="0" w:color="auto"/>
        <w:bottom w:val="none" w:sz="0" w:space="0" w:color="auto"/>
        <w:right w:val="none" w:sz="0" w:space="0" w:color="auto"/>
      </w:divBdr>
    </w:div>
    <w:div w:id="2117215176">
      <w:bodyDiv w:val="1"/>
      <w:marLeft w:val="0"/>
      <w:marRight w:val="0"/>
      <w:marTop w:val="0"/>
      <w:marBottom w:val="0"/>
      <w:divBdr>
        <w:top w:val="none" w:sz="0" w:space="0" w:color="auto"/>
        <w:left w:val="none" w:sz="0" w:space="0" w:color="auto"/>
        <w:bottom w:val="none" w:sz="0" w:space="0" w:color="auto"/>
        <w:right w:val="none" w:sz="0" w:space="0" w:color="auto"/>
      </w:divBdr>
    </w:div>
    <w:div w:id="2118406125">
      <w:bodyDiv w:val="1"/>
      <w:marLeft w:val="0"/>
      <w:marRight w:val="0"/>
      <w:marTop w:val="0"/>
      <w:marBottom w:val="0"/>
      <w:divBdr>
        <w:top w:val="none" w:sz="0" w:space="0" w:color="auto"/>
        <w:left w:val="none" w:sz="0" w:space="0" w:color="auto"/>
        <w:bottom w:val="none" w:sz="0" w:space="0" w:color="auto"/>
        <w:right w:val="none" w:sz="0" w:space="0" w:color="auto"/>
      </w:divBdr>
    </w:div>
    <w:div w:id="2122257233">
      <w:bodyDiv w:val="1"/>
      <w:marLeft w:val="0"/>
      <w:marRight w:val="0"/>
      <w:marTop w:val="0"/>
      <w:marBottom w:val="0"/>
      <w:divBdr>
        <w:top w:val="none" w:sz="0" w:space="0" w:color="auto"/>
        <w:left w:val="none" w:sz="0" w:space="0" w:color="auto"/>
        <w:bottom w:val="none" w:sz="0" w:space="0" w:color="auto"/>
        <w:right w:val="none" w:sz="0" w:space="0" w:color="auto"/>
      </w:divBdr>
    </w:div>
    <w:div w:id="2125340629">
      <w:bodyDiv w:val="1"/>
      <w:marLeft w:val="0"/>
      <w:marRight w:val="0"/>
      <w:marTop w:val="0"/>
      <w:marBottom w:val="0"/>
      <w:divBdr>
        <w:top w:val="none" w:sz="0" w:space="0" w:color="auto"/>
        <w:left w:val="none" w:sz="0" w:space="0" w:color="auto"/>
        <w:bottom w:val="none" w:sz="0" w:space="0" w:color="auto"/>
        <w:right w:val="none" w:sz="0" w:space="0" w:color="auto"/>
      </w:divBdr>
    </w:div>
    <w:div w:id="2128233289">
      <w:bodyDiv w:val="1"/>
      <w:marLeft w:val="0"/>
      <w:marRight w:val="0"/>
      <w:marTop w:val="0"/>
      <w:marBottom w:val="0"/>
      <w:divBdr>
        <w:top w:val="none" w:sz="0" w:space="0" w:color="auto"/>
        <w:left w:val="none" w:sz="0" w:space="0" w:color="auto"/>
        <w:bottom w:val="none" w:sz="0" w:space="0" w:color="auto"/>
        <w:right w:val="none" w:sz="0" w:space="0" w:color="auto"/>
      </w:divBdr>
    </w:div>
    <w:div w:id="2130395908">
      <w:bodyDiv w:val="1"/>
      <w:marLeft w:val="0"/>
      <w:marRight w:val="0"/>
      <w:marTop w:val="0"/>
      <w:marBottom w:val="0"/>
      <w:divBdr>
        <w:top w:val="none" w:sz="0" w:space="0" w:color="auto"/>
        <w:left w:val="none" w:sz="0" w:space="0" w:color="auto"/>
        <w:bottom w:val="none" w:sz="0" w:space="0" w:color="auto"/>
        <w:right w:val="none" w:sz="0" w:space="0" w:color="auto"/>
      </w:divBdr>
    </w:div>
    <w:div w:id="2131509297">
      <w:bodyDiv w:val="1"/>
      <w:marLeft w:val="0"/>
      <w:marRight w:val="0"/>
      <w:marTop w:val="0"/>
      <w:marBottom w:val="0"/>
      <w:divBdr>
        <w:top w:val="none" w:sz="0" w:space="0" w:color="auto"/>
        <w:left w:val="none" w:sz="0" w:space="0" w:color="auto"/>
        <w:bottom w:val="none" w:sz="0" w:space="0" w:color="auto"/>
        <w:right w:val="none" w:sz="0" w:space="0" w:color="auto"/>
      </w:divBdr>
    </w:div>
    <w:div w:id="2133938606">
      <w:bodyDiv w:val="1"/>
      <w:marLeft w:val="0"/>
      <w:marRight w:val="0"/>
      <w:marTop w:val="0"/>
      <w:marBottom w:val="0"/>
      <w:divBdr>
        <w:top w:val="none" w:sz="0" w:space="0" w:color="auto"/>
        <w:left w:val="none" w:sz="0" w:space="0" w:color="auto"/>
        <w:bottom w:val="none" w:sz="0" w:space="0" w:color="auto"/>
        <w:right w:val="none" w:sz="0" w:space="0" w:color="auto"/>
      </w:divBdr>
    </w:div>
    <w:div w:id="2134203699">
      <w:bodyDiv w:val="1"/>
      <w:marLeft w:val="0"/>
      <w:marRight w:val="0"/>
      <w:marTop w:val="0"/>
      <w:marBottom w:val="0"/>
      <w:divBdr>
        <w:top w:val="none" w:sz="0" w:space="0" w:color="auto"/>
        <w:left w:val="none" w:sz="0" w:space="0" w:color="auto"/>
        <w:bottom w:val="none" w:sz="0" w:space="0" w:color="auto"/>
        <w:right w:val="none" w:sz="0" w:space="0" w:color="auto"/>
      </w:divBdr>
    </w:div>
    <w:div w:id="2134857903">
      <w:bodyDiv w:val="1"/>
      <w:marLeft w:val="0"/>
      <w:marRight w:val="0"/>
      <w:marTop w:val="0"/>
      <w:marBottom w:val="0"/>
      <w:divBdr>
        <w:top w:val="none" w:sz="0" w:space="0" w:color="auto"/>
        <w:left w:val="none" w:sz="0" w:space="0" w:color="auto"/>
        <w:bottom w:val="none" w:sz="0" w:space="0" w:color="auto"/>
        <w:right w:val="none" w:sz="0" w:space="0" w:color="auto"/>
      </w:divBdr>
    </w:div>
    <w:div w:id="2137799081">
      <w:bodyDiv w:val="1"/>
      <w:marLeft w:val="0"/>
      <w:marRight w:val="0"/>
      <w:marTop w:val="0"/>
      <w:marBottom w:val="0"/>
      <w:divBdr>
        <w:top w:val="none" w:sz="0" w:space="0" w:color="auto"/>
        <w:left w:val="none" w:sz="0" w:space="0" w:color="auto"/>
        <w:bottom w:val="none" w:sz="0" w:space="0" w:color="auto"/>
        <w:right w:val="none" w:sz="0" w:space="0" w:color="auto"/>
      </w:divBdr>
    </w:div>
    <w:div w:id="2138596153">
      <w:bodyDiv w:val="1"/>
      <w:marLeft w:val="0"/>
      <w:marRight w:val="0"/>
      <w:marTop w:val="0"/>
      <w:marBottom w:val="0"/>
      <w:divBdr>
        <w:top w:val="none" w:sz="0" w:space="0" w:color="auto"/>
        <w:left w:val="none" w:sz="0" w:space="0" w:color="auto"/>
        <w:bottom w:val="none" w:sz="0" w:space="0" w:color="auto"/>
        <w:right w:val="none" w:sz="0" w:space="0" w:color="auto"/>
      </w:divBdr>
    </w:div>
    <w:div w:id="2138719395">
      <w:bodyDiv w:val="1"/>
      <w:marLeft w:val="0"/>
      <w:marRight w:val="0"/>
      <w:marTop w:val="0"/>
      <w:marBottom w:val="0"/>
      <w:divBdr>
        <w:top w:val="none" w:sz="0" w:space="0" w:color="auto"/>
        <w:left w:val="none" w:sz="0" w:space="0" w:color="auto"/>
        <w:bottom w:val="none" w:sz="0" w:space="0" w:color="auto"/>
        <w:right w:val="none" w:sz="0" w:space="0" w:color="auto"/>
      </w:divBdr>
    </w:div>
    <w:div w:id="2139689426">
      <w:bodyDiv w:val="1"/>
      <w:marLeft w:val="0"/>
      <w:marRight w:val="0"/>
      <w:marTop w:val="0"/>
      <w:marBottom w:val="0"/>
      <w:divBdr>
        <w:top w:val="none" w:sz="0" w:space="0" w:color="auto"/>
        <w:left w:val="none" w:sz="0" w:space="0" w:color="auto"/>
        <w:bottom w:val="none" w:sz="0" w:space="0" w:color="auto"/>
        <w:right w:val="none" w:sz="0" w:space="0" w:color="auto"/>
      </w:divBdr>
    </w:div>
    <w:div w:id="2141797797">
      <w:bodyDiv w:val="1"/>
      <w:marLeft w:val="0"/>
      <w:marRight w:val="0"/>
      <w:marTop w:val="0"/>
      <w:marBottom w:val="0"/>
      <w:divBdr>
        <w:top w:val="none" w:sz="0" w:space="0" w:color="auto"/>
        <w:left w:val="none" w:sz="0" w:space="0" w:color="auto"/>
        <w:bottom w:val="none" w:sz="0" w:space="0" w:color="auto"/>
        <w:right w:val="none" w:sz="0" w:space="0" w:color="auto"/>
      </w:divBdr>
    </w:div>
    <w:div w:id="2142795980">
      <w:bodyDiv w:val="1"/>
      <w:marLeft w:val="0"/>
      <w:marRight w:val="0"/>
      <w:marTop w:val="0"/>
      <w:marBottom w:val="0"/>
      <w:divBdr>
        <w:top w:val="none" w:sz="0" w:space="0" w:color="auto"/>
        <w:left w:val="none" w:sz="0" w:space="0" w:color="auto"/>
        <w:bottom w:val="none" w:sz="0" w:space="0" w:color="auto"/>
        <w:right w:val="none" w:sz="0" w:space="0" w:color="auto"/>
      </w:divBdr>
    </w:div>
    <w:div w:id="2145386956">
      <w:bodyDiv w:val="1"/>
      <w:marLeft w:val="0"/>
      <w:marRight w:val="0"/>
      <w:marTop w:val="0"/>
      <w:marBottom w:val="0"/>
      <w:divBdr>
        <w:top w:val="none" w:sz="0" w:space="0" w:color="auto"/>
        <w:left w:val="none" w:sz="0" w:space="0" w:color="auto"/>
        <w:bottom w:val="none" w:sz="0" w:space="0" w:color="auto"/>
        <w:right w:val="none" w:sz="0" w:space="0" w:color="auto"/>
      </w:divBdr>
    </w:div>
    <w:div w:id="2147240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117" Type="http://schemas.openxmlformats.org/officeDocument/2006/relationships/hyperlink" Target="https://www.ogauthority.co.uk/data-centre/" TargetMode="External"/><Relationship Id="rId21" Type="http://schemas.openxmlformats.org/officeDocument/2006/relationships/hyperlink" Target="https://eiti.org/document/validation-guide" TargetMode="External"/><Relationship Id="rId42" Type="http://schemas.openxmlformats.org/officeDocument/2006/relationships/hyperlink" Target="https://assets.publishing.service.gov.uk/government/uploads/system/uploads/attachment_data/file/703499/uk-eiti-beneficial-ownership-guide-2017.pdf" TargetMode="External"/><Relationship Id="rId63" Type="http://schemas.openxmlformats.org/officeDocument/2006/relationships/hyperlink" Target="https://www.legislation.gov.uk/ukdsi/2014/9780111122235/contents" TargetMode="External"/><Relationship Id="rId84" Type="http://schemas.openxmlformats.org/officeDocument/2006/relationships/hyperlink" Target="https://www.gov.uk/government/publications/life-of-a-company-annual-requirements/life-of-a-company-part-1-accounts" TargetMode="External"/><Relationship Id="rId138" Type="http://schemas.openxmlformats.org/officeDocument/2006/relationships/hyperlink" Target="http://shop.bgs.ac.uk/bookshop/subcategory.cfm?series_id=M1210&amp;sort=PRODUCT_TITLE%20ASC&amp;PAGE_NO=1" TargetMode="External"/><Relationship Id="rId159" Type="http://schemas.openxmlformats.org/officeDocument/2006/relationships/hyperlink" Target="https://www.thecrownestate.co.uk/en-gb/what-we-do/on-the-seabed/minerals-dredging/" TargetMode="External"/><Relationship Id="rId170" Type="http://schemas.openxmlformats.org/officeDocument/2006/relationships/hyperlink" Target="https://www.gov.uk/government/organisations/latest?organisations%5B%5D=the-coal-authority" TargetMode="External"/><Relationship Id="rId191" Type="http://schemas.openxmlformats.org/officeDocument/2006/relationships/hyperlink" Target="https://www.planningni.gov.uk/index/policy/spps.htm" TargetMode="External"/><Relationship Id="rId205" Type="http://schemas.openxmlformats.org/officeDocument/2006/relationships/hyperlink" Target="https://www.daera-ni.gov.uk/articles/marine-licensing" TargetMode="External"/><Relationship Id="rId107" Type="http://schemas.openxmlformats.org/officeDocument/2006/relationships/hyperlink" Target="https://www.parliament.uk/business/publications/written-questions-answers-statements/written-questions-answers/" TargetMode="External"/><Relationship Id="rId11" Type="http://schemas.openxmlformats.org/officeDocument/2006/relationships/header" Target="header1.xml"/><Relationship Id="rId32" Type="http://schemas.openxmlformats.org/officeDocument/2006/relationships/hyperlink" Target="http://www.one.org/" TargetMode="External"/><Relationship Id="rId37" Type="http://schemas.openxmlformats.org/officeDocument/2006/relationships/image" Target="media/image5.png"/><Relationship Id="rId53" Type="http://schemas.openxmlformats.org/officeDocument/2006/relationships/hyperlink" Target="https://www.gov.uk/government/publications/extractive-industries-transparency-initiative-payments-report-2016" TargetMode="External"/><Relationship Id="rId58" Type="http://schemas.openxmlformats.org/officeDocument/2006/relationships/hyperlink" Target="https://www.gov.uk/government/uploads/system/uploads/attachment_data/file/703214/eiti-2016-petroleum-licence-fees.CSV/preview" TargetMode="External"/><Relationship Id="rId74" Type="http://schemas.openxmlformats.org/officeDocument/2006/relationships/hyperlink" Target="https://www.gov.uk/topic/oil-and-gas/finance-and-taxation" TargetMode="External"/><Relationship Id="rId79" Type="http://schemas.openxmlformats.org/officeDocument/2006/relationships/hyperlink" Target="https://www.gov.uk/government/topical-events/autumn-budget-2017" TargetMode="External"/><Relationship Id="rId102" Type="http://schemas.openxmlformats.org/officeDocument/2006/relationships/hyperlink" Target="https://www.gov.uk/government/publications/hmrc-annual-report-and-accounts-2016-to-2017" TargetMode="External"/><Relationship Id="rId123" Type="http://schemas.openxmlformats.org/officeDocument/2006/relationships/hyperlink" Target="https://www.ogauthority.co.uk/exploration-production/taxation/extractive-industries-transparency-initiative/" TargetMode="External"/><Relationship Id="rId128" Type="http://schemas.openxmlformats.org/officeDocument/2006/relationships/hyperlink" Target="https://www.ogauthority.co.uk/licensing-consents/licensing-system/licence-assignments/" TargetMode="External"/><Relationship Id="rId144" Type="http://schemas.openxmlformats.org/officeDocument/2006/relationships/hyperlink" Target="http://www.bmapa.org/downloads/reference.php" TargetMode="External"/><Relationship Id="rId149" Type="http://schemas.openxmlformats.org/officeDocument/2006/relationships/hyperlink" Target="http://www.marineaggregates.info/downloads-and-links/regional-dredging-area-charts.html" TargetMode="External"/><Relationship Id="rId5" Type="http://schemas.openxmlformats.org/officeDocument/2006/relationships/numbering" Target="numbering.xml"/><Relationship Id="rId90" Type="http://schemas.openxmlformats.org/officeDocument/2006/relationships/hyperlink" Target="https://www.nao.org.uk/search/pi_area/audit-of-financial-statements/" TargetMode="External"/><Relationship Id="rId95" Type="http://schemas.openxmlformats.org/officeDocument/2006/relationships/hyperlink" Target="https://www.ons.gov.uk/employmentandlabourmarket/peopleinwork/employmentandemployeetypes/datasets/industry235digitsicbusinessregisterandemploymentsurveybrestable2" TargetMode="External"/><Relationship Id="rId160" Type="http://schemas.openxmlformats.org/officeDocument/2006/relationships/hyperlink" Target="https://www.thecrownestate.co.uk/en-gb/our-business/" TargetMode="External"/><Relationship Id="rId165" Type="http://schemas.openxmlformats.org/officeDocument/2006/relationships/hyperlink" Target="https://www.gov.uk/government/publications/coal-mining-licence-applications-supporting-documents" TargetMode="External"/><Relationship Id="rId181" Type="http://schemas.openxmlformats.org/officeDocument/2006/relationships/hyperlink" Target="http://www.nottinghamshire.gov.uk/planning-and-environment/shale-gas-development/shale-gas-development/latest-news/councillors-approve-planning-application-for-county-s-first-exploratory-shale-gas-wells" TargetMode="External"/><Relationship Id="rId186" Type="http://schemas.openxmlformats.org/officeDocument/2006/relationships/hyperlink" Target="https://beta.gov.scot/policies/planning-architecture/" TargetMode="External"/><Relationship Id="rId216" Type="http://schemas.openxmlformats.org/officeDocument/2006/relationships/theme" Target="theme/theme1.xml"/><Relationship Id="rId211" Type="http://schemas.openxmlformats.org/officeDocument/2006/relationships/hyperlink" Target="https://openownership.org/uploads/Learning%20the%20lessons%20briefing.pdf" TargetMode="External"/><Relationship Id="rId22" Type="http://schemas.openxmlformats.org/officeDocument/2006/relationships/hyperlink" Target="https://eiti.org/document/validation-procedures" TargetMode="External"/><Relationship Id="rId27" Type="http://schemas.openxmlformats.org/officeDocument/2006/relationships/hyperlink" Target="http://www.christianaid.org.uk/" TargetMode="External"/><Relationship Id="rId43" Type="http://schemas.openxmlformats.org/officeDocument/2006/relationships/hyperlink" Target="https://www.gov.uk/government/publications/guidance-to-the-people-with-significant-control-requirements-for-companies-and-limited-liability-partnerships" TargetMode="External"/><Relationship Id="rId48" Type="http://schemas.openxmlformats.org/officeDocument/2006/relationships/hyperlink" Target="https://www.gov.uk/guidance/extractive-industries-transparency-initiative" TargetMode="External"/><Relationship Id="rId64" Type="http://schemas.openxmlformats.org/officeDocument/2006/relationships/hyperlink" Target="http://www.legislation.gov.uk/ukpga/1998/17/contents" TargetMode="External"/><Relationship Id="rId69" Type="http://schemas.openxmlformats.org/officeDocument/2006/relationships/hyperlink" Target="https://www.gov.uk/government/topical-events/budget-2016" TargetMode="External"/><Relationship Id="rId113" Type="http://schemas.openxmlformats.org/officeDocument/2006/relationships/hyperlink" Target="https://www.ogauthority.co.uk/news-publications/publications/2017/oga-annual-report-and-accounts-2016-17/" TargetMode="External"/><Relationship Id="rId118" Type="http://schemas.openxmlformats.org/officeDocument/2006/relationships/hyperlink" Target="https://www.ogauthority.co.uk/licensing-consents/overview/" TargetMode="External"/><Relationship Id="rId134" Type="http://schemas.openxmlformats.org/officeDocument/2006/relationships/hyperlink" Target="https://www.bgs.ac.uk/mineralsuk/planning/mineralPlanningFactsheets.html" TargetMode="External"/><Relationship Id="rId139" Type="http://schemas.openxmlformats.org/officeDocument/2006/relationships/hyperlink" Target="https://www.bgs.ac.uk/mineralsUK/statistics/ukStatistics.html" TargetMode="External"/><Relationship Id="rId80" Type="http://schemas.openxmlformats.org/officeDocument/2006/relationships/hyperlink" Target="https://www.gov.uk/government/publications/open-contracting" TargetMode="External"/><Relationship Id="rId85" Type="http://schemas.openxmlformats.org/officeDocument/2006/relationships/hyperlink" Target="https://extractives.companieshouse.gov.uk/search?query=c" TargetMode="External"/><Relationship Id="rId150" Type="http://schemas.openxmlformats.org/officeDocument/2006/relationships/hyperlink" Target="https://www.thecrownestate.co.uk/media/2478/bmapa-ce-19th-ann-rep-singles-021117.pdf" TargetMode="External"/><Relationship Id="rId155" Type="http://schemas.openxmlformats.org/officeDocument/2006/relationships/hyperlink" Target="https://www.thecrownestate.co.uk/en-gb/our-places/asset-map/" TargetMode="External"/><Relationship Id="rId171" Type="http://schemas.openxmlformats.org/officeDocument/2006/relationships/hyperlink" Target="https://www.gov.uk/government/organisations/the-coal-authority/about-our-services" TargetMode="External"/><Relationship Id="rId176" Type="http://schemas.openxmlformats.org/officeDocument/2006/relationships/hyperlink" Target="https://assets.publishing.service.gov.uk/government/uploads/system/uploads/attachment_data/file/740441/National_Planning_Policy_Framework_web_accessible_version.pdf" TargetMode="External"/><Relationship Id="rId192" Type="http://schemas.openxmlformats.org/officeDocument/2006/relationships/hyperlink" Target="https://www.planningni.gov.uk/index/policy/rural_strategy.htm" TargetMode="External"/><Relationship Id="rId197" Type="http://schemas.openxmlformats.org/officeDocument/2006/relationships/hyperlink" Target="https://www.economy-ni.gov.uk/publications/appendix-b-technical-capacity" TargetMode="External"/><Relationship Id="rId206" Type="http://schemas.openxmlformats.org/officeDocument/2006/relationships/hyperlink" Target="https://www.economy-ni.gov.uk/articles/minerals-and-petroleum-annual-reports" TargetMode="External"/><Relationship Id="rId201" Type="http://schemas.openxmlformats.org/officeDocument/2006/relationships/hyperlink" Target="https://www.economy-ni.gov.uk/publications/minerals-and-petroleum-legislation-and-policy" TargetMode="External"/><Relationship Id="rId12" Type="http://schemas.openxmlformats.org/officeDocument/2006/relationships/header" Target="header2.xml"/><Relationship Id="rId17" Type="http://schemas.openxmlformats.org/officeDocument/2006/relationships/header" Target="header4.xml"/><Relationship Id="rId33" Type="http://schemas.openxmlformats.org/officeDocument/2006/relationships/hyperlink" Target="http://www.oxfam.org.uk" TargetMode="External"/><Relationship Id="rId38" Type="http://schemas.openxmlformats.org/officeDocument/2006/relationships/header" Target="header10.xml"/><Relationship Id="rId59" Type="http://schemas.openxmlformats.org/officeDocument/2006/relationships/hyperlink" Target="https://www.gov.uk/government/uploads/system/uploads/attachment_data/file/703214/eiti-2016-petroleum-licence-fees.CSV/preview" TargetMode="External"/><Relationship Id="rId103" Type="http://schemas.openxmlformats.org/officeDocument/2006/relationships/hyperlink" Target="https://www.gov.uk/government/statistics/hmrc-tax-and-nics-receipts-for-the-uk" TargetMode="External"/><Relationship Id="rId108" Type="http://schemas.openxmlformats.org/officeDocument/2006/relationships/hyperlink" Target="https://www.gov.uk/government/collections/energy-trends" TargetMode="External"/><Relationship Id="rId124" Type="http://schemas.openxmlformats.org/officeDocument/2006/relationships/hyperlink" Target="https://www.ogauthority.co.uk/data-centre/data-downloads-and-publications/licence-data/" TargetMode="External"/><Relationship Id="rId129" Type="http://schemas.openxmlformats.org/officeDocument/2006/relationships/hyperlink" Target="https://www.ogauthority.co.uk/licensing-consents/licensing-rounds/offshore-licensing-rounds" TargetMode="External"/><Relationship Id="rId54" Type="http://schemas.openxmlformats.org/officeDocument/2006/relationships/hyperlink" Target="https://assets.publishing.service.gov.uk/government/uploads/system/uploads/attachment_data/file/723625/uk-eiti-payments-report-2016-supplementary-information.pdf" TargetMode="External"/><Relationship Id="rId70" Type="http://schemas.openxmlformats.org/officeDocument/2006/relationships/hyperlink" Target="http://www.legislation.gov.uk/ukpga/2015/26/schedule/3/enacted" TargetMode="External"/><Relationship Id="rId75" Type="http://schemas.openxmlformats.org/officeDocument/2006/relationships/hyperlink" Target="https://www.gov.uk/government/publications/rates-and-allowances-corporation-tax/rates-and-allowances-corporation-tax" TargetMode="External"/><Relationship Id="rId91" Type="http://schemas.openxmlformats.org/officeDocument/2006/relationships/hyperlink" Target="https://www.nao.org.uk/report/her-majestys-revenue-customs-annual-report-and-accounts-2016-17/" TargetMode="External"/><Relationship Id="rId96" Type="http://schemas.openxmlformats.org/officeDocument/2006/relationships/hyperlink" Target="https://www.ons.gov.uk/economy/governmentpublicsectorandtaxes/publicsectorfinance/datasets/appendixdpublicsectorcurrentreceipts" TargetMode="External"/><Relationship Id="rId140" Type="http://schemas.openxmlformats.org/officeDocument/2006/relationships/hyperlink" Target="https://www.gov.uk/guidance/minerals" TargetMode="External"/><Relationship Id="rId145" Type="http://schemas.openxmlformats.org/officeDocument/2006/relationships/hyperlink" Target="http://www.crownestatescotland.com/bundles/app/downloads/58ff4e954cc2e_20170418%20mines-royal-option-process.pdf" TargetMode="External"/><Relationship Id="rId161" Type="http://schemas.openxmlformats.org/officeDocument/2006/relationships/hyperlink" Target="https://www.thecrownestate.co.uk/en-gb/what-we-do/on-the-seabed/minerals-dredging/" TargetMode="External"/><Relationship Id="rId166" Type="http://schemas.openxmlformats.org/officeDocument/2006/relationships/hyperlink" Target="https://www.gov.uk/government/statistical-data-sets/historical-coal-data-coal-production-availability-and-consumption" TargetMode="External"/><Relationship Id="rId182" Type="http://schemas.openxmlformats.org/officeDocument/2006/relationships/hyperlink" Target="https://gov.wales/topics/planning/policy/minerals/?lang=en" TargetMode="External"/><Relationship Id="rId187" Type="http://schemas.openxmlformats.org/officeDocument/2006/relationships/hyperlink" Target="http://marine.gov.scot/"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s://www.globalwitness.org/en/blog/what-does-uk-beneficial-ownership-data-show-us/" TargetMode="External"/><Relationship Id="rId23" Type="http://schemas.openxmlformats.org/officeDocument/2006/relationships/header" Target="header7.xml"/><Relationship Id="rId28" Type="http://schemas.openxmlformats.org/officeDocument/2006/relationships/hyperlink" Target="http://www.globalwitness.org/" TargetMode="External"/><Relationship Id="rId49" Type="http://schemas.openxmlformats.org/officeDocument/2006/relationships/hyperlink" Target="https://www.gov.uk/government/groups/uk-extractive-industries-transparency-initiative-multi-stakeholder-group" TargetMode="External"/><Relationship Id="rId114" Type="http://schemas.openxmlformats.org/officeDocument/2006/relationships/hyperlink" Target="https://www.ogauthority.co.uk/news-publications/news/2017/gov-funded-seismic-data-launch/" TargetMode="External"/><Relationship Id="rId119" Type="http://schemas.openxmlformats.org/officeDocument/2006/relationships/hyperlink" Target="https://www.ogauthority.co.uk/about-us/" TargetMode="External"/><Relationship Id="rId44" Type="http://schemas.openxmlformats.org/officeDocument/2006/relationships/hyperlink" Target="https://assets.publishing.service.gov.uk/government/uploads/system/uploads/attachment_data/file/438681/UK_EITI_Annual_Activity_Report_2014.pdf" TargetMode="External"/><Relationship Id="rId60" Type="http://schemas.openxmlformats.org/officeDocument/2006/relationships/hyperlink" Target="https://www.gov.uk/government/uploads/system/uploads/attachment_data/file/703214/eiti-2016-petroleum-licence-fees.CSV/preview" TargetMode="External"/><Relationship Id="rId65" Type="http://schemas.openxmlformats.org/officeDocument/2006/relationships/hyperlink" Target="http://www.legislation.gov.uk/apni/1964/28/contents" TargetMode="External"/><Relationship Id="rId81" Type="http://schemas.openxmlformats.org/officeDocument/2006/relationships/hyperlink" Target="https://www.legislation.gov.uk/uksi/2016/339/contents/made" TargetMode="External"/><Relationship Id="rId86" Type="http://schemas.openxmlformats.org/officeDocument/2006/relationships/hyperlink" Target="https://www.gov.uk/government/publications/guidance-to-the-people-with-significant-control-requirements-for-companies-and-limited-liability-partnerships" TargetMode="External"/><Relationship Id="rId130" Type="http://schemas.openxmlformats.org/officeDocument/2006/relationships/hyperlink" Target="https://www.ogauthority.co.uk/licensing-consents/licensing-system/petroleum-e-business-assignments-and-relinquishment-system-pears/" TargetMode="External"/><Relationship Id="rId135" Type="http://schemas.openxmlformats.org/officeDocument/2006/relationships/hyperlink" Target="http://shop.bgs.ac.uk/bookshop/catalogue.cfm?id=5" TargetMode="External"/><Relationship Id="rId151" Type="http://schemas.openxmlformats.org/officeDocument/2006/relationships/hyperlink" Target="https://bmapa.org/documents/BMAPA_CE_20th_Ann_Rep_Aug18.pdf" TargetMode="External"/><Relationship Id="rId156" Type="http://schemas.openxmlformats.org/officeDocument/2006/relationships/hyperlink" Target="https://www.thecrownestate.co.uk/" TargetMode="External"/><Relationship Id="rId177" Type="http://schemas.openxmlformats.org/officeDocument/2006/relationships/hyperlink" Target="https://www.gov.uk/topic/planning-development/marine-licences" TargetMode="External"/><Relationship Id="rId198" Type="http://schemas.openxmlformats.org/officeDocument/2006/relationships/hyperlink" Target="https://www.economy-ni.gov.uk/publications/application-mining-licence" TargetMode="External"/><Relationship Id="rId172" Type="http://schemas.openxmlformats.org/officeDocument/2006/relationships/hyperlink" Target="https://www.gov.uk/government/organisations/the-coal-authority/about-our-services" TargetMode="External"/><Relationship Id="rId193" Type="http://schemas.openxmlformats.org/officeDocument/2006/relationships/hyperlink" Target="https://www.infrastructure-ni.gov.uk/topics/planning" TargetMode="External"/><Relationship Id="rId202" Type="http://schemas.openxmlformats.org/officeDocument/2006/relationships/hyperlink" Target="https://www.economy-ni.gov.uk/sites/default/files/publications/deti/model-clauses.pdf" TargetMode="External"/><Relationship Id="rId207" Type="http://schemas.openxmlformats.org/officeDocument/2006/relationships/hyperlink" Target="https://www.daera-ni.gov.uk/topics/marine/marine-licensing-and-permits" TargetMode="Externa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header" Target="header11.xml"/><Relationship Id="rId109" Type="http://schemas.openxmlformats.org/officeDocument/2006/relationships/hyperlink" Target="https://www.gov.uk/government/statistics/energy-chapter-1-digest-of-united-kingdom-energy-statistics-dukes" TargetMode="External"/><Relationship Id="rId34" Type="http://schemas.openxmlformats.org/officeDocument/2006/relationships/hyperlink" Target="http://www.publishwhatyoupay.org/members/united-kingdom/" TargetMode="External"/><Relationship Id="rId50" Type="http://schemas.openxmlformats.org/officeDocument/2006/relationships/hyperlink" Target="https://eiti.org/united-kingdom" TargetMode="External"/><Relationship Id="rId55" Type="http://schemas.openxmlformats.org/officeDocument/2006/relationships/hyperlink" Target="https://www.gov.uk/government/uploads/system/uploads/attachment_data/file/703223/eiti-2016-crown-mining-quarrying.CSV/preview" TargetMode="External"/><Relationship Id="rId76" Type="http://schemas.openxmlformats.org/officeDocument/2006/relationships/hyperlink" Target="https://www.gov.uk/search-property-information-land-registry" TargetMode="External"/><Relationship Id="rId97" Type="http://schemas.openxmlformats.org/officeDocument/2006/relationships/hyperlink" Target="https://www.ons.gov.uk/economy/nationalaccounts/balanceofpayments/datasets/publicationtablesuktradecpa08" TargetMode="External"/><Relationship Id="rId104" Type="http://schemas.openxmlformats.org/officeDocument/2006/relationships/hyperlink" Target="https://assets.publishing.service.gov.uk/government/uploads/system/uploads/attachment_data/file/382785/PU1721_Driving_investment_-_a_plan_to_reform_the_oil_and_gas_fiscal_regime.pdf" TargetMode="External"/><Relationship Id="rId120" Type="http://schemas.openxmlformats.org/officeDocument/2006/relationships/hyperlink" Target="https://www.ogauthority.co.uk/data-centre/interactive-maps-and-tools/" TargetMode="External"/><Relationship Id="rId125" Type="http://schemas.openxmlformats.org/officeDocument/2006/relationships/hyperlink" Target="https://www.ogauthority.co.uk/licensing-consents/licensing-system/licensee-criteria/" TargetMode="External"/><Relationship Id="rId141" Type="http://schemas.openxmlformats.org/officeDocument/2006/relationships/hyperlink" Target="https://www.gov.uk/government/collections/building-materials-and-components-monthly-statistics-2012" TargetMode="External"/><Relationship Id="rId146" Type="http://schemas.openxmlformats.org/officeDocument/2006/relationships/hyperlink" Target="http://www.crownestatescotland.com/maps-and-publications/download/74" TargetMode="External"/><Relationship Id="rId167" Type="http://schemas.openxmlformats.org/officeDocument/2006/relationships/hyperlink" Target="https://www.gov.uk/government/publications/coal-authority-annual-report-and-accounts-2016-to-2017" TargetMode="External"/><Relationship Id="rId188" Type="http://schemas.openxmlformats.org/officeDocument/2006/relationships/hyperlink" Target="https://www.gov.scot/Topics/marine/Licensing/marine" TargetMode="External"/><Relationship Id="rId7" Type="http://schemas.openxmlformats.org/officeDocument/2006/relationships/settings" Target="settings.xml"/><Relationship Id="rId71" Type="http://schemas.openxmlformats.org/officeDocument/2006/relationships/hyperlink" Target="http://www.legislation.gov.uk/ukpga/1968/75/section/2" TargetMode="External"/><Relationship Id="rId92" Type="http://schemas.openxmlformats.org/officeDocument/2006/relationships/hyperlink" Target="https://www.nao.org.uk/report/nao-annual-report-and-accounts-2016-17/" TargetMode="External"/><Relationship Id="rId162" Type="http://schemas.openxmlformats.org/officeDocument/2006/relationships/hyperlink" Target="https://www.gov.uk/government/organisations/the-coal-authority" TargetMode="External"/><Relationship Id="rId183" Type="http://schemas.openxmlformats.org/officeDocument/2006/relationships/hyperlink" Target="https://gov.wales/topics/planning/policy/?lang=en" TargetMode="External"/><Relationship Id="rId213" Type="http://schemas.openxmlformats.org/officeDocument/2006/relationships/hyperlink" Target="http://www.publishwhatyoupay.org/pwyp-news/new-pwyp-uk-study-explores-uk-eiti-mandatory-payments-data-variances/" TargetMode="External"/><Relationship Id="rId2" Type="http://schemas.openxmlformats.org/officeDocument/2006/relationships/customXml" Target="../customXml/item2.xml"/><Relationship Id="rId29" Type="http://schemas.openxmlformats.org/officeDocument/2006/relationships/hyperlink" Target="http://www.green-alliance.org.uk" TargetMode="External"/><Relationship Id="rId24" Type="http://schemas.openxmlformats.org/officeDocument/2006/relationships/header" Target="header8.xml"/><Relationship Id="rId40" Type="http://schemas.openxmlformats.org/officeDocument/2006/relationships/header" Target="header12.xml"/><Relationship Id="rId45" Type="http://schemas.openxmlformats.org/officeDocument/2006/relationships/hyperlink" Target="https://assets.publishing.service.gov.uk/government/uploads/system/uploads/attachment_data/file/537373/eiti-aar-2015-final.pdf" TargetMode="External"/><Relationship Id="rId66" Type="http://schemas.openxmlformats.org/officeDocument/2006/relationships/hyperlink" Target="https://www.legislation.gov.uk/apni/1969/35" TargetMode="External"/><Relationship Id="rId87" Type="http://schemas.openxmlformats.org/officeDocument/2006/relationships/hyperlink" Target="https://assets.publishing.service.gov.uk/government/uploads/system/uploads/attachment_data/file/621571/170623_NONSTAT_GU.pdf" TargetMode="External"/><Relationship Id="rId110" Type="http://schemas.openxmlformats.org/officeDocument/2006/relationships/hyperlink" Target="https://www.gov.uk/government/collections/petroleum-revenue-tax-prt-and-government-revenues-from-uk-oil-and-gas-production" TargetMode="External"/><Relationship Id="rId115" Type="http://schemas.openxmlformats.org/officeDocument/2006/relationships/hyperlink" Target="https://www.ogauthority.co.uk/news-publications/news/2017/oga-welcomes-further-government-support-for-exploration/" TargetMode="External"/><Relationship Id="rId131" Type="http://schemas.openxmlformats.org/officeDocument/2006/relationships/hyperlink" Target="https://www.bgs.ac.uk/mineralsuk/planning/legislation/home.html" TargetMode="External"/><Relationship Id="rId136" Type="http://schemas.openxmlformats.org/officeDocument/2006/relationships/hyperlink" Target="http://shop.bgs.ac.uk/bookshop/catalogue.cfm?id=5" TargetMode="External"/><Relationship Id="rId157" Type="http://schemas.openxmlformats.org/officeDocument/2006/relationships/hyperlink" Target="https://www.thecrownestate.co.uk/en-gb/our-business/integrated-annual-report/" TargetMode="External"/><Relationship Id="rId178" Type="http://schemas.openxmlformats.org/officeDocument/2006/relationships/hyperlink" Target="https://www.gov.uk/guidance/make-a-marine-licence-application" TargetMode="External"/><Relationship Id="rId61" Type="http://schemas.openxmlformats.org/officeDocument/2006/relationships/hyperlink" Target="https://www.gov.uk/government/uploads/system/uploads/attachment_data/file/703223/eiti-2016-crown-mining-quarrying.CSV/preview" TargetMode="External"/><Relationship Id="rId82" Type="http://schemas.openxmlformats.org/officeDocument/2006/relationships/hyperlink" Target="http://download.companieshouse.gov.uk/en_pscdata.html" TargetMode="External"/><Relationship Id="rId152" Type="http://schemas.openxmlformats.org/officeDocument/2006/relationships/hyperlink" Target="http://www.marineaggregates.info/downloads-and-links.html" TargetMode="External"/><Relationship Id="rId173" Type="http://schemas.openxmlformats.org/officeDocument/2006/relationships/hyperlink" Target="https://www.gov.uk/topic/coal/permits-licences" TargetMode="External"/><Relationship Id="rId194" Type="http://schemas.openxmlformats.org/officeDocument/2006/relationships/hyperlink" Target="https://www.economy-ni.gov.uk/topics/minerals-and-petroleum" TargetMode="External"/><Relationship Id="rId199" Type="http://schemas.openxmlformats.org/officeDocument/2006/relationships/hyperlink" Target="https://www.economy-ni.gov.uk/publications/minerals-and-petroleum-legislation-and-policy" TargetMode="External"/><Relationship Id="rId203" Type="http://schemas.openxmlformats.org/officeDocument/2006/relationships/hyperlink" Target="https://www.economy-ni.gov.uk/publications/petroleum-licence-documents" TargetMode="External"/><Relationship Id="rId208" Type="http://schemas.openxmlformats.org/officeDocument/2006/relationships/hyperlink" Target="https://www.economy-ni.gov.uk/sites/default/files/publications/deti/petroleum-licensing-in-ni--guidance-for-applicants.pdf" TargetMode="External"/><Relationship Id="rId19" Type="http://schemas.openxmlformats.org/officeDocument/2006/relationships/header" Target="header6.xml"/><Relationship Id="rId14" Type="http://schemas.openxmlformats.org/officeDocument/2006/relationships/footer" Target="footer2.xml"/><Relationship Id="rId30" Type="http://schemas.openxmlformats.org/officeDocument/2006/relationships/hyperlink" Target="http://www.involve.org.uk" TargetMode="External"/><Relationship Id="rId35" Type="http://schemas.openxmlformats.org/officeDocument/2006/relationships/hyperlink" Target="http://www.transparency.org.uk/" TargetMode="External"/><Relationship Id="rId56" Type="http://schemas.openxmlformats.org/officeDocument/2006/relationships/hyperlink" Target="https://www.gov.uk/government/uploads/system/uploads/attachment_data/file/703211/eiti-2016-oil-gas.csv/preview" TargetMode="External"/><Relationship Id="rId77" Type="http://schemas.openxmlformats.org/officeDocument/2006/relationships/hyperlink" Target="https://www.gov.uk/government/groups/uk-extractive-industries-transparency-initiative-multi-stakeholder-group" TargetMode="External"/><Relationship Id="rId100" Type="http://schemas.openxmlformats.org/officeDocument/2006/relationships/hyperlink" Target="https://www.ons.gov.uk/economy/governmentpublicsectorandtaxes/publicsectorfinance/articles/lookingaheaddevelopmentsinpublicsectorfinancestatistics/2018/pdf" TargetMode="External"/><Relationship Id="rId105" Type="http://schemas.openxmlformats.org/officeDocument/2006/relationships/hyperlink" Target="https://www.gov.uk/government/publications/autumn-statement-2016-documents/autumn-statement-2016" TargetMode="External"/><Relationship Id="rId126" Type="http://schemas.openxmlformats.org/officeDocument/2006/relationships/hyperlink" Target="https://www.ogauthority.co.uk/licensing-consents/licensing-rounds/" TargetMode="External"/><Relationship Id="rId147" Type="http://schemas.openxmlformats.org/officeDocument/2006/relationships/hyperlink" Target="http://www.thecrownestate.co.uk/energy-minerals-and-infrastructure/downloads/marine-aggregate-downloads/" TargetMode="External"/><Relationship Id="rId168" Type="http://schemas.openxmlformats.org/officeDocument/2006/relationships/hyperlink" Target="https://www.gov.uk/government/publications/coal-mining-data-licence-areas" TargetMode="External"/><Relationship Id="rId8" Type="http://schemas.openxmlformats.org/officeDocument/2006/relationships/webSettings" Target="webSettings.xml"/><Relationship Id="rId51" Type="http://schemas.openxmlformats.org/officeDocument/2006/relationships/hyperlink" Target="https://www.gov.uk/government/publications/extractive-industries-transparency-initiative-payments-report-2014" TargetMode="External"/><Relationship Id="rId72" Type="http://schemas.openxmlformats.org/officeDocument/2006/relationships/hyperlink" Target="https://eur-lex.europa.eu/legal-content/EN/TXT/PDF/?uri=OJ:JOL_2015_141_R_0003&amp;from=ES" TargetMode="External"/><Relationship Id="rId93" Type="http://schemas.openxmlformats.org/officeDocument/2006/relationships/hyperlink" Target="http://obr.uk/monthly-public-finances-briefing/" TargetMode="External"/><Relationship Id="rId98" Type="http://schemas.openxmlformats.org/officeDocument/2006/relationships/hyperlink" Target="https://www.ons.gov.uk/economy/grossdomesticproductgdp/datasets/ukgdpolowlevelaggregates" TargetMode="External"/><Relationship Id="rId121" Type="http://schemas.openxmlformats.org/officeDocument/2006/relationships/hyperlink" Target="http://data-ogauthority.opendata.arcgis.com/" TargetMode="External"/><Relationship Id="rId142" Type="http://schemas.openxmlformats.org/officeDocument/2006/relationships/hyperlink" Target="https://www.local.gov.uk/pas/pas-topics/infrastructure/s106-obligations-overview" TargetMode="External"/><Relationship Id="rId163" Type="http://schemas.openxmlformats.org/officeDocument/2006/relationships/hyperlink" Target="https://www.gov.uk/topic/coal/reports-data" TargetMode="External"/><Relationship Id="rId184" Type="http://schemas.openxmlformats.org/officeDocument/2006/relationships/hyperlink" Target="https://naturalresources.wales/permits-and-permissions/marine-licensing/?lang=en" TargetMode="External"/><Relationship Id="rId189" Type="http://schemas.openxmlformats.org/officeDocument/2006/relationships/hyperlink" Target="https://www.finance-ni.gov.uk/sites/default/files/publications/dfp/final-pi-e-account-2016-17.pdf" TargetMode="External"/><Relationship Id="rId3" Type="http://schemas.openxmlformats.org/officeDocument/2006/relationships/customXml" Target="../customXml/item3.xml"/><Relationship Id="rId214" Type="http://schemas.openxmlformats.org/officeDocument/2006/relationships/hyperlink" Target="http://www.publishwhatyoupay.org/wp-content/uploads/2018/09/Comparing-UK-EITI-mandatory-data-assessment-report-PWYP-UK-Sept18.pdf" TargetMode="External"/><Relationship Id="rId25" Type="http://schemas.openxmlformats.org/officeDocument/2006/relationships/image" Target="media/image4.png"/><Relationship Id="rId46" Type="http://schemas.openxmlformats.org/officeDocument/2006/relationships/hyperlink" Target="https://assets.publishing.service.gov.uk/government/uploads/system/uploads/attachment_data/file/667231/uk-eiti-progress-report-2016.pdf" TargetMode="External"/><Relationship Id="rId67" Type="http://schemas.openxmlformats.org/officeDocument/2006/relationships/hyperlink" Target="https://www.legislation.gov.uk/ukpga/1975/22" TargetMode="External"/><Relationship Id="rId116" Type="http://schemas.openxmlformats.org/officeDocument/2006/relationships/hyperlink" Target="https://itportal.ogauthority.co.uk/web_files/recent_licences/oglicences.htm" TargetMode="External"/><Relationship Id="rId137" Type="http://schemas.openxmlformats.org/officeDocument/2006/relationships/hyperlink" Target="https://www.bgs.ac.uk/mineralsuk/maps/maps.html" TargetMode="External"/><Relationship Id="rId158" Type="http://schemas.openxmlformats.org/officeDocument/2006/relationships/hyperlink" Target="https://www.thecrownestate.co.uk/en-gb/resources/maps-and-gis-data/" TargetMode="External"/><Relationship Id="rId20" Type="http://schemas.openxmlformats.org/officeDocument/2006/relationships/image" Target="media/image3.png"/><Relationship Id="rId41" Type="http://schemas.openxmlformats.org/officeDocument/2006/relationships/hyperlink" Target="https://www.gov.uk/government/groups/uk-extractive-industries-transparency-initiative-multi-stakeholder-group" TargetMode="External"/><Relationship Id="rId62" Type="http://schemas.openxmlformats.org/officeDocument/2006/relationships/hyperlink" Target="https://eiti.org/sites/default/files/documents/UK_application.pdf" TargetMode="External"/><Relationship Id="rId83" Type="http://schemas.openxmlformats.org/officeDocument/2006/relationships/hyperlink" Target="https://beta.companieshouse.gov.uk/" TargetMode="External"/><Relationship Id="rId88" Type="http://schemas.openxmlformats.org/officeDocument/2006/relationships/hyperlink" Target="https://www.ons.gov.uk/businessindustryandtrade/business/businessservices/bulletins/uknonfinancialbusinesseconomy/previousReleases" TargetMode="External"/><Relationship Id="rId111" Type="http://schemas.openxmlformats.org/officeDocument/2006/relationships/hyperlink" Target="https://oilandgasuk.co.uk/publications-shop/" TargetMode="External"/><Relationship Id="rId132" Type="http://schemas.openxmlformats.org/officeDocument/2006/relationships/hyperlink" Target="https://www.bgs.ac.uk/mineralsuk/aboutus.html" TargetMode="External"/><Relationship Id="rId153" Type="http://schemas.openxmlformats.org/officeDocument/2006/relationships/hyperlink" Target="https://www.thecrownestate.co.uk/en-gb/what-we-do/on-the-seabed/minerals-dredging/" TargetMode="External"/><Relationship Id="rId174" Type="http://schemas.openxmlformats.org/officeDocument/2006/relationships/hyperlink" Target="https://www.gov.uk/government/publications/coal-mining-licence-applications-supporting-documents" TargetMode="External"/><Relationship Id="rId179" Type="http://schemas.openxmlformats.org/officeDocument/2006/relationships/hyperlink" Target="https://www.gov.uk/check-marine-licence-register" TargetMode="External"/><Relationship Id="rId195" Type="http://schemas.openxmlformats.org/officeDocument/2006/relationships/hyperlink" Target="https://www.economy-ni.gov.uk/articles/petroleum-licensing" TargetMode="External"/><Relationship Id="rId209" Type="http://schemas.openxmlformats.org/officeDocument/2006/relationships/hyperlink" Target="https://www.economy-ni.gov.uk/sites/default/files/publications/economy/minerals-licence-map.pdf" TargetMode="External"/><Relationship Id="rId190" Type="http://schemas.openxmlformats.org/officeDocument/2006/relationships/hyperlink" Target="https://www.economy-ni.gov.uk/sites/default/files/publications/economy/dfe-Annual-Report-2017.pdf" TargetMode="External"/><Relationship Id="rId204" Type="http://schemas.openxmlformats.org/officeDocument/2006/relationships/hyperlink" Target="https://www.economy-ni.gov.uk/articles/minerals-licensing" TargetMode="External"/><Relationship Id="rId15" Type="http://schemas.openxmlformats.org/officeDocument/2006/relationships/header" Target="header3.xml"/><Relationship Id="rId36" Type="http://schemas.openxmlformats.org/officeDocument/2006/relationships/header" Target="header9.xml"/><Relationship Id="rId57" Type="http://schemas.openxmlformats.org/officeDocument/2006/relationships/hyperlink" Target="https://www.gov.uk/government/uploads/system/uploads/attachment_data/file/703213/eiti-2016-mining-quarrying.csv/preview" TargetMode="External"/><Relationship Id="rId106" Type="http://schemas.openxmlformats.org/officeDocument/2006/relationships/hyperlink" Target="https://www.ukpublicrevenue.co.uk/" TargetMode="External"/><Relationship Id="rId127" Type="http://schemas.openxmlformats.org/officeDocument/2006/relationships/hyperlink" Target="https://www.ogauthority.co.uk/data-centre/data-downloads-and-publications/field-data/" TargetMode="External"/><Relationship Id="rId10" Type="http://schemas.openxmlformats.org/officeDocument/2006/relationships/endnotes" Target="endnotes.xml"/><Relationship Id="rId31" Type="http://schemas.openxmlformats.org/officeDocument/2006/relationships/hyperlink" Target="http://www.resourcegovernance.org" TargetMode="External"/><Relationship Id="rId52" Type="http://schemas.openxmlformats.org/officeDocument/2006/relationships/hyperlink" Target="https://www.gov.uk/government/publications/extractive-industries-transparency-initiative-payments-report-2015" TargetMode="External"/><Relationship Id="rId73" Type="http://schemas.openxmlformats.org/officeDocument/2006/relationships/hyperlink" Target="https://eur-lex.europa.eu/legal-content/EN/TXT/PDF/?uri=CELEX:52014XG0620(01)&amp;from=EN" TargetMode="External"/><Relationship Id="rId78" Type="http://schemas.openxmlformats.org/officeDocument/2006/relationships/hyperlink" Target="https://www.opengovpartnership.org/sites/default/files/UK%20Open%20Government%20National%20Action%20Plan%202016-18.pdf" TargetMode="External"/><Relationship Id="rId94" Type="http://schemas.openxmlformats.org/officeDocument/2006/relationships/hyperlink" Target="https://www.parliament.uk/business/committees/committees-a-z/commons-select/public-accounts-committee/publications/" TargetMode="External"/><Relationship Id="rId99" Type="http://schemas.openxmlformats.org/officeDocument/2006/relationships/hyperlink" Target="https://www.ons.gov.uk/employmentandlabourmarket/peopleinwork/employmentandemployeetypes/bulletins/uklabourmarket/march2018" TargetMode="External"/><Relationship Id="rId101" Type="http://schemas.openxmlformats.org/officeDocument/2006/relationships/hyperlink" Target="https://www.ons.gov.uk/peoplepopulationandcommunity/populationandmigration/populationestimates" TargetMode="External"/><Relationship Id="rId122" Type="http://schemas.openxmlformats.org/officeDocument/2006/relationships/hyperlink" Target="https://www.ogauthority.co.uk/regulatory-framework/" TargetMode="External"/><Relationship Id="rId143" Type="http://schemas.openxmlformats.org/officeDocument/2006/relationships/hyperlink" Target="https://www.lichfielddc.gov.uk/Council/Planning/The-local-plan-and-planning-policy/Planning-obligations/Section-106.aspx" TargetMode="External"/><Relationship Id="rId148" Type="http://schemas.openxmlformats.org/officeDocument/2006/relationships/hyperlink" Target="https://www.gov.uk/gold-and-silver-agreement-for-lease" TargetMode="External"/><Relationship Id="rId164" Type="http://schemas.openxmlformats.org/officeDocument/2006/relationships/hyperlink" Target="https://www.gov.uk/government/collections/coal-statistics" TargetMode="External"/><Relationship Id="rId169" Type="http://schemas.openxmlformats.org/officeDocument/2006/relationships/hyperlink" Target="https://www.gov.uk/check-if-property-is-affected-by-coal-mining" TargetMode="External"/><Relationship Id="rId185" Type="http://schemas.openxmlformats.org/officeDocument/2006/relationships/hyperlink" Target="https://beta.gov.scot/publications/national-planning-framework-3/"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northyorks.gov.uk/kirby-misperton-fracking-operations" TargetMode="External"/><Relationship Id="rId210" Type="http://schemas.openxmlformats.org/officeDocument/2006/relationships/hyperlink" Target="https://www.economy-ni.gov.uk/sites/default/files/publications/deti/infrastrata-ecorp-pl1-10-original-licence-document.pdf" TargetMode="External"/><Relationship Id="rId215" Type="http://schemas.openxmlformats.org/officeDocument/2006/relationships/fontTable" Target="fontTable.xml"/><Relationship Id="rId26" Type="http://schemas.openxmlformats.org/officeDocument/2006/relationships/hyperlink" Target="http://www.article19.org" TargetMode="External"/><Relationship Id="rId47" Type="http://schemas.openxmlformats.org/officeDocument/2006/relationships/hyperlink" Target="https://assets.publishing.service.gov.uk/government/uploads/system/uploads/attachment_data/file/720851/uk-eiti-progress-report-2017.pdf" TargetMode="External"/><Relationship Id="rId68" Type="http://schemas.openxmlformats.org/officeDocument/2006/relationships/hyperlink" Target="http://www.legislation.gov.uk/ukpga/1993/34/contents" TargetMode="External"/><Relationship Id="rId89" Type="http://schemas.openxmlformats.org/officeDocument/2006/relationships/hyperlink" Target="https://www.nao.org.uk/" TargetMode="External"/><Relationship Id="rId112" Type="http://schemas.openxmlformats.org/officeDocument/2006/relationships/hyperlink" Target="https://www.ogauthority.co.uk/news-publications/publications/2018/financial-guidance/" TargetMode="External"/><Relationship Id="rId133" Type="http://schemas.openxmlformats.org/officeDocument/2006/relationships/hyperlink" Target="https://www.bgs.ac.uk/mineralsUK/planning/legislation/mineralOwnership.html" TargetMode="External"/><Relationship Id="rId154" Type="http://schemas.openxmlformats.org/officeDocument/2006/relationships/hyperlink" Target="https://www.thecrownestate.co.uk/en-gb/what-we-do/on-the-land-and-coast/" TargetMode="External"/><Relationship Id="rId175" Type="http://schemas.openxmlformats.org/officeDocument/2006/relationships/hyperlink" Target="https://www.gov.uk/guidance/get-a-licence-for-coal-mining" TargetMode="External"/><Relationship Id="rId196" Type="http://schemas.openxmlformats.org/officeDocument/2006/relationships/hyperlink" Target="https://www.economy-ni.gov.uk/publications/appendix-financial-capacity" TargetMode="External"/><Relationship Id="rId200" Type="http://schemas.openxmlformats.org/officeDocument/2006/relationships/hyperlink" Target="https://www.economy-ni.gov.uk/sites/default/files/publications/deti/mineral-prospecting-licences-Guidance%20for%20Applicants-dec-17.pdf" TargetMode="External"/><Relationship Id="rId16"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17" Type="http://schemas.openxmlformats.org/officeDocument/2006/relationships/hyperlink" Target="https://www.gov.uk/gold-and-silver-agreement-for-lease" TargetMode="External"/><Relationship Id="rId299" Type="http://schemas.openxmlformats.org/officeDocument/2006/relationships/hyperlink" Target="http://www.legislation.gov.uk/ukpga/1968/75/section/2" TargetMode="External"/><Relationship Id="rId303" Type="http://schemas.openxmlformats.org/officeDocument/2006/relationships/hyperlink" Target="https://www.finance-ni.gov.uk/sites/default/files/publications/dfp/final-pi-e-account-2016-17.pdf" TargetMode="External"/><Relationship Id="rId21" Type="http://schemas.openxmlformats.org/officeDocument/2006/relationships/hyperlink" Target="https://www.gov.uk/government/news/g8-transparency-uk-and-france-join-the-extractive-industries-transparency-initiative" TargetMode="External"/><Relationship Id="rId42" Type="http://schemas.openxmlformats.org/officeDocument/2006/relationships/hyperlink" Target="https://assets.publishing.service.gov.uk/government/uploads/system/uploads/attachment_data/file/720920/eiti-msg-minutes-may-2018.pdf" TargetMode="External"/><Relationship Id="rId63" Type="http://schemas.openxmlformats.org/officeDocument/2006/relationships/hyperlink" Target="https://www.gov.uk/government/organisations/the-coal-authority/about-our-services" TargetMode="External"/><Relationship Id="rId84" Type="http://schemas.openxmlformats.org/officeDocument/2006/relationships/hyperlink" Target="https://www.ogauthority.co.uk/licensing-consents/licensing-system/licence-assignments/" TargetMode="External"/><Relationship Id="rId138" Type="http://schemas.openxmlformats.org/officeDocument/2006/relationships/hyperlink" Target="https://www.economy-ni.gov.uk/publications/petroleum-licence-documents" TargetMode="External"/><Relationship Id="rId159" Type="http://schemas.openxmlformats.org/officeDocument/2006/relationships/hyperlink" Target="https://www.thecrownestate.co.uk/en-gb/what-we-do/on-the-land-and-coast/" TargetMode="External"/><Relationship Id="rId324" Type="http://schemas.openxmlformats.org/officeDocument/2006/relationships/hyperlink" Target="https://assets.publishing.service.gov.uk/government/uploads/system/uploads/attachment_data/file/484744/Updated-EITI_Communications_Plan-_Dec-April_2016-1.pdf" TargetMode="External"/><Relationship Id="rId170" Type="http://schemas.openxmlformats.org/officeDocument/2006/relationships/hyperlink" Target="https://www.thecrownestate.co.uk/en-gb/our-places/asset-map/" TargetMode="External"/><Relationship Id="rId191" Type="http://schemas.openxmlformats.org/officeDocument/2006/relationships/hyperlink" Target="https://www.globalwitness.org/en/blog/what-does-uk-beneficial-ownership-data-show-us/" TargetMode="External"/><Relationship Id="rId205" Type="http://schemas.openxmlformats.org/officeDocument/2006/relationships/hyperlink" Target="https://www.gov.uk/topic/coal/reports-data" TargetMode="External"/><Relationship Id="rId226" Type="http://schemas.openxmlformats.org/officeDocument/2006/relationships/hyperlink" Target="https://www.gov.uk/government/collections/petroleum-revenue-tax-prt-and-government-revenues-from-uk-oil-and-gas-production" TargetMode="External"/><Relationship Id="rId247" Type="http://schemas.openxmlformats.org/officeDocument/2006/relationships/hyperlink" Target="https://www.gov.uk/government/publications/extractive-industries-transparency-initiative-payments-report-2016" TargetMode="External"/><Relationship Id="rId107" Type="http://schemas.openxmlformats.org/officeDocument/2006/relationships/hyperlink" Target="https://www.economy-ni.gov.uk/publications/minerals-and-petroleum-legislation-and-policy" TargetMode="External"/><Relationship Id="rId268" Type="http://schemas.openxmlformats.org/officeDocument/2006/relationships/hyperlink" Target="https://assets.publishing.service.gov.uk/government/uploads/system/uploads/attachment_data/file/445593/uk-extractive-industries-transparency-initiative-multi-stakeholder-group-minutes-27-january-2015.pdf" TargetMode="External"/><Relationship Id="rId289" Type="http://schemas.openxmlformats.org/officeDocument/2006/relationships/hyperlink" Target="https://assets.publishing.service.gov.uk/government/uploads/system/uploads/attachment_data/file/537373/eiti-aar-2015-final.pdf" TargetMode="External"/><Relationship Id="rId11" Type="http://schemas.openxmlformats.org/officeDocument/2006/relationships/hyperlink" Target="https://eiti.org/BD/2019-15" TargetMode="External"/><Relationship Id="rId32" Type="http://schemas.openxmlformats.org/officeDocument/2006/relationships/hyperlink" Target="https://www.gov.uk/government/publications/civil-society-strategy-building-a-future-that-works-for-everyone" TargetMode="External"/><Relationship Id="rId53" Type="http://schemas.openxmlformats.org/officeDocument/2006/relationships/hyperlink" Target="https://assets.publishing.service.gov.uk/government/uploads/system/uploads/attachment_data/file/6077/2116950.pdf" TargetMode="External"/><Relationship Id="rId74" Type="http://schemas.openxmlformats.org/officeDocument/2006/relationships/hyperlink" Target="https://assets.publishing.service.gov.uk/government/uploads/system/uploads/attachment_data/file/382785/PU1721_Driving_investment_-_a_plan_to_reform_the_oil_and_gas_fiscal_regime.pdf" TargetMode="External"/><Relationship Id="rId128" Type="http://schemas.openxmlformats.org/officeDocument/2006/relationships/hyperlink" Target="https://www.ogauthority.co.uk/data-centre/data-downloads-and-publications/licence-data/" TargetMode="External"/><Relationship Id="rId149" Type="http://schemas.openxmlformats.org/officeDocument/2006/relationships/hyperlink" Target="https://www.daera-ni.gov.uk/articles/marine-licensing" TargetMode="External"/><Relationship Id="rId314" Type="http://schemas.openxmlformats.org/officeDocument/2006/relationships/hyperlink" Target="https://www.ogauthority.co.uk/news-publications/news/2017/oga-welcomes-further-government-support-for-exploration/" TargetMode="External"/><Relationship Id="rId5" Type="http://schemas.openxmlformats.org/officeDocument/2006/relationships/hyperlink" Target="https://www.cbi.org/project/eiti-board-cso/" TargetMode="External"/><Relationship Id="rId95" Type="http://schemas.openxmlformats.org/officeDocument/2006/relationships/hyperlink" Target="http://www.bgs.ac.uk/mineralsUK/planning/legislation/mineralOwnership.html" TargetMode="External"/><Relationship Id="rId160" Type="http://schemas.openxmlformats.org/officeDocument/2006/relationships/hyperlink" Target="https://www.thecrownestate.co.uk/en-gb/our-places/asset-map/" TargetMode="External"/><Relationship Id="rId181" Type="http://schemas.openxmlformats.org/officeDocument/2006/relationships/hyperlink" Target="https://www.legislation.gov.uk/uksi/2016/339/contents/made" TargetMode="External"/><Relationship Id="rId216" Type="http://schemas.openxmlformats.org/officeDocument/2006/relationships/hyperlink" Target="http://shop.bgs.ac.uk/bookshop/subcategory.cfm?series_id=M1210&amp;sort=PRODUCT_TITLE%20ASC&amp;PAGE_NO=1" TargetMode="External"/><Relationship Id="rId237" Type="http://schemas.openxmlformats.org/officeDocument/2006/relationships/hyperlink" Target="https://www.gov.uk/government/uploads/system/uploads/attachment_data/file/703211/eiti-2016-oil-gas.csv/preview" TargetMode="External"/><Relationship Id="rId258" Type="http://schemas.openxmlformats.org/officeDocument/2006/relationships/hyperlink" Target="https://www.gov.uk/government/publications/extractive-industries-transparency-initiative-payments-report-2016" TargetMode="External"/><Relationship Id="rId279" Type="http://schemas.openxmlformats.org/officeDocument/2006/relationships/hyperlink" Target="https://assets.publishing.service.gov.uk/government/uploads/system/uploads/attachment_data/file/667231/uk-eiti-progress-report-2016.pdf" TargetMode="External"/><Relationship Id="rId22" Type="http://schemas.openxmlformats.org/officeDocument/2006/relationships/hyperlink" Target="https://www.bond.org.uk/data/files/Blog/ConservativeManifesto2015.pdf" TargetMode="External"/><Relationship Id="rId43" Type="http://schemas.openxmlformats.org/officeDocument/2006/relationships/hyperlink" Target="https://assets.publishing.service.gov.uk/government/uploads/system/uploads/attachment_data/file/451326/Terms_of_Reference_for_the_UK_EITI_Multi_Stakeholder_Group_v5.pdf" TargetMode="External"/><Relationship Id="rId64" Type="http://schemas.openxmlformats.org/officeDocument/2006/relationships/hyperlink" Target="http://www.thecrownestate.co.uk/en-gb/our-business/" TargetMode="External"/><Relationship Id="rId118" Type="http://schemas.openxmlformats.org/officeDocument/2006/relationships/hyperlink" Target="http://www.crownestatescotland.com/bundles/app/downloads/58ff4e954cc2e_20170418%20mines-royal-option-process.pdf" TargetMode="External"/><Relationship Id="rId139" Type="http://schemas.openxmlformats.org/officeDocument/2006/relationships/hyperlink" Target="https://www.ogauthority.co.uk/data-centre/data-downloads-and-publications/licence-data/" TargetMode="External"/><Relationship Id="rId290" Type="http://schemas.openxmlformats.org/officeDocument/2006/relationships/hyperlink" Target="https://eiti.org/sites/default/files/documents/UK_application.pdf" TargetMode="External"/><Relationship Id="rId304" Type="http://schemas.openxmlformats.org/officeDocument/2006/relationships/hyperlink" Target="https://www.finance-ni.gov.uk/sites/default/files/publications/dfp/final-pi-e-account-2016-17.pdf" TargetMode="External"/><Relationship Id="rId325" Type="http://schemas.openxmlformats.org/officeDocument/2006/relationships/hyperlink" Target="https://assets.publishing.service.gov.uk/government/uploads/system/uploads/attachment_data/file/584959/UK_EITI_Open_Data_policy_paper.pdf" TargetMode="External"/><Relationship Id="rId85" Type="http://schemas.openxmlformats.org/officeDocument/2006/relationships/hyperlink" Target="https://www.northyorks.gov.uk/kirby-misperton-fracking-operations" TargetMode="External"/><Relationship Id="rId150" Type="http://schemas.openxmlformats.org/officeDocument/2006/relationships/hyperlink" Target="https://www.thecrownestate.co.uk/" TargetMode="External"/><Relationship Id="rId171" Type="http://schemas.openxmlformats.org/officeDocument/2006/relationships/hyperlink" Target="https://itportal.ogauthority.co.uk/web_files/recent_licences/oglicences.htm" TargetMode="External"/><Relationship Id="rId192" Type="http://schemas.openxmlformats.org/officeDocument/2006/relationships/hyperlink" Target="https://openownership.org/uploads/Learning%20the%20lessons%20briefing.pdf" TargetMode="External"/><Relationship Id="rId206" Type="http://schemas.openxmlformats.org/officeDocument/2006/relationships/hyperlink" Target="https://www.gov.uk/government/statistical-data-sets/historical-coal-data-coal-production-availability-and-consumption" TargetMode="External"/><Relationship Id="rId227" Type="http://schemas.openxmlformats.org/officeDocument/2006/relationships/hyperlink" Target="https://www.ogauthority.co.uk/news-publications/publications/2017/oga-annual-report-and-accounts-2016-17/" TargetMode="External"/><Relationship Id="rId248" Type="http://schemas.openxmlformats.org/officeDocument/2006/relationships/hyperlink" Target="https://www.gov.uk/government/uploads/system/uploads/attachment_data/file/703214/eiti-2016-petroleum-licence-fees.CSV/preview" TargetMode="External"/><Relationship Id="rId269" Type="http://schemas.openxmlformats.org/officeDocument/2006/relationships/hyperlink" Target="https://assets.publishing.service.gov.uk/government/uploads/system/uploads/attachment_data/file/438681/UK_EITI_Annual_Activity_Report_2014.pdf" TargetMode="External"/><Relationship Id="rId12" Type="http://schemas.openxmlformats.org/officeDocument/2006/relationships/hyperlink" Target="https://www.gov.uk/guidance/oil-and-gas-infrastructure" TargetMode="External"/><Relationship Id="rId33" Type="http://schemas.openxmlformats.org/officeDocument/2006/relationships/hyperlink" Target="https://www.legislation.gov.uk/ukpga/1998/42/schedule/1/part/I/chapter/9" TargetMode="External"/><Relationship Id="rId108" Type="http://schemas.openxmlformats.org/officeDocument/2006/relationships/hyperlink" Target="https://www.economy-ni.gov.uk/sites/default/files/publications/deti/mineral-prospecting-licences-Guidance%20for%20Applicants-dec-17.pdf" TargetMode="External"/><Relationship Id="rId129" Type="http://schemas.openxmlformats.org/officeDocument/2006/relationships/hyperlink" Target="https://www.economy-ni.gov.uk/articles/petroleum-licensing" TargetMode="External"/><Relationship Id="rId280" Type="http://schemas.openxmlformats.org/officeDocument/2006/relationships/hyperlink" Target="https://assets.publishing.service.gov.uk/government/uploads/system/uploads/attachment_data/file/720851/uk-eiti-progress-report-2017.pdf" TargetMode="External"/><Relationship Id="rId315" Type="http://schemas.openxmlformats.org/officeDocument/2006/relationships/hyperlink" Target="https://www.ons.gov.uk/economy/grossdomesticproductgdp/datasets/ukgdpolowlevelaggregates" TargetMode="External"/><Relationship Id="rId54" Type="http://schemas.openxmlformats.org/officeDocument/2006/relationships/hyperlink" Target="https://gov.wales/topics/planning/policy/minerals/?lang=en" TargetMode="External"/><Relationship Id="rId75" Type="http://schemas.openxmlformats.org/officeDocument/2006/relationships/hyperlink" Target="https://www.gov.uk/government/publications/autumn-statement-2016-documents/autumn-statement-2016" TargetMode="External"/><Relationship Id="rId96" Type="http://schemas.openxmlformats.org/officeDocument/2006/relationships/hyperlink" Target="http://www.thecrownestate.co.uk/en-gb/what-we-do/on-the-seabed/minerals-dredging/" TargetMode="External"/><Relationship Id="rId140" Type="http://schemas.openxmlformats.org/officeDocument/2006/relationships/hyperlink" Target="https://www.economy-ni.gov.uk/articles/petroleum-licensing" TargetMode="External"/><Relationship Id="rId161" Type="http://schemas.openxmlformats.org/officeDocument/2006/relationships/hyperlink" Target="https://www.gov.uk/government/uploads/system/uploads/attachment_data/file/703223/eiti-2016-crown-mining-quarrying.CSV/preview" TargetMode="External"/><Relationship Id="rId182" Type="http://schemas.openxmlformats.org/officeDocument/2006/relationships/hyperlink" Target="https://www.gov.uk/government/publications/guidance-to-the-people-with-significant-control-requirements-for-companies-and-limited-liability-partnerships" TargetMode="External"/><Relationship Id="rId217" Type="http://schemas.openxmlformats.org/officeDocument/2006/relationships/hyperlink" Target="https://www.bgs.ac.uk/mineralsUK/statistics/ukStatistics.html" TargetMode="External"/><Relationship Id="rId6" Type="http://schemas.openxmlformats.org/officeDocument/2006/relationships/hyperlink" Target="https://eiti.org/news/united-kingdom-accepted-as-candidate-of-resource-transparency-body" TargetMode="External"/><Relationship Id="rId238" Type="http://schemas.openxmlformats.org/officeDocument/2006/relationships/hyperlink" Target="https://www.gov.uk/government/uploads/system/uploads/attachment_data/file/703213/eiti-2016-mining-quarrying.csv/preview" TargetMode="External"/><Relationship Id="rId259" Type="http://schemas.openxmlformats.org/officeDocument/2006/relationships/hyperlink" Target="https://www.gov.uk/government/publications/extractive-industries-transparency-initiative-payments-report-2014" TargetMode="External"/><Relationship Id="rId23" Type="http://schemas.openxmlformats.org/officeDocument/2006/relationships/hyperlink" Target="https://www.gov.uk/government/uploads/system/uploads/attachment_data/file/667221/6_3323_Anti-Corruption_Strategy_WEB.pdf" TargetMode="External"/><Relationship Id="rId119" Type="http://schemas.openxmlformats.org/officeDocument/2006/relationships/hyperlink" Target="http://www.crownestatescotland.com/maps-and-publications/download/74" TargetMode="External"/><Relationship Id="rId270" Type="http://schemas.openxmlformats.org/officeDocument/2006/relationships/hyperlink" Target="https://assets.publishing.service.gov.uk/government/uploads/system/uploads/attachment_data/file/438681/UK_EITI_Annual_Activity_Report_2014.pdf" TargetMode="External"/><Relationship Id="rId291" Type="http://schemas.openxmlformats.org/officeDocument/2006/relationships/hyperlink" Target="https://assets.publishing.service.gov.uk/government/uploads/system/uploads/attachment_data/file/445565/uk-extractive-industries-transparency-initiative-multi-stakeholder-group-minutes-19-may-2015.pdf.pdf" TargetMode="External"/><Relationship Id="rId305" Type="http://schemas.openxmlformats.org/officeDocument/2006/relationships/hyperlink" Target="https://www.gov.uk/government/topical-events/autumn-budget-2017" TargetMode="External"/><Relationship Id="rId326" Type="http://schemas.openxmlformats.org/officeDocument/2006/relationships/hyperlink" Target="https://data.gov.uk/dataset/1ce0afa8-fade-4333-9983-32b3cb4a87e3/uk-extractive-industries-transparency-initiative-eiti" TargetMode="External"/><Relationship Id="rId44" Type="http://schemas.openxmlformats.org/officeDocument/2006/relationships/hyperlink" Target="https://www.gov.uk/government/groups/uk-extractive-industries-transparency-initiative-multi-stakeholder-group" TargetMode="External"/><Relationship Id="rId65" Type="http://schemas.openxmlformats.org/officeDocument/2006/relationships/hyperlink" Target="https://beta.gov.scot/policies/planning-architecture/" TargetMode="External"/><Relationship Id="rId86" Type="http://schemas.openxmlformats.org/officeDocument/2006/relationships/hyperlink" Target="http://www.nottinghamshire.gov.uk/planning-and-environment/shale-gas-development/shale-gas-development/latest-news/councillors-approve-planning-application-for-county-s-first-exploratory-shale-gas-wells" TargetMode="External"/><Relationship Id="rId130" Type="http://schemas.openxmlformats.org/officeDocument/2006/relationships/hyperlink" Target="https://www.ogauthority.co.uk/data-centre/data-downloads-and-publications/licence-data/" TargetMode="External"/><Relationship Id="rId151" Type="http://schemas.openxmlformats.org/officeDocument/2006/relationships/hyperlink" Target="https://www.gov.uk/government/uploads/system/uploads/attachment_data/file/703223/eiti-2016-crown-mining-quarrying.CSV/preview" TargetMode="External"/><Relationship Id="rId172" Type="http://schemas.openxmlformats.org/officeDocument/2006/relationships/hyperlink" Target="https://www.thecrownestate.co.uk/en-gb/what-we-do/on-the-seabed/minerals-dredging/" TargetMode="External"/><Relationship Id="rId193" Type="http://schemas.openxmlformats.org/officeDocument/2006/relationships/hyperlink" Target="https://www.ons.gov.uk/businessindustryandtrade/business/businessservices/bulletins/uknonfinancialbusinesseconomy/previousReleases" TargetMode="External"/><Relationship Id="rId207" Type="http://schemas.openxmlformats.org/officeDocument/2006/relationships/hyperlink" Target="http://www.marineaggregates.info/downloads-and-links.html" TargetMode="External"/><Relationship Id="rId228" Type="http://schemas.openxmlformats.org/officeDocument/2006/relationships/hyperlink" Target="http://obr.uk/monthly-public-finances-briefing/" TargetMode="External"/><Relationship Id="rId249" Type="http://schemas.openxmlformats.org/officeDocument/2006/relationships/hyperlink" Target="https://www.gov.uk/government/uploads/system/uploads/attachment_data/file/703215/eiti-2016-petroleum-revenue-tax.CSV/preview" TargetMode="External"/><Relationship Id="rId13" Type="http://schemas.openxmlformats.org/officeDocument/2006/relationships/hyperlink" Target="https://oilandgasuk.co.uk/wp-content/uploads/2019/03/OGUK-Workforce-Report-2018.pdf" TargetMode="External"/><Relationship Id="rId109" Type="http://schemas.openxmlformats.org/officeDocument/2006/relationships/hyperlink" Target="https://www.economy-ni.gov.uk/publications/minerals-and-petroleum-legislation-and-policy" TargetMode="External"/><Relationship Id="rId260" Type="http://schemas.openxmlformats.org/officeDocument/2006/relationships/hyperlink" Target="https://www.gov.uk/government/publications/extractive-industries-transparency-initiative-payments-report-2015" TargetMode="External"/><Relationship Id="rId281" Type="http://schemas.openxmlformats.org/officeDocument/2006/relationships/hyperlink" Target="https://assets.publishing.service.gov.uk/government/uploads/system/uploads/attachment_data/file/445565/uk-extractive-industries-transparency-initiative-multi-stakeholder-group-minutes-19-may-2015.pdf.pdf" TargetMode="External"/><Relationship Id="rId316" Type="http://schemas.openxmlformats.org/officeDocument/2006/relationships/hyperlink" Target="https://www.gov.uk/government/statistics/hmrc-tax-and-nics-receipts-for-the-uk" TargetMode="External"/><Relationship Id="rId34" Type="http://schemas.openxmlformats.org/officeDocument/2006/relationships/hyperlink" Target="https://smk.org.uk/campaigner-survey/" TargetMode="External"/><Relationship Id="rId55" Type="http://schemas.openxmlformats.org/officeDocument/2006/relationships/hyperlink" Target="http://www.gov.scot/Publications/2014/06/3539" TargetMode="External"/><Relationship Id="rId76" Type="http://schemas.openxmlformats.org/officeDocument/2006/relationships/hyperlink" Target="https://www.parliament.uk/business/publications/written-questions-answers-statements/written-questions-answers/" TargetMode="External"/><Relationship Id="rId97" Type="http://schemas.openxmlformats.org/officeDocument/2006/relationships/hyperlink" Target="https://www.thecrownestate.co.uk/media/2478/bmapa-ce-19th-ann-rep-singles-021117.pdf" TargetMode="External"/><Relationship Id="rId120" Type="http://schemas.openxmlformats.org/officeDocument/2006/relationships/hyperlink" Target="https://www.ogauthority.co.uk/licensing-consents/licensing-system/petroleum-e-business-assignments-and-relinquishment-system-pears/" TargetMode="External"/><Relationship Id="rId141" Type="http://schemas.openxmlformats.org/officeDocument/2006/relationships/hyperlink" Target="http://www.bgs.ac.uk/mineralsuk/planning/legislation/mineralOwnership.html" TargetMode="External"/><Relationship Id="rId7" Type="http://schemas.openxmlformats.org/officeDocument/2006/relationships/hyperlink" Target="https://eiti.org/document/validation-schedule-decisions" TargetMode="External"/><Relationship Id="rId162" Type="http://schemas.openxmlformats.org/officeDocument/2006/relationships/hyperlink" Target="https://www.gov.uk/government/uploads/system/uploads/attachment_data/file/703223/eiti-2016-crown-mining-quarrying.CSV/preview" TargetMode="External"/><Relationship Id="rId183" Type="http://schemas.openxmlformats.org/officeDocument/2006/relationships/hyperlink" Target="https://assets.publishing.service.gov.uk/government/uploads/system/uploads/attachment_data/file/621571/170623_NONSTAT_GU.pdf" TargetMode="External"/><Relationship Id="rId218" Type="http://schemas.openxmlformats.org/officeDocument/2006/relationships/hyperlink" Target="https://www.gov.uk/government/collections/coal-statistics" TargetMode="External"/><Relationship Id="rId239" Type="http://schemas.openxmlformats.org/officeDocument/2006/relationships/hyperlink" Target="https://extractives.companieshouse.gov.uk/search?query=c" TargetMode="External"/><Relationship Id="rId250" Type="http://schemas.openxmlformats.org/officeDocument/2006/relationships/hyperlink" Target="https://www.gov.uk/government/uploads/system/uploads/attachment_data/file/703220/eiti-2016-crown-oil-gas.CSV/preview" TargetMode="External"/><Relationship Id="rId271" Type="http://schemas.openxmlformats.org/officeDocument/2006/relationships/hyperlink" Target="https://assets.publishing.service.gov.uk/government/uploads/system/uploads/attachment_data/file/667231/uk-eiti-progress-report-2016.pdf" TargetMode="External"/><Relationship Id="rId292" Type="http://schemas.openxmlformats.org/officeDocument/2006/relationships/hyperlink" Target="https://www.gov.uk/government/groups/uk-extractive-industries-transparency-initiative-multi-stakeholder-group" TargetMode="External"/><Relationship Id="rId306" Type="http://schemas.openxmlformats.org/officeDocument/2006/relationships/hyperlink" Target="https://www.nao.org.uk/search/pi_area/audit-of-financial-statements/" TargetMode="External"/><Relationship Id="rId24" Type="http://schemas.openxmlformats.org/officeDocument/2006/relationships/hyperlink" Target="https://assets.publishing.service.gov.uk/government/uploads/system/uploads/attachment_data/file/667221/6_3323_Anti-Corruption_Strategy_WEB.pdf" TargetMode="External"/><Relationship Id="rId45" Type="http://schemas.openxmlformats.org/officeDocument/2006/relationships/hyperlink" Target="https://www.cbi.org/project/eiti-board-cso/" TargetMode="External"/><Relationship Id="rId66" Type="http://schemas.openxmlformats.org/officeDocument/2006/relationships/hyperlink" Target="https://gov.wales/topics/planning/policy/?lang=en" TargetMode="External"/><Relationship Id="rId87" Type="http://schemas.openxmlformats.org/officeDocument/2006/relationships/hyperlink" Target="https://eur-lex.europa.eu/legal-content/EN/TXT/PDF/?uri=CELEX:52014XG0620(01)&amp;from=EN" TargetMode="External"/><Relationship Id="rId110" Type="http://schemas.openxmlformats.org/officeDocument/2006/relationships/hyperlink" Target="https://www.economy-ni.gov.uk/sites/default/files/publications/deti/model-clauses.pdf" TargetMode="External"/><Relationship Id="rId131" Type="http://schemas.openxmlformats.org/officeDocument/2006/relationships/hyperlink" Target="https://www.economy-ni.gov.uk/articles/petroleum-licensing" TargetMode="External"/><Relationship Id="rId327" Type="http://schemas.openxmlformats.org/officeDocument/2006/relationships/hyperlink" Target="http://www.publishwhatyoupay.org/pwyp-news/new-pwyp-uk-study-explores-uk-eiti-mandatory-payments-data-variances/" TargetMode="External"/><Relationship Id="rId152" Type="http://schemas.openxmlformats.org/officeDocument/2006/relationships/hyperlink" Target="http://www.thecrownestate.co.uk/energy-minerals-and-infrastructure/aggregates/our-portfolio/" TargetMode="External"/><Relationship Id="rId173" Type="http://schemas.openxmlformats.org/officeDocument/2006/relationships/hyperlink" Target="https://www.gov.uk/government/organisations/land-registry" TargetMode="External"/><Relationship Id="rId194" Type="http://schemas.openxmlformats.org/officeDocument/2006/relationships/hyperlink" Target="file:///C:/Users/kr51/Downloads/Energy%20trends" TargetMode="External"/><Relationship Id="rId208" Type="http://schemas.openxmlformats.org/officeDocument/2006/relationships/hyperlink" Target="https://www.thecrownestate.co.uk/en-gb/what-we-do/on-the-land-and-coast/" TargetMode="External"/><Relationship Id="rId229" Type="http://schemas.openxmlformats.org/officeDocument/2006/relationships/hyperlink" Target="https://www.ukpublicrevenue.co.uk/" TargetMode="External"/><Relationship Id="rId240" Type="http://schemas.openxmlformats.org/officeDocument/2006/relationships/hyperlink" Target="http://www.publishwhatyoupay.org/pwyp-news/new-pwyp-uk-study-explores-uk-eiti-mandatory-payments-data-variances/" TargetMode="External"/><Relationship Id="rId261" Type="http://schemas.openxmlformats.org/officeDocument/2006/relationships/hyperlink" Target="https://www.legislation.gov.uk/ukdsi/2014/9780111122235/contents" TargetMode="External"/><Relationship Id="rId14" Type="http://schemas.openxmlformats.org/officeDocument/2006/relationships/hyperlink" Target="https://oilandgasuk.co.uk/wp-content/uploads/2019/03/OGUK-Economic-Report-2018.pdf" TargetMode="External"/><Relationship Id="rId35" Type="http://schemas.openxmlformats.org/officeDocument/2006/relationships/hyperlink" Target="https://data.ncvo.org.uk/a/almanac18/what-is-civil-society-4/" TargetMode="External"/><Relationship Id="rId56" Type="http://schemas.openxmlformats.org/officeDocument/2006/relationships/hyperlink" Target="https://www.planningni.gov.uk/index/policy/spps.htm" TargetMode="External"/><Relationship Id="rId77" Type="http://schemas.openxmlformats.org/officeDocument/2006/relationships/hyperlink" Target="https://www.ogauthority.co.uk/regulatory-framework/" TargetMode="External"/><Relationship Id="rId100" Type="http://schemas.openxmlformats.org/officeDocument/2006/relationships/hyperlink" Target="https://www.gov.uk/guidance/make-a-marine-licence-application" TargetMode="External"/><Relationship Id="rId282" Type="http://schemas.openxmlformats.org/officeDocument/2006/relationships/hyperlink" Target="https://www.gov.uk/government/groups/uk-extractive-industries-transparency-initiative-multi-stakeholder-group" TargetMode="External"/><Relationship Id="rId317" Type="http://schemas.openxmlformats.org/officeDocument/2006/relationships/hyperlink" Target="https://www.ons.gov.uk/economy/governmentpublicsectorandtaxes/publicsectorfinance/datasets/appendixdpublicsectorcurrentreceipts" TargetMode="External"/><Relationship Id="rId8" Type="http://schemas.openxmlformats.org/officeDocument/2006/relationships/hyperlink" Target="https://eiti.org/document/eiti-validation-procedures" TargetMode="External"/><Relationship Id="rId51" Type="http://schemas.openxmlformats.org/officeDocument/2006/relationships/hyperlink" Target="https://www.ogauthority.co.uk/licensing-consents/overview/" TargetMode="External"/><Relationship Id="rId72" Type="http://schemas.openxmlformats.org/officeDocument/2006/relationships/hyperlink" Target="https://gov.wales/topics/planning/policy/?lang=en" TargetMode="External"/><Relationship Id="rId93" Type="http://schemas.openxmlformats.org/officeDocument/2006/relationships/hyperlink" Target="https://www.gov.uk/search-property-information-land-registry" TargetMode="External"/><Relationship Id="rId98" Type="http://schemas.openxmlformats.org/officeDocument/2006/relationships/hyperlink" Target="https://bmapa.org/documents/BMAPA_CE_20th_Ann_Rep_Aug18.pdf" TargetMode="External"/><Relationship Id="rId121" Type="http://schemas.openxmlformats.org/officeDocument/2006/relationships/hyperlink" Target="https://www.ogauthority.co.uk/news-publications/publications/2018/financial-guidance/" TargetMode="External"/><Relationship Id="rId142" Type="http://schemas.openxmlformats.org/officeDocument/2006/relationships/hyperlink" Target="http://www.thecrownestate.co.uk/en-gb/resources/maps-and-gis-data/" TargetMode="External"/><Relationship Id="rId163" Type="http://schemas.openxmlformats.org/officeDocument/2006/relationships/hyperlink" Target="https://www.thecrownestate.co.uk/en-gb/our-places/asset-map/" TargetMode="External"/><Relationship Id="rId184" Type="http://schemas.openxmlformats.org/officeDocument/2006/relationships/hyperlink" Target="https://www.gov.uk/government/groups/uk-extractive-industries-transparency-initiative-multi-stakeholder-group" TargetMode="External"/><Relationship Id="rId189" Type="http://schemas.openxmlformats.org/officeDocument/2006/relationships/hyperlink" Target="https://openownership.org/uploads/Learning%20the%20lessons%20briefing.pdf" TargetMode="External"/><Relationship Id="rId219" Type="http://schemas.openxmlformats.org/officeDocument/2006/relationships/hyperlink" Target="https://www.gov.uk/government/statistical-data-sets/historical-coal-data-coal-production-availability-and-consumption" TargetMode="External"/><Relationship Id="rId3" Type="http://schemas.openxmlformats.org/officeDocument/2006/relationships/hyperlink" Target="https://eiti.org/blog/former-eiti-chair-rt-hon-clare-short-reflects" TargetMode="External"/><Relationship Id="rId214" Type="http://schemas.openxmlformats.org/officeDocument/2006/relationships/hyperlink" Target="https://www.gov.uk/government/collections/digest-of-uk-energy-statistics-dukes" TargetMode="External"/><Relationship Id="rId230" Type="http://schemas.openxmlformats.org/officeDocument/2006/relationships/hyperlink" Target="https://www.gov.uk/government/publications/coal-authority-annual-report-and-accounts-2016-to-2017" TargetMode="External"/><Relationship Id="rId235" Type="http://schemas.openxmlformats.org/officeDocument/2006/relationships/hyperlink" Target="https://assets.publishing.service.gov.uk/government/uploads/system/uploads/attachment_data/file/537373/eiti-aar-2015-final.pdf" TargetMode="External"/><Relationship Id="rId251" Type="http://schemas.openxmlformats.org/officeDocument/2006/relationships/hyperlink" Target="https://www.gov.uk/government/uploads/system/uploads/attachment_data/file/703223/eiti-2016-crown-mining-quarrying.CSV/preview" TargetMode="External"/><Relationship Id="rId256" Type="http://schemas.openxmlformats.org/officeDocument/2006/relationships/hyperlink" Target="https://www.gov.uk/government/publications/coal-authority-annual-report-and-accounts-2016-to-2017" TargetMode="External"/><Relationship Id="rId277" Type="http://schemas.openxmlformats.org/officeDocument/2006/relationships/hyperlink" Target="https://assets.publishing.service.gov.uk/government/uploads/system/uploads/attachment_data/file/537373/eiti-aar-2015-final.pdf" TargetMode="External"/><Relationship Id="rId298" Type="http://schemas.openxmlformats.org/officeDocument/2006/relationships/hyperlink" Target="https://www.ogauthority.co.uk/news-publications/publications/2017/oga-annual-report-and-accounts-2016-17/" TargetMode="External"/><Relationship Id="rId25" Type="http://schemas.openxmlformats.org/officeDocument/2006/relationships/hyperlink" Target="https://assets.publishing.service.gov.uk/government/uploads/system/uploads/attachment_data/file/708557/uk-eiti-payments-report-2016.pdf" TargetMode="External"/><Relationship Id="rId46" Type="http://schemas.openxmlformats.org/officeDocument/2006/relationships/hyperlink" Target="https://assets.publishing.service.gov.uk/government/uploads/system/uploads/attachment_data/file/438682/Updated_UK_EITI_Work_plan-June_2015.xlsx" TargetMode="External"/><Relationship Id="rId67" Type="http://schemas.openxmlformats.org/officeDocument/2006/relationships/hyperlink" Target="https://www.legislation.gov.uk/ukpga/1975/22" TargetMode="External"/><Relationship Id="rId116" Type="http://schemas.openxmlformats.org/officeDocument/2006/relationships/hyperlink" Target="https://www.thecrownestate.co.uk/en-gb/what-we-do/on-the-land-and-coast/" TargetMode="External"/><Relationship Id="rId137" Type="http://schemas.openxmlformats.org/officeDocument/2006/relationships/hyperlink" Target="https://assets.publishing.service.gov.uk/government/uploads/system/uploads/attachment_data/file/723625/uk-eiti-payments-report-2016-supplementary-information.pdf" TargetMode="External"/><Relationship Id="rId158" Type="http://schemas.openxmlformats.org/officeDocument/2006/relationships/hyperlink" Target="http://www.thecrownestate.co.uk/en-gb/resources/maps-and-gis-data/" TargetMode="External"/><Relationship Id="rId272" Type="http://schemas.openxmlformats.org/officeDocument/2006/relationships/hyperlink" Target="https://assets.publishing.service.gov.uk/government/uploads/system/uploads/attachment_data/file/438681/UK_EITI_Annual_Activity_Report_2014.pdf" TargetMode="External"/><Relationship Id="rId293" Type="http://schemas.openxmlformats.org/officeDocument/2006/relationships/hyperlink" Target="https://eiti.org/united-kingdom" TargetMode="External"/><Relationship Id="rId302" Type="http://schemas.openxmlformats.org/officeDocument/2006/relationships/hyperlink" Target="https://www.ogauthority.co.uk/news-publications/publications/2017/oga-annual-report-and-accounts-2016-17/" TargetMode="External"/><Relationship Id="rId307" Type="http://schemas.openxmlformats.org/officeDocument/2006/relationships/hyperlink" Target="https://www.parliament.uk/business/committees/committees-a-z/commons-select/public-accounts-committee/publications/" TargetMode="External"/><Relationship Id="rId323" Type="http://schemas.openxmlformats.org/officeDocument/2006/relationships/hyperlink" Target="https://www.ogauthority.co.uk/exploration-production/taxation/extractive-industries-transparency-initiative/" TargetMode="External"/><Relationship Id="rId328" Type="http://schemas.openxmlformats.org/officeDocument/2006/relationships/hyperlink" Target="https://drive.google.com/drive/folders/0B361RU22DTPfS2RYRmRIcWhEWUE" TargetMode="External"/><Relationship Id="rId20" Type="http://schemas.openxmlformats.org/officeDocument/2006/relationships/hyperlink" Target="https://eiti.org/history" TargetMode="External"/><Relationship Id="rId41" Type="http://schemas.openxmlformats.org/officeDocument/2006/relationships/hyperlink" Target="https://assets.publishing.service.gov.uk/government/uploads/system/uploads/attachment_data/file/341528/EITI-candidature-application-form.pdf" TargetMode="External"/><Relationship Id="rId62" Type="http://schemas.openxmlformats.org/officeDocument/2006/relationships/hyperlink" Target="https://www.bgs.ac.uk/mineralsuk/aboutus.html" TargetMode="External"/><Relationship Id="rId83" Type="http://schemas.openxmlformats.org/officeDocument/2006/relationships/hyperlink" Target="https://www.economy-ni.gov.uk/articles/petroleum-licensing" TargetMode="External"/><Relationship Id="rId88" Type="http://schemas.openxmlformats.org/officeDocument/2006/relationships/hyperlink" Target="https://www.ogauthority.co.uk/licensing-consents/licensing-system/licence-assignments/" TargetMode="External"/><Relationship Id="rId111" Type="http://schemas.openxmlformats.org/officeDocument/2006/relationships/hyperlink" Target="https://www.gov.uk/guidance/get-a-licence-for-coal-mining" TargetMode="External"/><Relationship Id="rId132" Type="http://schemas.openxmlformats.org/officeDocument/2006/relationships/hyperlink" Target="https://www.ogauthority.co.uk/data-centre/data-downloads-and-publications/licence-data/" TargetMode="External"/><Relationship Id="rId153" Type="http://schemas.openxmlformats.org/officeDocument/2006/relationships/hyperlink" Target="https://www.gov.uk/government/uploads/system/uploads/attachment_data/file/703223/eiti-2016-crown-mining-quarrying.CSV/preview" TargetMode="External"/><Relationship Id="rId174" Type="http://schemas.openxmlformats.org/officeDocument/2006/relationships/hyperlink" Target="https://www.opengovpartnership.org/sites/default/files/UK%20Open%20Government%20National%20Action%20Plan%202016-18.pdf" TargetMode="External"/><Relationship Id="rId179" Type="http://schemas.openxmlformats.org/officeDocument/2006/relationships/hyperlink" Target="http://www.legislation.gov.uk/ukpga/2015/26/schedule/3/enacted" TargetMode="External"/><Relationship Id="rId195" Type="http://schemas.openxmlformats.org/officeDocument/2006/relationships/hyperlink" Target="https://www.gov.uk/government/statistics/energy-chapter-1-digest-of-united-kingdom-energy-statistics-dukes" TargetMode="External"/><Relationship Id="rId209" Type="http://schemas.openxmlformats.org/officeDocument/2006/relationships/hyperlink" Target="http://www.bmapa.org/downloads/reference.php" TargetMode="External"/><Relationship Id="rId190" Type="http://schemas.openxmlformats.org/officeDocument/2006/relationships/hyperlink" Target="https://openownership.org/uploads/Learning%20the%20lessons%20briefing.pdf" TargetMode="External"/><Relationship Id="rId204" Type="http://schemas.openxmlformats.org/officeDocument/2006/relationships/hyperlink" Target="https://www.economy-ni.gov.uk/topics/minerals-and-petroleum" TargetMode="External"/><Relationship Id="rId220" Type="http://schemas.openxmlformats.org/officeDocument/2006/relationships/hyperlink" Target="https://www.gov.uk/government/collections/building-materials-and-components-monthly-statistics-2012" TargetMode="External"/><Relationship Id="rId225" Type="http://schemas.openxmlformats.org/officeDocument/2006/relationships/hyperlink" Target="https://assets.publishing.service.gov.uk/government/uploads/system/uploads/attachment_data/file/723625/uk-eiti-payments-report-2016-supplementary-information.pdf" TargetMode="External"/><Relationship Id="rId241" Type="http://schemas.openxmlformats.org/officeDocument/2006/relationships/hyperlink" Target="https://www.economy-ni.gov.uk/sites/default/files/publications/economy/dfe-Annual-Report-2017.pdf" TargetMode="External"/><Relationship Id="rId246" Type="http://schemas.openxmlformats.org/officeDocument/2006/relationships/hyperlink" Target="https://www.thecrownestate.co.uk/en-gb/our-business/integrated-annual-report/" TargetMode="External"/><Relationship Id="rId267" Type="http://schemas.openxmlformats.org/officeDocument/2006/relationships/hyperlink" Target="https://assets.publishing.service.gov.uk/government/uploads/system/uploads/attachment_data/file/438681/UK_EITI_Annual_Activity_Report_2014.pdf" TargetMode="External"/><Relationship Id="rId288" Type="http://schemas.openxmlformats.org/officeDocument/2006/relationships/hyperlink" Target="https://beta.companieshouse.gov.uk/" TargetMode="External"/><Relationship Id="rId15" Type="http://schemas.openxmlformats.org/officeDocument/2006/relationships/hyperlink" Target="https://oilandgasuk.co.uk/wp-content/uploads/2019/03/OGUK-Economic-Report-2018.pdf" TargetMode="External"/><Relationship Id="rId36" Type="http://schemas.openxmlformats.org/officeDocument/2006/relationships/hyperlink" Target="http://www.publishwhatyoupay.org/wp-content/uploads/2018/03/UK-EITI-CSN-Membership-Principles-member-list-Mar18.pdf" TargetMode="External"/><Relationship Id="rId57" Type="http://schemas.openxmlformats.org/officeDocument/2006/relationships/hyperlink" Target="https://www.planningni.gov.uk/index/policy/rural_strategy.htm" TargetMode="External"/><Relationship Id="rId106" Type="http://schemas.openxmlformats.org/officeDocument/2006/relationships/hyperlink" Target="https://www.economy-ni.gov.uk/publications/application-mining-licence" TargetMode="External"/><Relationship Id="rId127" Type="http://schemas.openxmlformats.org/officeDocument/2006/relationships/hyperlink" Target="https://www.economy-ni.gov.uk/articles/petroleum-licensing" TargetMode="External"/><Relationship Id="rId262" Type="http://schemas.openxmlformats.org/officeDocument/2006/relationships/hyperlink" Target="https://www.parliament.uk/business/committees/committees-a-z/commons-select/public-accounts-committee/" TargetMode="External"/><Relationship Id="rId283" Type="http://schemas.openxmlformats.org/officeDocument/2006/relationships/hyperlink" Target="https://www.gov.uk/guidance/extractive-industries-transparency-initiative" TargetMode="External"/><Relationship Id="rId313" Type="http://schemas.openxmlformats.org/officeDocument/2006/relationships/hyperlink" Target="https://www.ogauthority.co.uk/news-publications/news/2017/gov-funded-seismic-data-launch/" TargetMode="External"/><Relationship Id="rId318" Type="http://schemas.openxmlformats.org/officeDocument/2006/relationships/hyperlink" Target="https://www.ons.gov.uk/economy/nationalaccounts/balanceofpayments/datasets/publicationtablesuktradecpa08" TargetMode="External"/><Relationship Id="rId10" Type="http://schemas.openxmlformats.org/officeDocument/2006/relationships/hyperlink" Target="https://eiti.org/document/eiti-validation-procedures" TargetMode="External"/><Relationship Id="rId31" Type="http://schemas.openxmlformats.org/officeDocument/2006/relationships/hyperlink" Target="https://freedomhouse.org/report/freedom-press/2017/united-kingdom" TargetMode="External"/><Relationship Id="rId52" Type="http://schemas.openxmlformats.org/officeDocument/2006/relationships/hyperlink" Target="https://www.bgs.ac.uk/mineralsuk/planning/legislation/home.html" TargetMode="External"/><Relationship Id="rId73" Type="http://schemas.openxmlformats.org/officeDocument/2006/relationships/hyperlink" Target="https://www.gov.uk/government/publications/hmrc-annual-report-and-accounts-2016-to-2017" TargetMode="External"/><Relationship Id="rId78" Type="http://schemas.openxmlformats.org/officeDocument/2006/relationships/hyperlink" Target="https://www.gov.uk/government/organisations/latest?organisations%5B%5D=the-coal-authority" TargetMode="External"/><Relationship Id="rId94" Type="http://schemas.openxmlformats.org/officeDocument/2006/relationships/hyperlink" Target="https://www.gov.uk/guidance/minerals" TargetMode="External"/><Relationship Id="rId99" Type="http://schemas.openxmlformats.org/officeDocument/2006/relationships/hyperlink" Target="https://www.gov.uk/topic/planning-development/marine-licences" TargetMode="External"/><Relationship Id="rId101" Type="http://schemas.openxmlformats.org/officeDocument/2006/relationships/hyperlink" Target="https://www.gov.uk/check-marine-licence-register" TargetMode="External"/><Relationship Id="rId122" Type="http://schemas.openxmlformats.org/officeDocument/2006/relationships/hyperlink" Target="https://www.ogauthority.co.uk/licensing-consents/licensing-rounds/" TargetMode="External"/><Relationship Id="rId143" Type="http://schemas.openxmlformats.org/officeDocument/2006/relationships/hyperlink" Target="http://www.marineaggregates.info/downloads-and-links.html" TargetMode="External"/><Relationship Id="rId148" Type="http://schemas.openxmlformats.org/officeDocument/2006/relationships/hyperlink" Target="http://marine.gov.scot/" TargetMode="External"/><Relationship Id="rId164" Type="http://schemas.openxmlformats.org/officeDocument/2006/relationships/hyperlink" Target="https://www.thecrownestate.co.uk/en-gb/our-places/asset-map/" TargetMode="External"/><Relationship Id="rId169" Type="http://schemas.openxmlformats.org/officeDocument/2006/relationships/hyperlink" Target="http://www.thecrownestate.co.uk/en-gb/resources/maps-and-gis-data/" TargetMode="External"/><Relationship Id="rId185" Type="http://schemas.openxmlformats.org/officeDocument/2006/relationships/hyperlink" Target="https://assets.publishing.service.gov.uk/government/uploads/system/uploads/attachment_data/file/703499/uk-eiti-beneficial-ownership-guide-2017.pdf" TargetMode="External"/><Relationship Id="rId4" Type="http://schemas.openxmlformats.org/officeDocument/2006/relationships/hyperlink" Target="http://goxi.org/profiles/blogs/pwyp-walks-out-of-ukeiti-again" TargetMode="External"/><Relationship Id="rId9" Type="http://schemas.openxmlformats.org/officeDocument/2006/relationships/hyperlink" Target="https://eiti.org/document/eiti-validation-guide" TargetMode="External"/><Relationship Id="rId180" Type="http://schemas.openxmlformats.org/officeDocument/2006/relationships/hyperlink" Target="https://eur-lex.europa.eu/legal-content/EN/TXT/PDF/?uri=OJ:JOL_2015_141_R_0003&amp;from=ES" TargetMode="External"/><Relationship Id="rId210" Type="http://schemas.openxmlformats.org/officeDocument/2006/relationships/hyperlink" Target="https://marinelicensing.marinemanagement.org.uk/mmofox5/fox/live/MMO_PUBLIC_REGISTER" TargetMode="External"/><Relationship Id="rId215" Type="http://schemas.openxmlformats.org/officeDocument/2006/relationships/hyperlink" Target="https://www.bgs.ac.uk/downloads/start.cfm?id=3094" TargetMode="External"/><Relationship Id="rId236" Type="http://schemas.openxmlformats.org/officeDocument/2006/relationships/hyperlink" Target="https://assets.publishing.service.gov.uk/government/uploads/system/uploads/attachment_data/file/537373/eiti-aar-2015-final.pdf" TargetMode="External"/><Relationship Id="rId257" Type="http://schemas.openxmlformats.org/officeDocument/2006/relationships/hyperlink" Target="https://www.thecrownestate.co.uk/en-gb/our-business/integrated-annual-report/" TargetMode="External"/><Relationship Id="rId278" Type="http://schemas.openxmlformats.org/officeDocument/2006/relationships/hyperlink" Target="https://assets.publishing.service.gov.uk/government/uploads/system/uploads/attachment_data/file/537373/eiti-aar-2015-final.pdf" TargetMode="External"/><Relationship Id="rId26" Type="http://schemas.openxmlformats.org/officeDocument/2006/relationships/hyperlink" Target="https://www.gov.uk/government/publications/uk-open-government-national-action-plan-2016-18/uk-open-government-national-action-plan-2016-18" TargetMode="External"/><Relationship Id="rId231" Type="http://schemas.openxmlformats.org/officeDocument/2006/relationships/hyperlink" Target="https://www.thecrownestate.co.uk/en-gb/our-business/integrated-annual-report/" TargetMode="External"/><Relationship Id="rId252" Type="http://schemas.openxmlformats.org/officeDocument/2006/relationships/hyperlink" Target="http://www.publishwhatyoupay.org/wp-content/uploads/2018/09/Comparing-UK-EITI-mandatory-data-assessment-report-PWYP-UK-Sept18.pdf" TargetMode="External"/><Relationship Id="rId273" Type="http://schemas.openxmlformats.org/officeDocument/2006/relationships/hyperlink" Target="https://assets.publishing.service.gov.uk/government/uploads/system/uploads/attachment_data/file/445593/uk-extractive-industries-transparency-initiative-multi-stakeholder-group-minutes-27-january-2015.pdf" TargetMode="External"/><Relationship Id="rId294" Type="http://schemas.openxmlformats.org/officeDocument/2006/relationships/hyperlink" Target="https://www.legislation.gov.uk/ukdsi/2014/9780111122235/contents" TargetMode="External"/><Relationship Id="rId308" Type="http://schemas.openxmlformats.org/officeDocument/2006/relationships/hyperlink" Target="https://www.gov.uk/government/collections/digest-of-uk-energy-statistics-dukes" TargetMode="External"/><Relationship Id="rId329" Type="http://schemas.openxmlformats.org/officeDocument/2006/relationships/hyperlink" Target="https://assets.publishing.service.gov.uk/government/uploads/system/uploads/attachment_data/file/720851/uk-eiti-progress-report-2017.pdf" TargetMode="External"/><Relationship Id="rId47" Type="http://schemas.openxmlformats.org/officeDocument/2006/relationships/hyperlink" Target="https://assets.publishing.service.gov.uk/government/uploads/system/uploads/attachment_data/file/720921/uk-eiti-workplan-2018.xlsx" TargetMode="External"/><Relationship Id="rId68" Type="http://schemas.openxmlformats.org/officeDocument/2006/relationships/hyperlink" Target="http://www.legislation.gov.uk/ukpga/1993/34/contents" TargetMode="External"/><Relationship Id="rId89" Type="http://schemas.openxmlformats.org/officeDocument/2006/relationships/hyperlink" Target="https://www.ogauthority.co.uk/licensing-consents/licensing-system/licensee-criteria/" TargetMode="External"/><Relationship Id="rId112" Type="http://schemas.openxmlformats.org/officeDocument/2006/relationships/hyperlink" Target="https://www.gov.uk/government/publications/coal-mining-licence-applications-supporting-documents" TargetMode="External"/><Relationship Id="rId133" Type="http://schemas.openxmlformats.org/officeDocument/2006/relationships/hyperlink" Target="https://www.economy-ni.gov.uk/articles/petroleum-licensing" TargetMode="External"/><Relationship Id="rId154" Type="http://schemas.openxmlformats.org/officeDocument/2006/relationships/hyperlink" Target="http://www.marineaggregates.info/downloads-and-links/regional-dredging-area-charts.html" TargetMode="External"/><Relationship Id="rId175" Type="http://schemas.openxmlformats.org/officeDocument/2006/relationships/hyperlink" Target="https://www.gov.uk/government/publications/open-contracting" TargetMode="External"/><Relationship Id="rId196" Type="http://schemas.openxmlformats.org/officeDocument/2006/relationships/hyperlink" Target="https://www.ogauthority.co.uk/data-centre/interactive-maps-and-tools/" TargetMode="External"/><Relationship Id="rId200" Type="http://schemas.openxmlformats.org/officeDocument/2006/relationships/hyperlink" Target="https://www.economy-ni.gov.uk/articles/minerals-and-petroleum-annual-reports" TargetMode="External"/><Relationship Id="rId16" Type="http://schemas.openxmlformats.org/officeDocument/2006/relationships/hyperlink" Target="https://www.ogauthority.co.uk/media/5391/oga_projections_of_uk_oil_and_gas_production_and_expenditure.pdf" TargetMode="External"/><Relationship Id="rId221" Type="http://schemas.openxmlformats.org/officeDocument/2006/relationships/hyperlink" Target="https://assets.publishing.service.gov.uk/government/uploads/system/uploads/attachment_data/file/723625/uk-eiti-payments-report-2016-supplementary-information.pdf" TargetMode="External"/><Relationship Id="rId242" Type="http://schemas.openxmlformats.org/officeDocument/2006/relationships/hyperlink" Target="https://www.gov.uk/government/collections/petroleum-revenue-tax-prt-and-government-revenues-from-uk-oil-and-gas-production" TargetMode="External"/><Relationship Id="rId263" Type="http://schemas.openxmlformats.org/officeDocument/2006/relationships/hyperlink" Target="https://www.nao.org.uk/search/pi_area/audit-of-financial-statements/" TargetMode="External"/><Relationship Id="rId284" Type="http://schemas.openxmlformats.org/officeDocument/2006/relationships/hyperlink" Target="https://www.nao.org.uk/" TargetMode="External"/><Relationship Id="rId319" Type="http://schemas.openxmlformats.org/officeDocument/2006/relationships/hyperlink" Target="https://www.ons.gov.uk/employmentandlabourmarket/peopleinwork/employmentandemployeetypes/bulletins/uklabourmarket/march2018" TargetMode="External"/><Relationship Id="rId37" Type="http://schemas.openxmlformats.org/officeDocument/2006/relationships/hyperlink" Target="https://www.publishwhatyoupay.org/pwyp-news/civil-society-organisations-withdraw-from-uk-eiti/" TargetMode="External"/><Relationship Id="rId58" Type="http://schemas.openxmlformats.org/officeDocument/2006/relationships/hyperlink" Target="https://www.infrastructure-ni.gov.uk/topics/planning" TargetMode="External"/><Relationship Id="rId79" Type="http://schemas.openxmlformats.org/officeDocument/2006/relationships/hyperlink" Target="https://www.thecrownestate.co.uk/en-gb/what-we-do/on-the-seabed/minerals-dredging/" TargetMode="External"/><Relationship Id="rId102" Type="http://schemas.openxmlformats.org/officeDocument/2006/relationships/hyperlink" Target="https://naturalresources.wales/permits-and-permissions/marine-licensing/?lang=en" TargetMode="External"/><Relationship Id="rId123" Type="http://schemas.openxmlformats.org/officeDocument/2006/relationships/hyperlink" Target="https://www.ogauthority.co.uk/data-centre/data-downloads-and-publications/licence-data/" TargetMode="External"/><Relationship Id="rId144" Type="http://schemas.openxmlformats.org/officeDocument/2006/relationships/hyperlink" Target="https://www.thecrownestate.co.uk/en-gb/what-we-do/on-the-land-and-coast/" TargetMode="External"/><Relationship Id="rId330" Type="http://schemas.openxmlformats.org/officeDocument/2006/relationships/hyperlink" Target="https://assets.publishing.service.gov.uk/government/uploads/system/uploads/attachment_data/file/731918/eiti-msg-systematic-disclosure-study-tor.pdf" TargetMode="External"/><Relationship Id="rId90" Type="http://schemas.openxmlformats.org/officeDocument/2006/relationships/hyperlink" Target="https://www.economy-ni.gov.uk/publications/appendix-financial-capacity" TargetMode="External"/><Relationship Id="rId165" Type="http://schemas.openxmlformats.org/officeDocument/2006/relationships/hyperlink" Target="https://www.economy-ni.gov.uk/sites/default/files/publications/economy/minerals-licence-map.pdf" TargetMode="External"/><Relationship Id="rId186" Type="http://schemas.openxmlformats.org/officeDocument/2006/relationships/hyperlink" Target="https://www.gov.uk/government/publications/guidance-to-the-people-with-significant-control-requirements-for-companies-and-limited-liability-partnerships" TargetMode="External"/><Relationship Id="rId211" Type="http://schemas.openxmlformats.org/officeDocument/2006/relationships/hyperlink" Target="https://naturalresources.wales/permits-and-permissions/marine-licensing/?lang=en" TargetMode="External"/><Relationship Id="rId232" Type="http://schemas.openxmlformats.org/officeDocument/2006/relationships/hyperlink" Target="https://extractives.companieshouse.gov.uk/search?query=c" TargetMode="External"/><Relationship Id="rId253" Type="http://schemas.openxmlformats.org/officeDocument/2006/relationships/hyperlink" Target="https://www.gov.uk/government/collections/petroleum-revenue-tax-prt-and-government-revenues-from-uk-oil-and-gas-production" TargetMode="External"/><Relationship Id="rId274" Type="http://schemas.openxmlformats.org/officeDocument/2006/relationships/hyperlink" Target="https://assets.publishing.service.gov.uk/government/uploads/system/uploads/attachment_data/file/537373/eiti-aar-2015-final.pdf" TargetMode="External"/><Relationship Id="rId295" Type="http://schemas.openxmlformats.org/officeDocument/2006/relationships/hyperlink" Target="https://www.gov.uk/government/topical-events/autumn-budget-2017" TargetMode="External"/><Relationship Id="rId309" Type="http://schemas.openxmlformats.org/officeDocument/2006/relationships/hyperlink" Target="http://shop.bgs.ac.uk/bookshop/subcategory.cfm?series_id=M1210&amp;sort=PRODUCT_TITLE%20ASC&amp;PAGE_NO=1" TargetMode="External"/><Relationship Id="rId27" Type="http://schemas.openxmlformats.org/officeDocument/2006/relationships/hyperlink" Target="https://www.gov.uk/government/groups/uk-extractive-industries-transparency-initiative-multi-stakeholder-group" TargetMode="External"/><Relationship Id="rId48" Type="http://schemas.openxmlformats.org/officeDocument/2006/relationships/hyperlink" Target="http://www.legislation.gov.uk/ukpga/1998/17/contents" TargetMode="External"/><Relationship Id="rId69" Type="http://schemas.openxmlformats.org/officeDocument/2006/relationships/hyperlink" Target="file:///C:/Users/kr51/Downloads/Budget%202016" TargetMode="External"/><Relationship Id="rId113" Type="http://schemas.openxmlformats.org/officeDocument/2006/relationships/hyperlink" Target="https://www.gov.uk/government/publications/coal-mining-licence-applications-supporting-documents" TargetMode="External"/><Relationship Id="rId134" Type="http://schemas.openxmlformats.org/officeDocument/2006/relationships/hyperlink" Target="https://www.ogauthority.co.uk/data-centre/interactive-maps-and-tools/" TargetMode="External"/><Relationship Id="rId320" Type="http://schemas.openxmlformats.org/officeDocument/2006/relationships/hyperlink" Target="https://www.ons.gov.uk/employmentandlabourmarket/peopleinwork/employmentandemployeetypes/datasets/industry235digitsicbusinessregisterandemploymentsurveybrestable2" TargetMode="External"/><Relationship Id="rId80" Type="http://schemas.openxmlformats.org/officeDocument/2006/relationships/hyperlink" Target="https://www.ogauthority.co.uk/data-centre/data-downloads-and-publications/licence-data/" TargetMode="External"/><Relationship Id="rId155" Type="http://schemas.openxmlformats.org/officeDocument/2006/relationships/hyperlink" Target="http://www.thecrownestate.co.uk/energy-minerals-and-infrastructure/aggregates/our-portfolio/" TargetMode="External"/><Relationship Id="rId176" Type="http://schemas.openxmlformats.org/officeDocument/2006/relationships/hyperlink" Target="https://itportal.ogauthority.co.uk/web_files/recent_licences/oglicences.htm" TargetMode="External"/><Relationship Id="rId197" Type="http://schemas.openxmlformats.org/officeDocument/2006/relationships/hyperlink" Target="http://data-ogauthority.opendata.arcgis.com/" TargetMode="External"/><Relationship Id="rId201" Type="http://schemas.openxmlformats.org/officeDocument/2006/relationships/hyperlink" Target="https://oilandgasuk.co.uk/publications-shop/" TargetMode="External"/><Relationship Id="rId222" Type="http://schemas.openxmlformats.org/officeDocument/2006/relationships/hyperlink" Target="https://www.gov.uk/government/collections/digest-of-uk-energy-statistics-dukes" TargetMode="External"/><Relationship Id="rId243" Type="http://schemas.openxmlformats.org/officeDocument/2006/relationships/hyperlink" Target="http://obr.uk/monthly-public-finances-briefing/" TargetMode="External"/><Relationship Id="rId264" Type="http://schemas.openxmlformats.org/officeDocument/2006/relationships/hyperlink" Target="https://www.gov.uk/government/publications/life-of-a-company-annual-requirements/life-of-a-company-part-1-accounts" TargetMode="External"/><Relationship Id="rId285" Type="http://schemas.openxmlformats.org/officeDocument/2006/relationships/hyperlink" Target="https://www.nao.org.uk/report/nao-annual-report-and-accounts-2016-17/" TargetMode="External"/><Relationship Id="rId17" Type="http://schemas.openxmlformats.org/officeDocument/2006/relationships/hyperlink" Target="http://www.bgs.ac.uk/mineralsuk/statistics/UKStatistics.html" TargetMode="External"/><Relationship Id="rId38" Type="http://schemas.openxmlformats.org/officeDocument/2006/relationships/hyperlink" Target="https://www.pwyp.org/wp-content/uploads/2018/09/Comparing-UK-EITI-mandatory-data-assessment-report-PWYP-UK-Sept18.pdf" TargetMode="External"/><Relationship Id="rId59" Type="http://schemas.openxmlformats.org/officeDocument/2006/relationships/hyperlink" Target="https://assets.publishing.service.gov.uk/government/uploads/system/uploads/attachment_data/file/708557/uk-eiti-payments-report-2016.pdf" TargetMode="External"/><Relationship Id="rId103" Type="http://schemas.openxmlformats.org/officeDocument/2006/relationships/hyperlink" Target="http://marine.gov.scot/" TargetMode="External"/><Relationship Id="rId124" Type="http://schemas.openxmlformats.org/officeDocument/2006/relationships/hyperlink" Target="https://www.ogauthority.co.uk/data-centre/data-downloads-and-publications/field-data/" TargetMode="External"/><Relationship Id="rId310" Type="http://schemas.openxmlformats.org/officeDocument/2006/relationships/hyperlink" Target="https://www.gov.uk/government/collections/building-materials-and-components-monthly-statistics-2012" TargetMode="External"/><Relationship Id="rId70" Type="http://schemas.openxmlformats.org/officeDocument/2006/relationships/hyperlink" Target="https://www.gov.uk/topic/oil-and-gas/finance-and-taxation" TargetMode="External"/><Relationship Id="rId91" Type="http://schemas.openxmlformats.org/officeDocument/2006/relationships/hyperlink" Target="https://www.economy-ni.gov.uk/publications/appendix-b-technical-capacity" TargetMode="External"/><Relationship Id="rId145" Type="http://schemas.openxmlformats.org/officeDocument/2006/relationships/hyperlink" Target="http://www.thecrownestate.co.uk/energy-minerals-and-infrastructure/aggregates/our-portfolio/" TargetMode="External"/><Relationship Id="rId166" Type="http://schemas.openxmlformats.org/officeDocument/2006/relationships/hyperlink" Target="https://www.economy-ni.gov.uk/articles/minerals-licensing" TargetMode="External"/><Relationship Id="rId187" Type="http://schemas.openxmlformats.org/officeDocument/2006/relationships/hyperlink" Target="http://download.companieshouse.gov.uk/en_pscdata.html" TargetMode="External"/><Relationship Id="rId331" Type="http://schemas.openxmlformats.org/officeDocument/2006/relationships/hyperlink" Target="http://www.publishwhatyoupay.org/pwyp-news/new-pwyp-uk-study-explores-uk-eiti-mandatory-payments-data-variances/" TargetMode="External"/><Relationship Id="rId1" Type="http://schemas.openxmlformats.org/officeDocument/2006/relationships/hyperlink" Target="https://eiti.org/document/validation-schedule-decisions" TargetMode="External"/><Relationship Id="rId212" Type="http://schemas.openxmlformats.org/officeDocument/2006/relationships/hyperlink" Target="http://www.gov.scot/Topics/marine/Licensing/marine" TargetMode="External"/><Relationship Id="rId233" Type="http://schemas.openxmlformats.org/officeDocument/2006/relationships/hyperlink" Target="https://www.gov.uk/government/groups/uk-extractive-industries-transparency-initiative-multi-stakeholder-group" TargetMode="External"/><Relationship Id="rId254" Type="http://schemas.openxmlformats.org/officeDocument/2006/relationships/hyperlink" Target="http://obr.uk/monthly-public-finances-briefing/" TargetMode="External"/><Relationship Id="rId28" Type="http://schemas.openxmlformats.org/officeDocument/2006/relationships/hyperlink" Target="https://eiti.org/sites/default/files/documents/UK_application.pdf" TargetMode="External"/><Relationship Id="rId49" Type="http://schemas.openxmlformats.org/officeDocument/2006/relationships/hyperlink" Target="http://www.legislation.gov.uk/apni/1964/28/contents" TargetMode="External"/><Relationship Id="rId114" Type="http://schemas.openxmlformats.org/officeDocument/2006/relationships/hyperlink" Target="https://www.gov.uk/government/publications/coal-mining-data-licence-areas" TargetMode="External"/><Relationship Id="rId275" Type="http://schemas.openxmlformats.org/officeDocument/2006/relationships/hyperlink" Target="https://assets.publishing.service.gov.uk/government/uploads/system/uploads/attachment_data/file/445593/uk-extractive-industries-transparency-initiative-multi-stakeholder-group-minutes-27-january-2015.pdf" TargetMode="External"/><Relationship Id="rId296" Type="http://schemas.openxmlformats.org/officeDocument/2006/relationships/hyperlink" Target="https://www.ogauthority.co.uk/news-publications/publications/2017/oga-annual-report-and-accounts-2016-17/" TargetMode="External"/><Relationship Id="rId300" Type="http://schemas.openxmlformats.org/officeDocument/2006/relationships/hyperlink" Target="https://www.ons.gov.uk/peoplepopulationandcommunity/populationandmigration/populationestimates" TargetMode="External"/><Relationship Id="rId60" Type="http://schemas.openxmlformats.org/officeDocument/2006/relationships/hyperlink" Target="https://www.ogauthority.co.uk/about-us/" TargetMode="External"/><Relationship Id="rId81" Type="http://schemas.openxmlformats.org/officeDocument/2006/relationships/hyperlink" Target="https://www.ogauthority.co.uk/licensing-consents/licensing-system/licensee-criteria/" TargetMode="External"/><Relationship Id="rId135" Type="http://schemas.openxmlformats.org/officeDocument/2006/relationships/hyperlink" Target="https://www.economy-ni.gov.uk/sites/default/files/publications/deti/infrastrata-ecorp-pl1-10-original-licence-document.pdf" TargetMode="External"/><Relationship Id="rId156" Type="http://schemas.openxmlformats.org/officeDocument/2006/relationships/hyperlink" Target="http://www.thecrownestate.co.uk/energy-minerals-and-infrastructure/downloads/marine-aggregate-downloads/" TargetMode="External"/><Relationship Id="rId177" Type="http://schemas.openxmlformats.org/officeDocument/2006/relationships/hyperlink" Target="https://www.thecrownestate.co.uk/" TargetMode="External"/><Relationship Id="rId198" Type="http://schemas.openxmlformats.org/officeDocument/2006/relationships/hyperlink" Target="https://www.ogauthority.co.uk/data-centre/" TargetMode="External"/><Relationship Id="rId321" Type="http://schemas.openxmlformats.org/officeDocument/2006/relationships/hyperlink" Target="https://www.ogauthority.co.uk/data-centre/interactive-maps-and-tools/" TargetMode="External"/><Relationship Id="rId202" Type="http://schemas.openxmlformats.org/officeDocument/2006/relationships/hyperlink" Target="http://shop.bgs.ac.uk/bookshop/catalogue.cfm?id=5" TargetMode="External"/><Relationship Id="rId223" Type="http://schemas.openxmlformats.org/officeDocument/2006/relationships/hyperlink" Target="https://www.bgs.ac.uk/downloads/start.cfm?id=3094" TargetMode="External"/><Relationship Id="rId244" Type="http://schemas.openxmlformats.org/officeDocument/2006/relationships/hyperlink" Target="https://www.ogauthority.co.uk/news-publications/publications/2017/oga-annual-report-and-accounts-2016-17/" TargetMode="External"/><Relationship Id="rId18" Type="http://schemas.openxmlformats.org/officeDocument/2006/relationships/hyperlink" Target="http://www.worldcoal.org/pages/content/index.asp?PageID=404" TargetMode="External"/><Relationship Id="rId39" Type="http://schemas.openxmlformats.org/officeDocument/2006/relationships/hyperlink" Target="http://goxi.org/profiles/blogs/pwyp-walks-out-of-ukeiti-again" TargetMode="External"/><Relationship Id="rId265" Type="http://schemas.openxmlformats.org/officeDocument/2006/relationships/hyperlink" Target="https://beta.companieshouse.gov.uk/" TargetMode="External"/><Relationship Id="rId286" Type="http://schemas.openxmlformats.org/officeDocument/2006/relationships/hyperlink" Target="https://www.nao.org.uk/report/her-majestys-revenue-customs-annual-report-and-accounts-2016-17/" TargetMode="External"/><Relationship Id="rId50" Type="http://schemas.openxmlformats.org/officeDocument/2006/relationships/hyperlink" Target="https://www.legislation.gov.uk/apni/1969/35" TargetMode="External"/><Relationship Id="rId104" Type="http://schemas.openxmlformats.org/officeDocument/2006/relationships/hyperlink" Target="https://www.daera-ni.gov.uk/articles/marine-licensing" TargetMode="External"/><Relationship Id="rId125" Type="http://schemas.openxmlformats.org/officeDocument/2006/relationships/hyperlink" Target="https://www.ogauthority.co.uk/data-centre/interactive-maps-and-tools/" TargetMode="External"/><Relationship Id="rId146" Type="http://schemas.openxmlformats.org/officeDocument/2006/relationships/hyperlink" Target="https://www.gov.uk/check-marine-licence-register" TargetMode="External"/><Relationship Id="rId167" Type="http://schemas.openxmlformats.org/officeDocument/2006/relationships/hyperlink" Target="https://www.gov.uk/check-if-property-is-affected-by-coal-mining" TargetMode="External"/><Relationship Id="rId188" Type="http://schemas.openxmlformats.org/officeDocument/2006/relationships/hyperlink" Target="https://beta.companieshouse.gov.uk/" TargetMode="External"/><Relationship Id="rId311" Type="http://schemas.openxmlformats.org/officeDocument/2006/relationships/hyperlink" Target="https://www.local.gov.uk/pas/pas-topics/infrastructure/s106-obligations-overview" TargetMode="External"/><Relationship Id="rId71" Type="http://schemas.openxmlformats.org/officeDocument/2006/relationships/hyperlink" Target="https://www.gov.uk/government/organisations/the-coal-authority/about-our-services" TargetMode="External"/><Relationship Id="rId92" Type="http://schemas.openxmlformats.org/officeDocument/2006/relationships/hyperlink" Target="https://www.economy-ni.gov.uk/sites/default/files/publications/deti/petroleum-licensing-in-ni--guidance-for-applicants.pdf" TargetMode="External"/><Relationship Id="rId213" Type="http://schemas.openxmlformats.org/officeDocument/2006/relationships/hyperlink" Target="https://www.daera-ni.gov.uk/topics/marine/marine-licensing-and-permits" TargetMode="External"/><Relationship Id="rId234" Type="http://schemas.openxmlformats.org/officeDocument/2006/relationships/hyperlink" Target="https://eiti.org/sites/default/files/documents/UK_application.pdf" TargetMode="External"/><Relationship Id="rId2" Type="http://schemas.openxmlformats.org/officeDocument/2006/relationships/hyperlink" Target="https://www.economist.com/business/2016/02/25/flare-up" TargetMode="External"/><Relationship Id="rId29" Type="http://schemas.openxmlformats.org/officeDocument/2006/relationships/hyperlink" Target="https://www.publishwhatyoupay.org/pwyp-news/civil-society-organisations-withdraw-from-uk-eiti/" TargetMode="External"/><Relationship Id="rId255" Type="http://schemas.openxmlformats.org/officeDocument/2006/relationships/hyperlink" Target="https://www.ogauthority.co.uk/news-publications/publications/2017/oga-annual-report-and-accounts-2016-17/" TargetMode="External"/><Relationship Id="rId276" Type="http://schemas.openxmlformats.org/officeDocument/2006/relationships/hyperlink" Target="https://assets.publishing.service.gov.uk/government/uploads/system/uploads/attachment_data/file/445593/uk-extractive-industries-transparency-initiative-multi-stakeholder-group-minutes-27-january-2015.pdf" TargetMode="External"/><Relationship Id="rId297" Type="http://schemas.openxmlformats.org/officeDocument/2006/relationships/hyperlink" Target="https://www.ons.gov.uk/economy/governmentpublicsectorandtaxes/publicsectorfinance/articles/lookingaheaddevelopmentsinpublicsectorfinancestatistics/2018/pdf" TargetMode="External"/><Relationship Id="rId40" Type="http://schemas.openxmlformats.org/officeDocument/2006/relationships/hyperlink" Target="http://goxi.org/profiles/blogs/uk-eiti-msg-working-to-become-less-male-less-white-less-dominated" TargetMode="External"/><Relationship Id="rId115" Type="http://schemas.openxmlformats.org/officeDocument/2006/relationships/hyperlink" Target="https://www.gov.uk/topic/coal/permits-licences" TargetMode="External"/><Relationship Id="rId136" Type="http://schemas.openxmlformats.org/officeDocument/2006/relationships/hyperlink" Target="https://www.ogauthority.co.uk/data-centre/data-downloads-and-publications/licence-data/" TargetMode="External"/><Relationship Id="rId157" Type="http://schemas.openxmlformats.org/officeDocument/2006/relationships/hyperlink" Target="http://www.thecrownestate.co.uk/energy-minerals-and-infrastructure/minerals-potash/" TargetMode="External"/><Relationship Id="rId178" Type="http://schemas.openxmlformats.org/officeDocument/2006/relationships/hyperlink" Target="https://www.economy-ni.gov.uk/articles/minerals-licensing" TargetMode="External"/><Relationship Id="rId301" Type="http://schemas.openxmlformats.org/officeDocument/2006/relationships/hyperlink" Target="https://www.ogauthority.co.uk/news-publications/publications/2017/oga-annual-report-and-accounts-2016-17/" TargetMode="External"/><Relationship Id="rId322" Type="http://schemas.openxmlformats.org/officeDocument/2006/relationships/hyperlink" Target="http://www.bgs.ac.uk/mineralsuk/maps/maps.html" TargetMode="External"/><Relationship Id="rId61" Type="http://schemas.openxmlformats.org/officeDocument/2006/relationships/hyperlink" Target="https://www.economy-ni.gov.uk/topics/minerals-and-petroleum" TargetMode="External"/><Relationship Id="rId82" Type="http://schemas.openxmlformats.org/officeDocument/2006/relationships/hyperlink" Target="https://www.ogauthority.co.uk/licensing-consents/licensing-rounds/offshore-licensing-rounds" TargetMode="External"/><Relationship Id="rId199" Type="http://schemas.openxmlformats.org/officeDocument/2006/relationships/hyperlink" Target="https://www.economy-ni.gov.uk/articles/petroleum-licensing" TargetMode="External"/><Relationship Id="rId203" Type="http://schemas.openxmlformats.org/officeDocument/2006/relationships/hyperlink" Target="http://www.bgs.ac.uk/mineralsuk/planning/mineralPlanningFactsheets.html" TargetMode="External"/><Relationship Id="rId19" Type="http://schemas.openxmlformats.org/officeDocument/2006/relationships/hyperlink" Target="https://eiti.org/validation" TargetMode="External"/><Relationship Id="rId224" Type="http://schemas.openxmlformats.org/officeDocument/2006/relationships/hyperlink" Target="https://www.gov.uk/government/collections/building-materials-and-components-monthly-statistics-2012" TargetMode="External"/><Relationship Id="rId245" Type="http://schemas.openxmlformats.org/officeDocument/2006/relationships/hyperlink" Target="https://www.gov.uk/government/publications/coal-authority-annual-report-and-accounts-2016-to-2017" TargetMode="External"/><Relationship Id="rId266" Type="http://schemas.openxmlformats.org/officeDocument/2006/relationships/hyperlink" Target="https://eiti.org/sites/default/files/documents/UK_application.pdf" TargetMode="External"/><Relationship Id="rId287" Type="http://schemas.openxmlformats.org/officeDocument/2006/relationships/hyperlink" Target="https://extractives.companieshouse.gov.uk/search?query=c" TargetMode="External"/><Relationship Id="rId30" Type="http://schemas.openxmlformats.org/officeDocument/2006/relationships/hyperlink" Target="https://freedomhouse.org/report/freedom-world/2018/united-kingdom" TargetMode="External"/><Relationship Id="rId105" Type="http://schemas.openxmlformats.org/officeDocument/2006/relationships/hyperlink" Target="https://www.thecrownestate.co.uk/en-gb/what-we-do/on-the-land-and-coast/" TargetMode="External"/><Relationship Id="rId126" Type="http://schemas.openxmlformats.org/officeDocument/2006/relationships/hyperlink" Target="https://www.ogauthority.co.uk/data-centre/" TargetMode="External"/><Relationship Id="rId147" Type="http://schemas.openxmlformats.org/officeDocument/2006/relationships/hyperlink" Target="https://naturalresources.wales/permits-and-permissions/marine-licensing/?lang=en" TargetMode="External"/><Relationship Id="rId168" Type="http://schemas.openxmlformats.org/officeDocument/2006/relationships/hyperlink" Target="https://www.gov.uk/government/organisations/the-coal-authority" TargetMode="External"/><Relationship Id="rId312" Type="http://schemas.openxmlformats.org/officeDocument/2006/relationships/hyperlink" Target="https://www.lichfielddc.gov.uk/Council/Planning/The-local-plan-and-planning-policy/Planning-obligations/Section-106.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DACE739233BB499185E9201691D117" ma:contentTypeVersion="45" ma:contentTypeDescription="Create a new document." ma:contentTypeScope="" ma:versionID="20182d0dbdd215c1e09bd485ed6324dc">
  <xsd:schema xmlns:xsd="http://www.w3.org/2001/XMLSchema" xmlns:xs="http://www.w3.org/2001/XMLSchema" xmlns:p="http://schemas.microsoft.com/office/2006/metadata/properties" targetNamespace="http://schemas.microsoft.com/office/2006/metadata/properties" ma:root="true" ma:fieldsID="074b5a4020cc0417531245af4bd946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b:Source>
    <b:Tag>MSI</b:Tag>
    <b:SourceType>DocumentFromInternetSite</b:SourceType>
    <b:Guid>{6318B42E-FE54-AC46-827A-5D1A3C40926F}</b:Guid>
    <b:Title>Nigeria spreadsheet</b:Title>
    <b:Author>
      <b:Author>
        <b:Corporate>MSI Integrity</b:Corporate>
      </b:Author>
    </b:Author>
    <b:RefOrder>1</b:RefOrder>
  </b:Source>
  <b:Source>
    <b:Tag>EIT16</b:Tag>
    <b:SourceType>DocumentFromInternetSite</b:SourceType>
    <b:Guid>{C763165C-CB3E-CF41-962C-04F9D6AFC953}</b:Guid>
    <b:Title>EITI - About us - Secretariat</b:Title>
    <b:Year>2016</b:Year>
    <b:Author>
      <b:Author>
        <b:Corporate>EITI</b:Corporate>
      </b:Author>
    </b:Author>
    <b:InternetSiteTitle>EITI.org</b:InternetSiteTitle>
    <b:URL>https://eiti.org/about/Secretariat</b:URL>
    <b:Month>10</b:Month>
    <b:Day>06</b:Day>
    <b:RefOrder>2</b:RefOrder>
  </b:Source>
</b:Sources>
</file>

<file path=customXml/itemProps1.xml><?xml version="1.0" encoding="utf-8"?>
<ds:datastoreItem xmlns:ds="http://schemas.openxmlformats.org/officeDocument/2006/customXml" ds:itemID="{81FC52CC-9915-4DFA-BA63-F458D6173D0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3DD25E8-4C60-4792-B8CC-6B55FEB6ABCD}">
  <ds:schemaRefs>
    <ds:schemaRef ds:uri="http://schemas.microsoft.com/sharepoint/v3/contenttype/forms"/>
  </ds:schemaRefs>
</ds:datastoreItem>
</file>

<file path=customXml/itemProps3.xml><?xml version="1.0" encoding="utf-8"?>
<ds:datastoreItem xmlns:ds="http://schemas.openxmlformats.org/officeDocument/2006/customXml" ds:itemID="{6775DC84-A58E-464E-B32D-F1D585FFE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BFD7CA5-FDA1-48BA-85AD-EE04C4176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142</Pages>
  <Words>52472</Words>
  <Characters>299094</Characters>
  <Application>Microsoft Office Word</Application>
  <DocSecurity>0</DocSecurity>
  <Lines>2492</Lines>
  <Paragraphs>701</Paragraphs>
  <ScaleCrop>false</ScaleCrop>
  <HeadingPairs>
    <vt:vector size="2" baseType="variant">
      <vt:variant>
        <vt:lpstr>Title</vt:lpstr>
      </vt:variant>
      <vt:variant>
        <vt:i4>1</vt:i4>
      </vt:variant>
    </vt:vector>
  </HeadingPairs>
  <TitlesOfParts>
    <vt:vector size="1" baseType="lpstr">
      <vt:lpstr/>
    </vt:vector>
  </TitlesOfParts>
  <Company>Auswärtiges Amt</Company>
  <LinksUpToDate>false</LinksUpToDate>
  <CharactersWithSpaces>350865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EITI International Secretariat</dc:creator>
  <cp:keywords/>
  <cp:lastModifiedBy>Nash, Michael (Business Frameworks)</cp:lastModifiedBy>
  <cp:revision>2</cp:revision>
  <cp:lastPrinted>2017-06-19T12:50:00Z</cp:lastPrinted>
  <dcterms:created xsi:type="dcterms:W3CDTF">2020-03-19T15:56:00Z</dcterms:created>
  <dcterms:modified xsi:type="dcterms:W3CDTF">2020-03-19T15:56:00Z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0x0101004FDACE739233BB499185E9201691D117</vt:lpwstr>
  </property>
  <property fmtid="{D5CDD505-2E9C-101B-9397-08002B2CF9AE}" pid="3" name="MSIP_Label_ba62f585-b40f-4ab9-bafe-39150f03d124_Enabled">
    <vt:lpwstr>true</vt:lpwstr>
  </property>
  <property fmtid="{D5CDD505-2E9C-101B-9397-08002B2CF9AE}" pid="4" name="MSIP_Label_ba62f585-b40f-4ab9-bafe-39150f03d124_SetDate">
    <vt:lpwstr>2020-03-19T15:56:47Z</vt:lpwstr>
  </property>
  <property fmtid="{D5CDD505-2E9C-101B-9397-08002B2CF9AE}" pid="5" name="MSIP_Label_ba62f585-b40f-4ab9-bafe-39150f03d124_Method">
    <vt:lpwstr>Standard</vt:lpwstr>
  </property>
  <property fmtid="{D5CDD505-2E9C-101B-9397-08002B2CF9AE}" pid="6" name="MSIP_Label_ba62f585-b40f-4ab9-bafe-39150f03d124_Name">
    <vt:lpwstr>OFFICIAL</vt:lpwstr>
  </property>
  <property fmtid="{D5CDD505-2E9C-101B-9397-08002B2CF9AE}" pid="7" name="MSIP_Label_ba62f585-b40f-4ab9-bafe-39150f03d124_SiteId">
    <vt:lpwstr>cbac7005-02c1-43eb-b497-e6492d1b2dd8</vt:lpwstr>
  </property>
  <property fmtid="{D5CDD505-2E9C-101B-9397-08002B2CF9AE}" pid="8" name="MSIP_Label_ba62f585-b40f-4ab9-bafe-39150f03d124_ActionId">
    <vt:lpwstr>0c4e03c6-3290-42a1-9e08-0000a87f69a7</vt:lpwstr>
  </property>
  <property fmtid="{D5CDD505-2E9C-101B-9397-08002B2CF9AE}" pid="9" name="MSIP_Label_ba62f585-b40f-4ab9-bafe-39150f03d124_ContentBits">
    <vt:lpwstr>0</vt:lpwstr>
  </property>
</Properties>
</file>