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16F6" w14:textId="5B546593" w:rsidR="00315376" w:rsidRPr="00F30B46" w:rsidRDefault="00315376" w:rsidP="00315376">
      <w:pPr>
        <w:rPr>
          <w:b/>
          <w:sz w:val="24"/>
          <w:szCs w:val="24"/>
          <w:u w:val="single"/>
        </w:rPr>
      </w:pPr>
      <w:r w:rsidRPr="00F30B46">
        <w:rPr>
          <w:b/>
          <w:sz w:val="24"/>
          <w:szCs w:val="24"/>
          <w:u w:val="single"/>
        </w:rPr>
        <w:t xml:space="preserve">Reconciliation subgroup meeting, </w:t>
      </w:r>
      <w:r>
        <w:rPr>
          <w:b/>
          <w:sz w:val="24"/>
          <w:szCs w:val="24"/>
          <w:u w:val="single"/>
        </w:rPr>
        <w:t>Thurs</w:t>
      </w:r>
      <w:r w:rsidRPr="00F30B46">
        <w:rPr>
          <w:b/>
          <w:sz w:val="24"/>
          <w:szCs w:val="24"/>
          <w:u w:val="single"/>
        </w:rPr>
        <w:t>day</w:t>
      </w:r>
      <w:r>
        <w:rPr>
          <w:b/>
          <w:sz w:val="24"/>
          <w:szCs w:val="24"/>
          <w:u w:val="single"/>
        </w:rPr>
        <w:t xml:space="preserve"> </w:t>
      </w:r>
      <w:r w:rsidR="009E6AA3">
        <w:rPr>
          <w:b/>
          <w:sz w:val="24"/>
          <w:szCs w:val="24"/>
          <w:u w:val="single"/>
        </w:rPr>
        <w:t>15</w:t>
      </w:r>
      <w:r w:rsidR="009E6AA3" w:rsidRPr="009E6AA3">
        <w:rPr>
          <w:b/>
          <w:sz w:val="24"/>
          <w:szCs w:val="24"/>
          <w:u w:val="single"/>
          <w:vertAlign w:val="superscript"/>
        </w:rPr>
        <w:t>th</w:t>
      </w:r>
      <w:r w:rsidR="009E6AA3">
        <w:rPr>
          <w:b/>
          <w:sz w:val="24"/>
          <w:szCs w:val="24"/>
          <w:u w:val="single"/>
        </w:rPr>
        <w:t xml:space="preserve"> </w:t>
      </w:r>
      <w:r>
        <w:rPr>
          <w:b/>
          <w:sz w:val="24"/>
          <w:szCs w:val="24"/>
          <w:u w:val="single"/>
        </w:rPr>
        <w:t>February 2024</w:t>
      </w:r>
      <w:r w:rsidRPr="00F30B46">
        <w:rPr>
          <w:b/>
          <w:sz w:val="24"/>
          <w:szCs w:val="24"/>
          <w:u w:val="single"/>
        </w:rPr>
        <w:t xml:space="preserve"> via Microsoft Teams Attendees:</w:t>
      </w:r>
    </w:p>
    <w:p w14:paraId="719E545F" w14:textId="13AE5695" w:rsidR="00D34712" w:rsidRDefault="00A1160D" w:rsidP="00315376">
      <w:pPr>
        <w:rPr>
          <w:sz w:val="24"/>
          <w:szCs w:val="24"/>
        </w:rPr>
      </w:pPr>
      <w:r>
        <w:rPr>
          <w:sz w:val="24"/>
          <w:szCs w:val="24"/>
        </w:rPr>
        <w:t>L</w:t>
      </w:r>
      <w:r w:rsidR="00315376">
        <w:rPr>
          <w:sz w:val="24"/>
          <w:szCs w:val="24"/>
        </w:rPr>
        <w:t>eo Kellaway</w:t>
      </w:r>
      <w:r w:rsidR="00315376" w:rsidRPr="00F30B46">
        <w:rPr>
          <w:sz w:val="24"/>
          <w:szCs w:val="24"/>
        </w:rPr>
        <w:t xml:space="preserve"> (Chair)</w:t>
      </w:r>
      <w:r w:rsidR="00315376" w:rsidRPr="00F30B46">
        <w:rPr>
          <w:sz w:val="24"/>
          <w:szCs w:val="24"/>
        </w:rPr>
        <w:tab/>
      </w:r>
      <w:r w:rsidR="00315376" w:rsidRPr="00F30B46">
        <w:rPr>
          <w:sz w:val="24"/>
          <w:szCs w:val="24"/>
        </w:rPr>
        <w:tab/>
        <w:t xml:space="preserve">Mike Earp </w:t>
      </w:r>
      <w:r w:rsidR="00315376" w:rsidRPr="00F30B46">
        <w:rPr>
          <w:sz w:val="24"/>
          <w:szCs w:val="24"/>
        </w:rPr>
        <w:tab/>
      </w:r>
      <w:r w:rsidR="00315376" w:rsidRPr="00F30B46">
        <w:rPr>
          <w:sz w:val="24"/>
          <w:szCs w:val="24"/>
        </w:rPr>
        <w:tab/>
      </w:r>
      <w:r w:rsidR="009F2239">
        <w:rPr>
          <w:sz w:val="24"/>
          <w:szCs w:val="24"/>
        </w:rPr>
        <w:tab/>
      </w:r>
      <w:r w:rsidR="00315376">
        <w:rPr>
          <w:sz w:val="24"/>
          <w:szCs w:val="24"/>
        </w:rPr>
        <w:t>Pat Foster</w:t>
      </w:r>
      <w:r w:rsidR="00315376">
        <w:rPr>
          <w:sz w:val="24"/>
          <w:szCs w:val="24"/>
        </w:rPr>
        <w:tab/>
      </w:r>
      <w:r w:rsidR="00315376">
        <w:rPr>
          <w:sz w:val="24"/>
          <w:szCs w:val="24"/>
        </w:rPr>
        <w:tab/>
      </w:r>
    </w:p>
    <w:p w14:paraId="5E7AE040" w14:textId="0AA06967" w:rsidR="00315376" w:rsidRDefault="00315376" w:rsidP="00315376">
      <w:pPr>
        <w:rPr>
          <w:sz w:val="24"/>
          <w:szCs w:val="24"/>
        </w:rPr>
      </w:pPr>
      <w:r w:rsidRPr="00F30B46">
        <w:rPr>
          <w:sz w:val="24"/>
          <w:szCs w:val="24"/>
        </w:rPr>
        <w:t>Hedi Zaghouani</w:t>
      </w:r>
      <w:r>
        <w:rPr>
          <w:sz w:val="24"/>
          <w:szCs w:val="24"/>
        </w:rPr>
        <w:tab/>
      </w:r>
      <w:r>
        <w:rPr>
          <w:sz w:val="24"/>
          <w:szCs w:val="24"/>
        </w:rPr>
        <w:tab/>
        <w:t xml:space="preserve"> </w:t>
      </w:r>
      <w:r w:rsidR="009E6AA3">
        <w:rPr>
          <w:sz w:val="24"/>
          <w:szCs w:val="24"/>
        </w:rPr>
        <w:t>Mark Henderson</w:t>
      </w:r>
      <w:r w:rsidR="009E6AA3">
        <w:rPr>
          <w:sz w:val="24"/>
          <w:szCs w:val="24"/>
        </w:rPr>
        <w:tab/>
      </w:r>
      <w:r w:rsidR="009E6AA3">
        <w:rPr>
          <w:sz w:val="24"/>
          <w:szCs w:val="24"/>
        </w:rPr>
        <w:tab/>
      </w:r>
      <w:r w:rsidRPr="00F30B46">
        <w:rPr>
          <w:sz w:val="24"/>
          <w:szCs w:val="24"/>
        </w:rPr>
        <w:t>Mike Nash</w:t>
      </w:r>
    </w:p>
    <w:p w14:paraId="2AF9DCEE" w14:textId="58E8A6DD" w:rsidR="00315376" w:rsidRDefault="00315376" w:rsidP="00315376">
      <w:pPr>
        <w:rPr>
          <w:b/>
          <w:bCs/>
          <w:sz w:val="24"/>
          <w:szCs w:val="24"/>
          <w:u w:val="single"/>
        </w:rPr>
      </w:pPr>
      <w:r>
        <w:rPr>
          <w:b/>
          <w:bCs/>
          <w:sz w:val="24"/>
          <w:szCs w:val="24"/>
          <w:u w:val="single"/>
        </w:rPr>
        <w:t>U</w:t>
      </w:r>
      <w:r w:rsidR="00CD6C7E">
        <w:rPr>
          <w:b/>
          <w:bCs/>
          <w:sz w:val="24"/>
          <w:szCs w:val="24"/>
          <w:u w:val="single"/>
        </w:rPr>
        <w:t>pdates on actions from the last meeting</w:t>
      </w:r>
    </w:p>
    <w:p w14:paraId="40D5C417" w14:textId="6DDD6353" w:rsidR="00011B54" w:rsidRDefault="00011B54" w:rsidP="00011B54">
      <w:pPr>
        <w:pStyle w:val="ListParagraph"/>
        <w:numPr>
          <w:ilvl w:val="0"/>
          <w:numId w:val="3"/>
        </w:numPr>
        <w:rPr>
          <w:b/>
          <w:bCs/>
          <w:sz w:val="24"/>
          <w:szCs w:val="24"/>
        </w:rPr>
      </w:pPr>
      <w:r>
        <w:rPr>
          <w:sz w:val="24"/>
          <w:szCs w:val="24"/>
        </w:rPr>
        <w:t xml:space="preserve">BDO and the UK Secretariat met separately to update both the guidance and templates in time for the meeting. </w:t>
      </w:r>
    </w:p>
    <w:p w14:paraId="1231E230" w14:textId="1E977651" w:rsidR="00FF5B4E" w:rsidRDefault="00FF5B4E" w:rsidP="00011B54">
      <w:pPr>
        <w:pStyle w:val="ListParagraph"/>
        <w:numPr>
          <w:ilvl w:val="0"/>
          <w:numId w:val="3"/>
        </w:numPr>
        <w:rPr>
          <w:b/>
          <w:bCs/>
          <w:sz w:val="24"/>
          <w:szCs w:val="24"/>
        </w:rPr>
      </w:pPr>
      <w:r>
        <w:rPr>
          <w:sz w:val="24"/>
          <w:szCs w:val="24"/>
        </w:rPr>
        <w:t xml:space="preserve">Mike Earp provided </w:t>
      </w:r>
      <w:r w:rsidR="00C1484C">
        <w:rPr>
          <w:sz w:val="24"/>
          <w:szCs w:val="24"/>
        </w:rPr>
        <w:t xml:space="preserve">a number of responses to </w:t>
      </w:r>
      <w:r w:rsidR="00006DF8">
        <w:rPr>
          <w:sz w:val="24"/>
          <w:szCs w:val="24"/>
        </w:rPr>
        <w:t>the requirements</w:t>
      </w:r>
      <w:r w:rsidR="00EF0B9D">
        <w:rPr>
          <w:sz w:val="24"/>
          <w:szCs w:val="24"/>
        </w:rPr>
        <w:t xml:space="preserve">, </w:t>
      </w:r>
      <w:r w:rsidR="00C1484C">
        <w:rPr>
          <w:sz w:val="24"/>
          <w:szCs w:val="24"/>
        </w:rPr>
        <w:t>expectations and encouragements on behalf of the NSTA</w:t>
      </w:r>
      <w:r w:rsidR="00813FD9">
        <w:rPr>
          <w:sz w:val="24"/>
          <w:szCs w:val="24"/>
        </w:rPr>
        <w:t xml:space="preserve"> (see below)</w:t>
      </w:r>
      <w:r w:rsidR="00C1484C">
        <w:rPr>
          <w:sz w:val="24"/>
          <w:szCs w:val="24"/>
        </w:rPr>
        <w:t>.</w:t>
      </w:r>
    </w:p>
    <w:p w14:paraId="32D9892B" w14:textId="66FF7104" w:rsidR="003071FB" w:rsidRDefault="008C7D33" w:rsidP="00315376">
      <w:pPr>
        <w:rPr>
          <w:b/>
          <w:bCs/>
          <w:sz w:val="24"/>
          <w:szCs w:val="24"/>
          <w:u w:val="single"/>
        </w:rPr>
      </w:pPr>
      <w:r>
        <w:rPr>
          <w:b/>
          <w:bCs/>
          <w:sz w:val="24"/>
          <w:szCs w:val="24"/>
          <w:u w:val="single"/>
        </w:rPr>
        <w:t>Updates of g</w:t>
      </w:r>
      <w:r w:rsidR="003071FB">
        <w:rPr>
          <w:b/>
          <w:bCs/>
          <w:sz w:val="24"/>
          <w:szCs w:val="24"/>
          <w:u w:val="single"/>
        </w:rPr>
        <w:t>uidance and templates</w:t>
      </w:r>
    </w:p>
    <w:p w14:paraId="697E43D4" w14:textId="5B842219" w:rsidR="00EF0B9D" w:rsidRDefault="00E9226B" w:rsidP="00E9226B">
      <w:pPr>
        <w:rPr>
          <w:sz w:val="24"/>
          <w:szCs w:val="24"/>
        </w:rPr>
      </w:pPr>
      <w:r w:rsidRPr="00E9226B">
        <w:rPr>
          <w:sz w:val="24"/>
          <w:szCs w:val="24"/>
        </w:rPr>
        <w:t xml:space="preserve">BDO have </w:t>
      </w:r>
      <w:r w:rsidR="00123D8E">
        <w:rPr>
          <w:sz w:val="24"/>
          <w:szCs w:val="24"/>
        </w:rPr>
        <w:t xml:space="preserve">updated </w:t>
      </w:r>
      <w:r w:rsidRPr="00E9226B">
        <w:rPr>
          <w:sz w:val="24"/>
          <w:szCs w:val="24"/>
        </w:rPr>
        <w:t>the templates and guidance</w:t>
      </w:r>
      <w:r w:rsidR="00483FA5">
        <w:rPr>
          <w:sz w:val="24"/>
          <w:szCs w:val="24"/>
        </w:rPr>
        <w:t xml:space="preserve"> </w:t>
      </w:r>
      <w:r w:rsidR="00123D8E">
        <w:rPr>
          <w:sz w:val="24"/>
          <w:szCs w:val="24"/>
        </w:rPr>
        <w:t xml:space="preserve">to reflect </w:t>
      </w:r>
      <w:r w:rsidR="00483FA5">
        <w:rPr>
          <w:sz w:val="24"/>
          <w:szCs w:val="24"/>
        </w:rPr>
        <w:t>the following</w:t>
      </w:r>
      <w:r w:rsidRPr="00E9226B">
        <w:rPr>
          <w:sz w:val="24"/>
          <w:szCs w:val="24"/>
        </w:rPr>
        <w:t>:</w:t>
      </w:r>
    </w:p>
    <w:p w14:paraId="6AF5EFFC" w14:textId="5E1630BB" w:rsidR="00E9226B" w:rsidRDefault="000C0FFD" w:rsidP="00E9226B">
      <w:pPr>
        <w:pStyle w:val="ListParagraph"/>
        <w:numPr>
          <w:ilvl w:val="0"/>
          <w:numId w:val="6"/>
        </w:numPr>
        <w:rPr>
          <w:sz w:val="24"/>
          <w:szCs w:val="24"/>
        </w:rPr>
      </w:pPr>
      <w:r>
        <w:rPr>
          <w:sz w:val="24"/>
          <w:szCs w:val="24"/>
        </w:rPr>
        <w:t xml:space="preserve">Companies </w:t>
      </w:r>
      <w:r w:rsidR="00871658">
        <w:rPr>
          <w:sz w:val="24"/>
          <w:szCs w:val="24"/>
        </w:rPr>
        <w:t xml:space="preserve">asked </w:t>
      </w:r>
      <w:r>
        <w:rPr>
          <w:sz w:val="24"/>
          <w:szCs w:val="24"/>
        </w:rPr>
        <w:t>to provide a link to their anti-corruption policy</w:t>
      </w:r>
      <w:r w:rsidR="00FD696B">
        <w:rPr>
          <w:sz w:val="24"/>
          <w:szCs w:val="24"/>
        </w:rPr>
        <w:t xml:space="preserve"> (expect</w:t>
      </w:r>
      <w:r w:rsidR="00343A3F">
        <w:rPr>
          <w:sz w:val="24"/>
          <w:szCs w:val="24"/>
        </w:rPr>
        <w:t>ed</w:t>
      </w:r>
      <w:r w:rsidR="00FD696B">
        <w:rPr>
          <w:sz w:val="24"/>
          <w:szCs w:val="24"/>
        </w:rPr>
        <w:t>)</w:t>
      </w:r>
      <w:r>
        <w:rPr>
          <w:sz w:val="24"/>
          <w:szCs w:val="24"/>
        </w:rPr>
        <w:t>.</w:t>
      </w:r>
    </w:p>
    <w:p w14:paraId="4D458EAA" w14:textId="1E5789CE" w:rsidR="000C0FFD" w:rsidRDefault="000C0FFD" w:rsidP="00E9226B">
      <w:pPr>
        <w:pStyle w:val="ListParagraph"/>
        <w:numPr>
          <w:ilvl w:val="0"/>
          <w:numId w:val="6"/>
        </w:numPr>
        <w:rPr>
          <w:sz w:val="24"/>
          <w:szCs w:val="24"/>
        </w:rPr>
      </w:pPr>
      <w:r>
        <w:rPr>
          <w:sz w:val="24"/>
          <w:szCs w:val="24"/>
        </w:rPr>
        <w:t xml:space="preserve">Beneficial Ownership </w:t>
      </w:r>
      <w:r w:rsidR="00687AFB">
        <w:rPr>
          <w:sz w:val="24"/>
          <w:szCs w:val="24"/>
        </w:rPr>
        <w:t>threshold reduced from 25% to 10%</w:t>
      </w:r>
      <w:r w:rsidR="00996757">
        <w:rPr>
          <w:sz w:val="24"/>
          <w:szCs w:val="24"/>
        </w:rPr>
        <w:t xml:space="preserve"> (encourage</w:t>
      </w:r>
      <w:r w:rsidR="00343A3F">
        <w:rPr>
          <w:sz w:val="24"/>
          <w:szCs w:val="24"/>
        </w:rPr>
        <w:t>d</w:t>
      </w:r>
      <w:r w:rsidR="00996757">
        <w:rPr>
          <w:sz w:val="24"/>
          <w:szCs w:val="24"/>
        </w:rPr>
        <w:t>)</w:t>
      </w:r>
      <w:r w:rsidR="00687AFB">
        <w:rPr>
          <w:sz w:val="24"/>
          <w:szCs w:val="24"/>
        </w:rPr>
        <w:t>.</w:t>
      </w:r>
    </w:p>
    <w:p w14:paraId="23D3AA44" w14:textId="58893F00" w:rsidR="00687AFB" w:rsidRDefault="00687AFB" w:rsidP="00E9226B">
      <w:pPr>
        <w:pStyle w:val="ListParagraph"/>
        <w:numPr>
          <w:ilvl w:val="0"/>
          <w:numId w:val="6"/>
        </w:numPr>
        <w:rPr>
          <w:sz w:val="24"/>
          <w:szCs w:val="24"/>
        </w:rPr>
      </w:pPr>
      <w:r>
        <w:rPr>
          <w:sz w:val="24"/>
          <w:szCs w:val="24"/>
        </w:rPr>
        <w:t>PEP threshold reduced from 5% to zero</w:t>
      </w:r>
      <w:r w:rsidR="00343A3F">
        <w:rPr>
          <w:sz w:val="24"/>
          <w:szCs w:val="24"/>
        </w:rPr>
        <w:t xml:space="preserve"> (required)</w:t>
      </w:r>
      <w:r>
        <w:rPr>
          <w:sz w:val="24"/>
          <w:szCs w:val="24"/>
        </w:rPr>
        <w:t>.</w:t>
      </w:r>
    </w:p>
    <w:p w14:paraId="5A34508B" w14:textId="29531BA1" w:rsidR="00E5410F" w:rsidRDefault="00B405E3" w:rsidP="00E9226B">
      <w:pPr>
        <w:pStyle w:val="ListParagraph"/>
        <w:numPr>
          <w:ilvl w:val="0"/>
          <w:numId w:val="6"/>
        </w:numPr>
        <w:rPr>
          <w:sz w:val="24"/>
          <w:szCs w:val="24"/>
        </w:rPr>
      </w:pPr>
      <w:r>
        <w:rPr>
          <w:sz w:val="24"/>
          <w:szCs w:val="24"/>
        </w:rPr>
        <w:t>Companies</w:t>
      </w:r>
      <w:r w:rsidR="00871658">
        <w:rPr>
          <w:sz w:val="24"/>
          <w:szCs w:val="24"/>
        </w:rPr>
        <w:t xml:space="preserve"> asked</w:t>
      </w:r>
      <w:r>
        <w:rPr>
          <w:sz w:val="24"/>
          <w:szCs w:val="24"/>
        </w:rPr>
        <w:t xml:space="preserve"> to </w:t>
      </w:r>
      <w:r w:rsidR="00F21865">
        <w:rPr>
          <w:sz w:val="24"/>
          <w:szCs w:val="24"/>
        </w:rPr>
        <w:t>provide a link to their ownership structure</w:t>
      </w:r>
      <w:r w:rsidR="00402A11">
        <w:rPr>
          <w:sz w:val="24"/>
          <w:szCs w:val="24"/>
        </w:rPr>
        <w:t xml:space="preserve"> (encouraged)</w:t>
      </w:r>
      <w:r w:rsidR="00F21865">
        <w:rPr>
          <w:sz w:val="24"/>
          <w:szCs w:val="24"/>
        </w:rPr>
        <w:t>.</w:t>
      </w:r>
    </w:p>
    <w:p w14:paraId="6881C123" w14:textId="20BF4A44" w:rsidR="007B353B" w:rsidRDefault="007B353B" w:rsidP="00E9226B">
      <w:pPr>
        <w:pStyle w:val="ListParagraph"/>
        <w:numPr>
          <w:ilvl w:val="0"/>
          <w:numId w:val="6"/>
        </w:numPr>
        <w:rPr>
          <w:sz w:val="24"/>
          <w:szCs w:val="24"/>
        </w:rPr>
      </w:pPr>
      <w:r>
        <w:rPr>
          <w:sz w:val="24"/>
          <w:szCs w:val="24"/>
        </w:rPr>
        <w:t xml:space="preserve">Companies </w:t>
      </w:r>
      <w:r w:rsidR="00871658">
        <w:rPr>
          <w:sz w:val="24"/>
          <w:szCs w:val="24"/>
        </w:rPr>
        <w:t xml:space="preserve">asked </w:t>
      </w:r>
      <w:r>
        <w:rPr>
          <w:sz w:val="24"/>
          <w:szCs w:val="24"/>
        </w:rPr>
        <w:t>to provide links to their financial statements</w:t>
      </w:r>
      <w:r w:rsidR="00310EC6">
        <w:rPr>
          <w:sz w:val="24"/>
          <w:szCs w:val="24"/>
        </w:rPr>
        <w:t xml:space="preserve"> (expected)</w:t>
      </w:r>
      <w:r>
        <w:rPr>
          <w:sz w:val="24"/>
          <w:szCs w:val="24"/>
        </w:rPr>
        <w:t>.</w:t>
      </w:r>
    </w:p>
    <w:p w14:paraId="46245B26" w14:textId="6E568874" w:rsidR="007B353B" w:rsidRDefault="00871658" w:rsidP="00E9226B">
      <w:pPr>
        <w:pStyle w:val="ListParagraph"/>
        <w:numPr>
          <w:ilvl w:val="0"/>
          <w:numId w:val="6"/>
        </w:numPr>
        <w:rPr>
          <w:sz w:val="24"/>
          <w:szCs w:val="24"/>
        </w:rPr>
      </w:pPr>
      <w:r>
        <w:rPr>
          <w:sz w:val="24"/>
          <w:szCs w:val="24"/>
        </w:rPr>
        <w:t xml:space="preserve">Companies asked to provide links to their </w:t>
      </w:r>
      <w:r w:rsidR="00E30694">
        <w:rPr>
          <w:sz w:val="24"/>
          <w:szCs w:val="24"/>
        </w:rPr>
        <w:t xml:space="preserve">environmental, social and </w:t>
      </w:r>
      <w:r w:rsidR="00153AF5">
        <w:rPr>
          <w:sz w:val="24"/>
          <w:szCs w:val="24"/>
        </w:rPr>
        <w:t xml:space="preserve">gender impact </w:t>
      </w:r>
      <w:r w:rsidR="00820208">
        <w:rPr>
          <w:sz w:val="24"/>
          <w:szCs w:val="24"/>
        </w:rPr>
        <w:t>data</w:t>
      </w:r>
      <w:r w:rsidR="00310EC6">
        <w:rPr>
          <w:sz w:val="24"/>
          <w:szCs w:val="24"/>
        </w:rPr>
        <w:t xml:space="preserve"> (required)</w:t>
      </w:r>
      <w:r w:rsidR="00820208">
        <w:rPr>
          <w:sz w:val="24"/>
          <w:szCs w:val="24"/>
        </w:rPr>
        <w:t>.</w:t>
      </w:r>
    </w:p>
    <w:p w14:paraId="05B56623" w14:textId="1A99556A" w:rsidR="000E1EB4" w:rsidRDefault="000E1EB4" w:rsidP="00E9226B">
      <w:pPr>
        <w:pStyle w:val="ListParagraph"/>
        <w:numPr>
          <w:ilvl w:val="0"/>
          <w:numId w:val="6"/>
        </w:numPr>
        <w:rPr>
          <w:sz w:val="24"/>
          <w:szCs w:val="24"/>
        </w:rPr>
      </w:pPr>
      <w:r>
        <w:rPr>
          <w:sz w:val="24"/>
          <w:szCs w:val="24"/>
        </w:rPr>
        <w:t xml:space="preserve">Companies asked to provide link to their gender pay gap </w:t>
      </w:r>
      <w:r w:rsidR="00FC26BC">
        <w:rPr>
          <w:sz w:val="24"/>
          <w:szCs w:val="24"/>
        </w:rPr>
        <w:t>information</w:t>
      </w:r>
      <w:r w:rsidR="00853924">
        <w:rPr>
          <w:sz w:val="24"/>
          <w:szCs w:val="24"/>
        </w:rPr>
        <w:t xml:space="preserve"> (encouraged)</w:t>
      </w:r>
      <w:r>
        <w:rPr>
          <w:sz w:val="24"/>
          <w:szCs w:val="24"/>
        </w:rPr>
        <w:t>.</w:t>
      </w:r>
    </w:p>
    <w:p w14:paraId="37C66CD5" w14:textId="0E554CD9" w:rsidR="008C7D33" w:rsidRDefault="008C7D33" w:rsidP="008C7D33">
      <w:pPr>
        <w:rPr>
          <w:b/>
          <w:bCs/>
          <w:sz w:val="24"/>
          <w:szCs w:val="24"/>
          <w:u w:val="single"/>
        </w:rPr>
      </w:pPr>
      <w:r w:rsidRPr="008C7D33">
        <w:rPr>
          <w:b/>
          <w:bCs/>
          <w:sz w:val="24"/>
          <w:szCs w:val="24"/>
          <w:u w:val="single"/>
        </w:rPr>
        <w:t xml:space="preserve">Mike Earp </w:t>
      </w:r>
      <w:r w:rsidR="0057329F">
        <w:rPr>
          <w:b/>
          <w:bCs/>
          <w:sz w:val="24"/>
          <w:szCs w:val="24"/>
          <w:u w:val="single"/>
        </w:rPr>
        <w:t>comments</w:t>
      </w:r>
      <w:r w:rsidRPr="008C7D33">
        <w:rPr>
          <w:b/>
          <w:bCs/>
          <w:sz w:val="24"/>
          <w:szCs w:val="24"/>
          <w:u w:val="single"/>
        </w:rPr>
        <w:t xml:space="preserve"> </w:t>
      </w:r>
      <w:r w:rsidR="00813FD9">
        <w:rPr>
          <w:b/>
          <w:bCs/>
          <w:sz w:val="24"/>
          <w:szCs w:val="24"/>
          <w:u w:val="single"/>
        </w:rPr>
        <w:t>(in</w:t>
      </w:r>
      <w:r w:rsidR="005A629B">
        <w:rPr>
          <w:b/>
          <w:bCs/>
          <w:sz w:val="24"/>
          <w:szCs w:val="24"/>
          <w:u w:val="single"/>
        </w:rPr>
        <w:t xml:space="preserve"> bold below) </w:t>
      </w:r>
      <w:r w:rsidRPr="008C7D33">
        <w:rPr>
          <w:b/>
          <w:bCs/>
          <w:sz w:val="24"/>
          <w:szCs w:val="24"/>
          <w:u w:val="single"/>
        </w:rPr>
        <w:t>on behalf of NSTA</w:t>
      </w:r>
    </w:p>
    <w:p w14:paraId="4B6C96DA" w14:textId="77777777" w:rsidR="0057329F" w:rsidRPr="00EC1402" w:rsidRDefault="0057329F" w:rsidP="0057329F">
      <w:pPr>
        <w:spacing w:after="160"/>
        <w:textAlignment w:val="baseline"/>
        <w:outlineLvl w:val="2"/>
        <w:rPr>
          <w:rFonts w:eastAsia="Times New Roman" w:cstheme="minorHAnsi"/>
          <w:b/>
          <w:bCs/>
          <w:lang w:eastAsia="en-GB"/>
        </w:rPr>
      </w:pPr>
      <w:r w:rsidRPr="00EC1402">
        <w:rPr>
          <w:rFonts w:eastAsia="Times New Roman" w:cstheme="minorHAnsi"/>
          <w:b/>
          <w:bCs/>
          <w:bdr w:val="none" w:sz="0" w:space="0" w:color="auto" w:frame="1"/>
          <w:lang w:eastAsia="en-GB"/>
        </w:rPr>
        <w:t>3.1 Exploration activities</w:t>
      </w:r>
    </w:p>
    <w:p w14:paraId="1FE4129F" w14:textId="77777777" w:rsidR="0057329F" w:rsidRDefault="0057329F" w:rsidP="0057329F">
      <w:pPr>
        <w:shd w:val="clear" w:color="auto" w:fill="FFFFFF"/>
        <w:spacing w:after="160"/>
        <w:textAlignment w:val="baseline"/>
        <w:rPr>
          <w:rFonts w:eastAsia="Times New Roman" w:cstheme="minorHAnsi"/>
          <w:color w:val="000000"/>
          <w:lang w:eastAsia="en-GB"/>
        </w:rPr>
      </w:pPr>
      <w:bookmarkStart w:id="0" w:name="r3-1"/>
      <w:bookmarkEnd w:id="0"/>
      <w:r w:rsidRPr="00EC1402">
        <w:rPr>
          <w:rFonts w:eastAsia="Times New Roman" w:cstheme="minorHAnsi"/>
          <w:color w:val="000000"/>
          <w:lang w:eastAsia="en-GB"/>
        </w:rPr>
        <w:t>The objective of this requirement is to ensure public access to an overview of the extractive sector in the country and its potential, including recent, ongoing and planned significant exploration activities.</w:t>
      </w:r>
    </w:p>
    <w:p w14:paraId="0BAB270C" w14:textId="19E9D9CD" w:rsidR="0057329F" w:rsidRPr="0057329F" w:rsidRDefault="0057329F" w:rsidP="0057329F">
      <w:pPr>
        <w:pStyle w:val="ListParagraph"/>
        <w:numPr>
          <w:ilvl w:val="0"/>
          <w:numId w:val="10"/>
        </w:numPr>
        <w:shd w:val="clear" w:color="auto" w:fill="FFFFFF"/>
        <w:spacing w:after="160"/>
        <w:ind w:left="360"/>
        <w:contextualSpacing w:val="0"/>
        <w:textAlignment w:val="baseline"/>
        <w:rPr>
          <w:rFonts w:eastAsia="Times New Roman" w:cstheme="minorHAnsi"/>
          <w:lang w:eastAsia="en-GB"/>
        </w:rPr>
      </w:pPr>
      <w:r w:rsidRPr="00A43CB7">
        <w:rPr>
          <w:rFonts w:eastAsia="Times New Roman" w:cstheme="minorHAnsi"/>
          <w:color w:val="000000"/>
          <w:lang w:eastAsia="en-GB"/>
        </w:rPr>
        <w:t>Implementing countries are required to disclose an overview of the extractive industries, including any significant exploration activities.</w:t>
      </w:r>
      <w:r>
        <w:rPr>
          <w:rFonts w:eastAsia="Times New Roman" w:cstheme="minorHAnsi"/>
          <w:color w:val="ED0000"/>
          <w:lang w:eastAsia="en-GB"/>
        </w:rPr>
        <w:t xml:space="preserve"> </w:t>
      </w:r>
      <w:r w:rsidRPr="0057329F">
        <w:rPr>
          <w:rFonts w:eastAsia="Times New Roman" w:cstheme="minorHAnsi"/>
          <w:b/>
          <w:bCs/>
          <w:lang w:eastAsia="en-GB"/>
        </w:rPr>
        <w:t xml:space="preserve">This is already published </w:t>
      </w:r>
      <w:r>
        <w:rPr>
          <w:rFonts w:eastAsia="Times New Roman" w:cstheme="minorHAnsi"/>
          <w:b/>
          <w:bCs/>
          <w:lang w:eastAsia="en-GB"/>
        </w:rPr>
        <w:t>on</w:t>
      </w:r>
      <w:r w:rsidRPr="0057329F">
        <w:rPr>
          <w:rFonts w:eastAsia="Times New Roman" w:cstheme="minorHAnsi"/>
          <w:b/>
          <w:bCs/>
          <w:lang w:eastAsia="en-GB"/>
        </w:rPr>
        <w:t xml:space="preserve"> the UK EITI website.</w:t>
      </w:r>
    </w:p>
    <w:p w14:paraId="40059D33" w14:textId="77777777" w:rsidR="0057329F" w:rsidRPr="0057329F" w:rsidRDefault="0057329F" w:rsidP="0057329F">
      <w:pPr>
        <w:pStyle w:val="ListParagraph"/>
        <w:numPr>
          <w:ilvl w:val="0"/>
          <w:numId w:val="10"/>
        </w:numPr>
        <w:shd w:val="clear" w:color="auto" w:fill="FFFFFF"/>
        <w:spacing w:after="160"/>
        <w:ind w:left="360"/>
        <w:contextualSpacing w:val="0"/>
        <w:textAlignment w:val="baseline"/>
        <w:rPr>
          <w:rFonts w:eastAsia="Times New Roman" w:cstheme="minorHAnsi"/>
          <w:lang w:eastAsia="en-GB"/>
        </w:rPr>
      </w:pPr>
      <w:r w:rsidRPr="000A2B8C">
        <w:rPr>
          <w:rFonts w:eastAsia="Times New Roman" w:cstheme="minorHAnsi"/>
          <w:color w:val="000000"/>
          <w:lang w:eastAsia="en-GB"/>
        </w:rPr>
        <w:t xml:space="preserve">Implementing countries and companies are encouraged to disclose data on proven economic oil, gas or mineral reserves, where available. </w:t>
      </w:r>
      <w:r w:rsidRPr="0057329F">
        <w:rPr>
          <w:rFonts w:eastAsia="Times New Roman" w:cstheme="minorHAnsi"/>
          <w:b/>
          <w:bCs/>
          <w:lang w:eastAsia="en-GB"/>
        </w:rPr>
        <w:t xml:space="preserve">Each year, the NSTA publishes estimates of (remaining) UK oil and gas reserves and resources; the report with estimates as at the end of 2022 is </w:t>
      </w:r>
      <w:hyperlink r:id="rId7" w:history="1">
        <w:r w:rsidRPr="0057329F">
          <w:rPr>
            <w:rStyle w:val="Hyperlink"/>
            <w:rFonts w:eastAsia="Times New Roman" w:cstheme="minorHAnsi"/>
            <w:b/>
            <w:bCs/>
            <w:color w:val="auto"/>
            <w:lang w:eastAsia="en-GB"/>
          </w:rPr>
          <w:t>here</w:t>
        </w:r>
      </w:hyperlink>
      <w:r w:rsidRPr="0057329F">
        <w:rPr>
          <w:rFonts w:eastAsia="Times New Roman" w:cstheme="minorHAnsi"/>
          <w:b/>
          <w:bCs/>
          <w:lang w:eastAsia="en-GB"/>
        </w:rPr>
        <w:t xml:space="preserve">. In July each year, DESNZ publishes an “Identified GB coal resource assessment” </w:t>
      </w:r>
      <w:hyperlink r:id="rId8" w:history="1">
        <w:r w:rsidRPr="0057329F">
          <w:rPr>
            <w:rStyle w:val="Hyperlink"/>
            <w:rFonts w:eastAsia="Times New Roman" w:cstheme="minorHAnsi"/>
            <w:b/>
            <w:bCs/>
            <w:color w:val="auto"/>
            <w:lang w:eastAsia="en-GB"/>
          </w:rPr>
          <w:t>here</w:t>
        </w:r>
      </w:hyperlink>
      <w:r w:rsidRPr="0057329F">
        <w:rPr>
          <w:rFonts w:eastAsia="Times New Roman" w:cstheme="minorHAnsi"/>
          <w:b/>
          <w:bCs/>
          <w:lang w:eastAsia="en-GB"/>
        </w:rPr>
        <w:t xml:space="preserve"> (see DUKES 2.6). Up-to-date estimates of other UK mineral reserves are not available. The BGS has published a series of </w:t>
      </w:r>
      <w:hyperlink r:id="rId9" w:history="1">
        <w:r w:rsidRPr="0057329F">
          <w:rPr>
            <w:rStyle w:val="Hyperlink"/>
            <w:rFonts w:eastAsia="Times New Roman" w:cstheme="minorHAnsi"/>
            <w:b/>
            <w:bCs/>
            <w:color w:val="auto"/>
            <w:lang w:eastAsia="en-GB"/>
          </w:rPr>
          <w:t>onshore mineral resource maps</w:t>
        </w:r>
      </w:hyperlink>
      <w:r w:rsidRPr="0057329F">
        <w:rPr>
          <w:rFonts w:eastAsia="Times New Roman" w:cstheme="minorHAnsi"/>
          <w:b/>
          <w:bCs/>
          <w:lang w:eastAsia="en-GB"/>
        </w:rPr>
        <w:t xml:space="preserve"> but these are getting increasingly dated and they are based primarily on mapped geology with limited assessment of economics</w:t>
      </w:r>
      <w:r w:rsidRPr="0057329F">
        <w:rPr>
          <w:rFonts w:eastAsia="Times New Roman" w:cstheme="minorHAnsi"/>
          <w:lang w:eastAsia="en-GB"/>
        </w:rPr>
        <w:t>.</w:t>
      </w:r>
    </w:p>
    <w:p w14:paraId="326C7CF4" w14:textId="77777777" w:rsidR="0057329F" w:rsidRPr="00761D8B" w:rsidRDefault="0057329F" w:rsidP="0057329F">
      <w:pPr>
        <w:spacing w:after="160"/>
        <w:textAlignment w:val="baseline"/>
        <w:outlineLvl w:val="2"/>
        <w:rPr>
          <w:rFonts w:eastAsia="Times New Roman" w:cstheme="minorHAnsi"/>
          <w:b/>
          <w:bCs/>
          <w:lang w:eastAsia="en-GB"/>
        </w:rPr>
      </w:pPr>
      <w:r w:rsidRPr="00761D8B">
        <w:rPr>
          <w:rFonts w:eastAsia="Times New Roman" w:cstheme="minorHAnsi"/>
          <w:b/>
          <w:bCs/>
          <w:bdr w:val="none" w:sz="0" w:space="0" w:color="auto" w:frame="1"/>
          <w:lang w:eastAsia="en-GB"/>
        </w:rPr>
        <w:t>3.2 Production data</w:t>
      </w:r>
    </w:p>
    <w:p w14:paraId="070264CD" w14:textId="77777777" w:rsidR="0057329F" w:rsidRPr="00E333F2" w:rsidRDefault="0057329F" w:rsidP="0057329F">
      <w:pPr>
        <w:shd w:val="clear" w:color="auto" w:fill="FFFFFF"/>
        <w:spacing w:after="160"/>
        <w:textAlignment w:val="baseline"/>
        <w:rPr>
          <w:rFonts w:eastAsia="Times New Roman" w:cstheme="minorHAnsi"/>
          <w:color w:val="000000"/>
          <w:lang w:eastAsia="en-GB"/>
        </w:rPr>
      </w:pPr>
      <w:bookmarkStart w:id="1" w:name="r3-2"/>
      <w:bookmarkEnd w:id="1"/>
      <w:r w:rsidRPr="00761D8B">
        <w:rPr>
          <w:rFonts w:eastAsia="Times New Roman" w:cstheme="minorHAnsi"/>
          <w:color w:val="000000"/>
          <w:lang w:eastAsia="en-GB"/>
        </w:rPr>
        <w:t>The objective of this requirement is to ensure public understanding of extractive commodity(ies) production levels and the valuation of extractive commodity output, as a basis for assessing expected government revenues from the extractive industries and the potential for government revenue leakages linked to under-reported production.</w:t>
      </w:r>
    </w:p>
    <w:p w14:paraId="01E1BCE1" w14:textId="77777777" w:rsidR="0057329F" w:rsidRPr="00DE33EF" w:rsidRDefault="0057329F" w:rsidP="0057329F">
      <w:pPr>
        <w:pStyle w:val="ListParagraph"/>
        <w:numPr>
          <w:ilvl w:val="1"/>
          <w:numId w:val="7"/>
        </w:numPr>
        <w:shd w:val="clear" w:color="auto" w:fill="FFFFFF"/>
        <w:spacing w:after="160"/>
        <w:ind w:left="360"/>
        <w:contextualSpacing w:val="0"/>
        <w:textAlignment w:val="baseline"/>
        <w:rPr>
          <w:rFonts w:eastAsia="Times New Roman" w:cstheme="minorHAnsi"/>
          <w:lang w:eastAsia="en-GB"/>
        </w:rPr>
      </w:pPr>
      <w:r w:rsidRPr="00110CA6">
        <w:rPr>
          <w:rFonts w:eastAsia="Times New Roman" w:cstheme="minorHAnsi"/>
          <w:color w:val="000000"/>
          <w:lang w:eastAsia="en-GB"/>
        </w:rPr>
        <w:t xml:space="preserve">Implementing countries are required to disclose timely production data, including production volumes and values by commodity. </w:t>
      </w:r>
      <w:r w:rsidRPr="00DE33EF">
        <w:rPr>
          <w:rFonts w:eastAsia="Times New Roman" w:cstheme="minorHAnsi"/>
          <w:b/>
          <w:bCs/>
          <w:lang w:eastAsia="en-GB"/>
        </w:rPr>
        <w:t xml:space="preserve">Data on the volume of total UK production of </w:t>
      </w:r>
      <w:hyperlink r:id="rId10" w:history="1">
        <w:r w:rsidRPr="00DE33EF">
          <w:rPr>
            <w:rStyle w:val="Hyperlink"/>
            <w:rFonts w:eastAsia="Times New Roman" w:cstheme="minorHAnsi"/>
            <w:b/>
            <w:bCs/>
            <w:color w:val="auto"/>
            <w:lang w:eastAsia="en-GB"/>
          </w:rPr>
          <w:t>oil</w:t>
        </w:r>
      </w:hyperlink>
      <w:r w:rsidRPr="00DE33EF">
        <w:rPr>
          <w:rFonts w:eastAsia="Times New Roman" w:cstheme="minorHAnsi"/>
          <w:b/>
          <w:bCs/>
          <w:lang w:eastAsia="en-GB"/>
        </w:rPr>
        <w:t xml:space="preserve">, </w:t>
      </w:r>
      <w:hyperlink r:id="rId11" w:history="1">
        <w:r w:rsidRPr="00DE33EF">
          <w:rPr>
            <w:rStyle w:val="Hyperlink"/>
            <w:rFonts w:eastAsia="Times New Roman" w:cstheme="minorHAnsi"/>
            <w:b/>
            <w:bCs/>
            <w:color w:val="auto"/>
            <w:lang w:eastAsia="en-GB"/>
          </w:rPr>
          <w:t>natural gas</w:t>
        </w:r>
      </w:hyperlink>
      <w:r w:rsidRPr="00DE33EF">
        <w:rPr>
          <w:rFonts w:eastAsia="Times New Roman" w:cstheme="minorHAnsi"/>
          <w:b/>
          <w:bCs/>
          <w:lang w:eastAsia="en-GB"/>
        </w:rPr>
        <w:t xml:space="preserve"> and </w:t>
      </w:r>
      <w:hyperlink r:id="rId12" w:history="1">
        <w:r w:rsidRPr="00DE33EF">
          <w:rPr>
            <w:rStyle w:val="Hyperlink"/>
            <w:rFonts w:eastAsia="Times New Roman" w:cstheme="minorHAnsi"/>
            <w:b/>
            <w:bCs/>
            <w:color w:val="auto"/>
            <w:lang w:eastAsia="en-GB"/>
          </w:rPr>
          <w:t>coal</w:t>
        </w:r>
      </w:hyperlink>
      <w:r w:rsidRPr="00DE33EF">
        <w:rPr>
          <w:rFonts w:eastAsia="Times New Roman" w:cstheme="minorHAnsi"/>
          <w:b/>
          <w:bCs/>
          <w:lang w:eastAsia="en-GB"/>
        </w:rPr>
        <w:t xml:space="preserve"> is published online by DESNZ each month with a lag of 2 months; see Energy Trends tables 3.10 (oil), 4.2 (natural gas) and 2.5 (coal). Data on production values for oil, natural gas and coal are </w:t>
      </w:r>
      <w:hyperlink r:id="rId13" w:history="1">
        <w:r w:rsidRPr="00DE33EF">
          <w:rPr>
            <w:rStyle w:val="Hyperlink"/>
            <w:rFonts w:eastAsia="Times New Roman" w:cstheme="minorHAnsi"/>
            <w:b/>
            <w:bCs/>
            <w:color w:val="auto"/>
            <w:lang w:eastAsia="en-GB"/>
          </w:rPr>
          <w:t>published</w:t>
        </w:r>
      </w:hyperlink>
      <w:r w:rsidRPr="00DE33EF">
        <w:rPr>
          <w:rFonts w:eastAsia="Times New Roman" w:cstheme="minorHAnsi"/>
          <w:b/>
          <w:bCs/>
          <w:lang w:eastAsia="en-GB"/>
        </w:rPr>
        <w:t xml:space="preserve"> online by DESNZ annually in the July following the year in question; see DUKES 1.2. The NSTA also </w:t>
      </w:r>
      <w:hyperlink r:id="rId14" w:history="1">
        <w:r w:rsidRPr="00DE33EF">
          <w:rPr>
            <w:rStyle w:val="Hyperlink"/>
            <w:rFonts w:eastAsia="Times New Roman" w:cstheme="minorHAnsi"/>
            <w:b/>
            <w:bCs/>
            <w:color w:val="auto"/>
            <w:lang w:eastAsia="en-GB"/>
          </w:rPr>
          <w:t>publishes</w:t>
        </w:r>
      </w:hyperlink>
      <w:r w:rsidRPr="00DE33EF">
        <w:rPr>
          <w:rFonts w:eastAsia="Times New Roman" w:cstheme="minorHAnsi"/>
          <w:b/>
          <w:bCs/>
          <w:lang w:eastAsia="en-GB"/>
        </w:rPr>
        <w:t xml:space="preserve"> online estimates of the value of total UK oil and natural gas production. Data on production volumes and values of UK minerals is generally limited.</w:t>
      </w:r>
      <w:r w:rsidRPr="00DE33EF">
        <w:rPr>
          <w:rFonts w:eastAsia="Times New Roman" w:cstheme="minorHAnsi"/>
          <w:lang w:eastAsia="en-GB"/>
        </w:rPr>
        <w:t xml:space="preserve"> </w:t>
      </w:r>
      <w:r w:rsidRPr="00110CA6">
        <w:rPr>
          <w:rFonts w:eastAsia="Times New Roman" w:cstheme="minorHAnsi"/>
          <w:color w:val="000000"/>
          <w:lang w:eastAsia="en-GB"/>
        </w:rPr>
        <w:t>Data must be further disaggregated by project, where available.</w:t>
      </w:r>
      <w:r>
        <w:rPr>
          <w:rFonts w:eastAsia="Times New Roman" w:cstheme="minorHAnsi"/>
          <w:color w:val="000000"/>
          <w:lang w:eastAsia="en-GB"/>
        </w:rPr>
        <w:t xml:space="preserve"> </w:t>
      </w:r>
      <w:r w:rsidRPr="00DE33EF">
        <w:rPr>
          <w:rFonts w:eastAsia="Times New Roman" w:cstheme="minorHAnsi"/>
          <w:b/>
          <w:bCs/>
          <w:lang w:eastAsia="en-GB"/>
        </w:rPr>
        <w:t xml:space="preserve">Data on production volumes at field level for oil and natural gas are published online by the NSTA each month with a lag of 3 months; see </w:t>
      </w:r>
      <w:hyperlink r:id="rId15" w:tgtFrame="_self" w:history="1">
        <w:r w:rsidRPr="00DE33EF">
          <w:rPr>
            <w:rStyle w:val="Hyperlink"/>
            <w:rFonts w:eastAsia="Times New Roman" w:cstheme="minorHAnsi"/>
            <w:b/>
            <w:bCs/>
            <w:color w:val="auto"/>
            <w:lang w:eastAsia="en-GB"/>
          </w:rPr>
          <w:t>NSTA Field Production Points, PPRS (WGS84)</w:t>
        </w:r>
      </w:hyperlink>
      <w:r w:rsidRPr="00DE33EF">
        <w:rPr>
          <w:rFonts w:eastAsia="Times New Roman" w:cstheme="minorHAnsi"/>
          <w:b/>
          <w:bCs/>
          <w:lang w:eastAsia="en-GB"/>
        </w:rPr>
        <w:t>.</w:t>
      </w:r>
      <w:r w:rsidRPr="00DE33EF">
        <w:rPr>
          <w:rFonts w:eastAsia="Times New Roman" w:cstheme="minorHAnsi"/>
          <w:lang w:eastAsia="en-GB"/>
        </w:rPr>
        <w:t xml:space="preserve"> </w:t>
      </w:r>
      <w:r w:rsidRPr="00110CA6">
        <w:rPr>
          <w:rFonts w:eastAsia="Times New Roman" w:cstheme="minorHAnsi"/>
          <w:color w:val="000000"/>
          <w:lang w:eastAsia="en-GB"/>
        </w:rPr>
        <w:t>An estimate of production resulting from artisanal and small-scale activities must be disclosed where applicable and available.</w:t>
      </w:r>
      <w:r w:rsidRPr="00E81E52">
        <w:rPr>
          <w:rFonts w:eastAsia="Times New Roman" w:cstheme="minorHAnsi"/>
          <w:b/>
          <w:bCs/>
          <w:color w:val="ED0000"/>
          <w:lang w:eastAsia="en-GB"/>
        </w:rPr>
        <w:t xml:space="preserve"> </w:t>
      </w:r>
      <w:r w:rsidRPr="00DE33EF">
        <w:rPr>
          <w:rFonts w:eastAsia="Times New Roman" w:cstheme="minorHAnsi"/>
          <w:b/>
          <w:bCs/>
          <w:lang w:eastAsia="en-GB"/>
        </w:rPr>
        <w:t>Not relevant to the UK.</w:t>
      </w:r>
    </w:p>
    <w:p w14:paraId="4C17C440" w14:textId="77777777" w:rsidR="0057329F" w:rsidRPr="00976240" w:rsidRDefault="0057329F" w:rsidP="0057329F">
      <w:pPr>
        <w:pStyle w:val="ListParagraph"/>
        <w:numPr>
          <w:ilvl w:val="1"/>
          <w:numId w:val="7"/>
        </w:numPr>
        <w:shd w:val="clear" w:color="auto" w:fill="FFFFFF"/>
        <w:spacing w:after="160"/>
        <w:ind w:left="360"/>
        <w:contextualSpacing w:val="0"/>
        <w:textAlignment w:val="baseline"/>
        <w:rPr>
          <w:rFonts w:eastAsia="Times New Roman" w:cstheme="minorHAnsi"/>
          <w:lang w:eastAsia="en-GB"/>
        </w:rPr>
      </w:pPr>
      <w:r w:rsidRPr="00110CA6">
        <w:rPr>
          <w:rFonts w:eastAsia="Times New Roman" w:cstheme="minorHAnsi"/>
          <w:color w:val="000000"/>
          <w:lang w:eastAsia="en-GB"/>
        </w:rPr>
        <w:t>The sources of and the methods for calculating production volumes and values must be disclosed.</w:t>
      </w:r>
      <w:r>
        <w:rPr>
          <w:rFonts w:eastAsia="Times New Roman" w:cstheme="minorHAnsi"/>
          <w:color w:val="000000"/>
          <w:lang w:eastAsia="en-GB"/>
        </w:rPr>
        <w:t xml:space="preserve"> </w:t>
      </w:r>
      <w:r w:rsidRPr="00DE33EF">
        <w:rPr>
          <w:rFonts w:eastAsia="Times New Roman" w:cstheme="minorHAnsi"/>
          <w:b/>
          <w:bCs/>
          <w:lang w:eastAsia="en-GB"/>
        </w:rPr>
        <w:t xml:space="preserve">See </w:t>
      </w:r>
      <w:hyperlink r:id="rId16" w:history="1">
        <w:r w:rsidRPr="00DE33EF">
          <w:rPr>
            <w:rStyle w:val="Hyperlink"/>
            <w:rFonts w:eastAsia="Times New Roman" w:cstheme="minorHAnsi"/>
            <w:b/>
            <w:bCs/>
            <w:color w:val="auto"/>
            <w:lang w:eastAsia="en-GB"/>
          </w:rPr>
          <w:t>Quality assurance of administrative data report for mining of coal and lignite and extraction of crude petroleum and natural gas industries</w:t>
        </w:r>
      </w:hyperlink>
      <w:r w:rsidRPr="00DE33EF">
        <w:rPr>
          <w:rFonts w:eastAsia="Times New Roman" w:cstheme="minorHAnsi"/>
          <w:b/>
          <w:bCs/>
          <w:lang w:eastAsia="en-GB"/>
        </w:rPr>
        <w:t xml:space="preserve"> and </w:t>
      </w:r>
      <w:hyperlink r:id="rId17" w:history="1">
        <w:r w:rsidRPr="00DE33EF">
          <w:rPr>
            <w:rStyle w:val="Hyperlink"/>
            <w:rFonts w:eastAsia="Times New Roman" w:cstheme="minorHAnsi"/>
            <w:b/>
            <w:bCs/>
            <w:color w:val="auto"/>
            <w:lang w:eastAsia="en-GB"/>
          </w:rPr>
          <w:t>Environmental accounts on material flows QMI</w:t>
        </w:r>
      </w:hyperlink>
      <w:r w:rsidRPr="00DE33EF">
        <w:rPr>
          <w:rFonts w:eastAsia="Times New Roman" w:cstheme="minorHAnsi"/>
          <w:b/>
          <w:bCs/>
          <w:lang w:eastAsia="en-GB"/>
        </w:rPr>
        <w:t xml:space="preserve"> (Quality and Methodology Information).</w:t>
      </w:r>
      <w:r w:rsidRPr="00DE33EF">
        <w:rPr>
          <w:rFonts w:eastAsia="Times New Roman" w:cstheme="minorHAnsi"/>
          <w:lang w:eastAsia="en-GB"/>
        </w:rPr>
        <w:t xml:space="preserve"> </w:t>
      </w:r>
      <w:r w:rsidRPr="00110CA6">
        <w:rPr>
          <w:rFonts w:eastAsia="Times New Roman" w:cstheme="minorHAnsi"/>
          <w:color w:val="000000"/>
          <w:lang w:eastAsia="en-GB"/>
        </w:rPr>
        <w:t>Implementing countries are required to disclose existing mechanisms to monitor and verify the accuracy of production data and document findings, including any weaknesses related to the comprehensiveness and reliability of publicly available production data</w:t>
      </w:r>
      <w:r w:rsidRPr="00DE33EF">
        <w:rPr>
          <w:rFonts w:eastAsia="Times New Roman" w:cstheme="minorHAnsi"/>
          <w:lang w:eastAsia="en-GB"/>
        </w:rPr>
        <w:t xml:space="preserve">. </w:t>
      </w:r>
      <w:r w:rsidRPr="00DE33EF">
        <w:rPr>
          <w:rFonts w:eastAsia="Times New Roman" w:cstheme="minorHAnsi"/>
          <w:b/>
          <w:bCs/>
          <w:lang w:eastAsia="en-GB"/>
        </w:rPr>
        <w:t>Production data for non-fossil fuel minerals is not comprehensive or reliable. Data for fossil fuel minerals is generally comprehensive and reliable. Revisions after the latest month are generally small. Greater uncertainty attached to production values than to production volumes.</w:t>
      </w:r>
    </w:p>
    <w:p w14:paraId="42D2CBF2" w14:textId="64EB2373" w:rsidR="00976240" w:rsidRPr="0021205E" w:rsidRDefault="00976240" w:rsidP="00976240">
      <w:pPr>
        <w:pStyle w:val="ListParagraph"/>
        <w:shd w:val="clear" w:color="auto" w:fill="FFFFFF"/>
        <w:spacing w:after="160"/>
        <w:ind w:left="360"/>
        <w:contextualSpacing w:val="0"/>
        <w:textAlignment w:val="baseline"/>
        <w:rPr>
          <w:rFonts w:eastAsia="Times New Roman" w:cstheme="minorHAnsi"/>
          <w:color w:val="FF0000"/>
          <w:lang w:eastAsia="en-GB"/>
        </w:rPr>
      </w:pPr>
      <w:r w:rsidRPr="0021205E">
        <w:rPr>
          <w:rFonts w:eastAsia="Times New Roman" w:cstheme="minorHAnsi"/>
          <w:b/>
          <w:bCs/>
          <w:color w:val="FF0000"/>
          <w:lang w:eastAsia="en-GB"/>
        </w:rPr>
        <w:t>Action: Mike Nash to contact DESNZ Stat</w:t>
      </w:r>
      <w:r w:rsidR="00EB7E9E" w:rsidRPr="0021205E">
        <w:rPr>
          <w:rFonts w:eastAsia="Times New Roman" w:cstheme="minorHAnsi"/>
          <w:b/>
          <w:bCs/>
          <w:color w:val="FF0000"/>
          <w:lang w:eastAsia="en-GB"/>
        </w:rPr>
        <w:t>isticians Natalie Cartwright and Zoe Clark to see what data DESNZ publish.</w:t>
      </w:r>
    </w:p>
    <w:p w14:paraId="46D0B427" w14:textId="37EA27FE" w:rsidR="0057329F" w:rsidRPr="0021205E" w:rsidRDefault="0057329F" w:rsidP="0057329F">
      <w:pPr>
        <w:pStyle w:val="ListParagraph"/>
        <w:numPr>
          <w:ilvl w:val="1"/>
          <w:numId w:val="7"/>
        </w:numPr>
        <w:shd w:val="clear" w:color="auto" w:fill="FFFFFF"/>
        <w:spacing w:after="160"/>
        <w:ind w:left="360"/>
        <w:contextualSpacing w:val="0"/>
        <w:textAlignment w:val="baseline"/>
        <w:rPr>
          <w:rFonts w:eastAsia="Times New Roman" w:cstheme="minorHAnsi"/>
          <w:color w:val="000000"/>
          <w:lang w:eastAsia="en-GB"/>
        </w:rPr>
      </w:pPr>
      <w:r w:rsidRPr="00110CA6">
        <w:rPr>
          <w:rFonts w:eastAsia="Times New Roman" w:cstheme="minorHAnsi"/>
          <w:color w:val="000000"/>
          <w:lang w:eastAsia="en-GB"/>
        </w:rPr>
        <w:t>Implementing countries are expected to present production data using national and international commodity classification standards.</w:t>
      </w:r>
      <w:r>
        <w:rPr>
          <w:rFonts w:eastAsia="Times New Roman" w:cstheme="minorHAnsi"/>
          <w:color w:val="000000"/>
          <w:lang w:eastAsia="en-GB"/>
        </w:rPr>
        <w:t xml:space="preserve"> </w:t>
      </w:r>
      <w:r w:rsidR="00DE33EF">
        <w:rPr>
          <w:rFonts w:eastAsia="Times New Roman" w:cstheme="minorHAnsi"/>
          <w:b/>
          <w:bCs/>
          <w:lang w:eastAsia="en-GB"/>
        </w:rPr>
        <w:t>Requires</w:t>
      </w:r>
      <w:r w:rsidR="00DE33EF" w:rsidRPr="00DE33EF">
        <w:rPr>
          <w:rFonts w:eastAsia="Times New Roman" w:cstheme="minorHAnsi"/>
          <w:b/>
          <w:bCs/>
          <w:lang w:eastAsia="en-GB"/>
        </w:rPr>
        <w:t xml:space="preserve"> clarification from the EITI International Secretariat</w:t>
      </w:r>
    </w:p>
    <w:p w14:paraId="6373E3B8" w14:textId="394A3E60" w:rsidR="0021205E" w:rsidRPr="0021205E" w:rsidRDefault="0021205E" w:rsidP="0021205E">
      <w:pPr>
        <w:pStyle w:val="ListParagraph"/>
        <w:shd w:val="clear" w:color="auto" w:fill="FFFFFF"/>
        <w:spacing w:after="160"/>
        <w:ind w:left="360"/>
        <w:contextualSpacing w:val="0"/>
        <w:textAlignment w:val="baseline"/>
        <w:rPr>
          <w:rFonts w:eastAsia="Times New Roman" w:cstheme="minorHAnsi"/>
          <w:color w:val="FF0000"/>
          <w:lang w:eastAsia="en-GB"/>
        </w:rPr>
      </w:pPr>
      <w:r w:rsidRPr="0021205E">
        <w:rPr>
          <w:rFonts w:eastAsia="Times New Roman" w:cstheme="minorHAnsi"/>
          <w:b/>
          <w:bCs/>
          <w:color w:val="FF0000"/>
          <w:lang w:eastAsia="en-GB"/>
        </w:rPr>
        <w:t>Action: Mike Nash to contact EITI International Secretariat to ask for clarification</w:t>
      </w:r>
      <w:r>
        <w:rPr>
          <w:rFonts w:eastAsia="Times New Roman" w:cstheme="minorHAnsi"/>
          <w:b/>
          <w:bCs/>
          <w:color w:val="FF0000"/>
          <w:lang w:eastAsia="en-GB"/>
        </w:rPr>
        <w:t xml:space="preserve"> on what </w:t>
      </w:r>
      <w:r w:rsidR="00551426">
        <w:rPr>
          <w:rFonts w:eastAsia="Times New Roman" w:cstheme="minorHAnsi"/>
          <w:b/>
          <w:bCs/>
          <w:color w:val="FF0000"/>
          <w:lang w:eastAsia="en-GB"/>
        </w:rPr>
        <w:t>th</w:t>
      </w:r>
      <w:r>
        <w:rPr>
          <w:rFonts w:eastAsia="Times New Roman" w:cstheme="minorHAnsi"/>
          <w:b/>
          <w:bCs/>
          <w:color w:val="FF0000"/>
          <w:lang w:eastAsia="en-GB"/>
        </w:rPr>
        <w:t>is mea</w:t>
      </w:r>
      <w:r w:rsidR="00EA54A0">
        <w:rPr>
          <w:rFonts w:eastAsia="Times New Roman" w:cstheme="minorHAnsi"/>
          <w:b/>
          <w:bCs/>
          <w:color w:val="FF0000"/>
          <w:lang w:eastAsia="en-GB"/>
        </w:rPr>
        <w:t>ns</w:t>
      </w:r>
      <w:r w:rsidRPr="0021205E">
        <w:rPr>
          <w:rFonts w:eastAsia="Times New Roman" w:cstheme="minorHAnsi"/>
          <w:b/>
          <w:bCs/>
          <w:color w:val="FF0000"/>
          <w:lang w:eastAsia="en-GB"/>
        </w:rPr>
        <w:t>.</w:t>
      </w:r>
    </w:p>
    <w:p w14:paraId="4F9C1209" w14:textId="77777777" w:rsidR="0057329F" w:rsidRPr="00EA54A0" w:rsidRDefault="0057329F" w:rsidP="0057329F">
      <w:pPr>
        <w:pStyle w:val="ListParagraph"/>
        <w:numPr>
          <w:ilvl w:val="1"/>
          <w:numId w:val="7"/>
        </w:numPr>
        <w:shd w:val="clear" w:color="auto" w:fill="FFFFFF"/>
        <w:spacing w:after="160"/>
        <w:ind w:left="360"/>
        <w:contextualSpacing w:val="0"/>
        <w:textAlignment w:val="baseline"/>
        <w:rPr>
          <w:rFonts w:eastAsia="Times New Roman" w:cstheme="minorHAnsi"/>
          <w:color w:val="000000"/>
          <w:lang w:eastAsia="en-GB"/>
        </w:rPr>
      </w:pPr>
      <w:r w:rsidRPr="00110CA6">
        <w:rPr>
          <w:rFonts w:eastAsia="Times New Roman" w:cstheme="minorHAnsi"/>
          <w:color w:val="000000"/>
          <w:lang w:eastAsia="en-GB"/>
        </w:rPr>
        <w:t>Companies are encouraged to disclose realised sales volumes and values by project.</w:t>
      </w:r>
      <w:r>
        <w:rPr>
          <w:rFonts w:eastAsia="Times New Roman" w:cstheme="minorHAnsi"/>
          <w:color w:val="000000"/>
          <w:lang w:eastAsia="en-GB"/>
        </w:rPr>
        <w:t xml:space="preserve"> </w:t>
      </w:r>
      <w:r w:rsidRPr="00DE33EF">
        <w:rPr>
          <w:rFonts w:eastAsia="Times New Roman" w:cstheme="minorHAnsi"/>
          <w:b/>
          <w:bCs/>
          <w:lang w:eastAsia="en-GB"/>
        </w:rPr>
        <w:t>Not likely to happen because such data are generally regarded as being commercially confidential.</w:t>
      </w:r>
    </w:p>
    <w:p w14:paraId="1CB4F31A" w14:textId="656CD27A" w:rsidR="00EA54A0" w:rsidRPr="000E1561" w:rsidRDefault="00EA54A0" w:rsidP="00EA54A0">
      <w:pPr>
        <w:pStyle w:val="ListParagraph"/>
        <w:shd w:val="clear" w:color="auto" w:fill="FFFFFF"/>
        <w:spacing w:after="160"/>
        <w:ind w:left="360"/>
        <w:contextualSpacing w:val="0"/>
        <w:textAlignment w:val="baseline"/>
        <w:rPr>
          <w:rFonts w:eastAsia="Times New Roman" w:cstheme="minorHAnsi"/>
          <w:color w:val="FF0000"/>
          <w:lang w:eastAsia="en-GB"/>
        </w:rPr>
      </w:pPr>
      <w:r w:rsidRPr="000E1561">
        <w:rPr>
          <w:rFonts w:eastAsia="Times New Roman" w:cstheme="minorHAnsi"/>
          <w:b/>
          <w:bCs/>
          <w:color w:val="FF0000"/>
          <w:lang w:eastAsia="en-GB"/>
        </w:rPr>
        <w:t>Action: Mike Nash to contact Jacqui</w:t>
      </w:r>
      <w:r w:rsidR="00551426">
        <w:rPr>
          <w:rFonts w:eastAsia="Times New Roman" w:cstheme="minorHAnsi"/>
          <w:b/>
          <w:bCs/>
          <w:color w:val="FF0000"/>
          <w:lang w:eastAsia="en-GB"/>
        </w:rPr>
        <w:t>, Aurelie, Pat</w:t>
      </w:r>
      <w:r w:rsidRPr="000E1561">
        <w:rPr>
          <w:rFonts w:eastAsia="Times New Roman" w:cstheme="minorHAnsi"/>
          <w:b/>
          <w:bCs/>
          <w:color w:val="FF0000"/>
          <w:lang w:eastAsia="en-GB"/>
        </w:rPr>
        <w:t xml:space="preserve"> and John for their thoughts</w:t>
      </w:r>
      <w:r w:rsidR="00961FF0" w:rsidRPr="000E1561">
        <w:rPr>
          <w:rFonts w:eastAsia="Times New Roman" w:cstheme="minorHAnsi"/>
          <w:b/>
          <w:bCs/>
          <w:color w:val="FF0000"/>
          <w:lang w:eastAsia="en-GB"/>
        </w:rPr>
        <w:t xml:space="preserve"> on whether companies are likely to be forthcoming with this </w:t>
      </w:r>
      <w:r w:rsidR="000E1561" w:rsidRPr="000E1561">
        <w:rPr>
          <w:rFonts w:eastAsia="Times New Roman" w:cstheme="minorHAnsi"/>
          <w:b/>
          <w:bCs/>
          <w:color w:val="FF0000"/>
          <w:lang w:eastAsia="en-GB"/>
        </w:rPr>
        <w:t>information.</w:t>
      </w:r>
      <w:r w:rsidR="00961FF0" w:rsidRPr="000E1561">
        <w:rPr>
          <w:rFonts w:eastAsia="Times New Roman" w:cstheme="minorHAnsi"/>
          <w:b/>
          <w:bCs/>
          <w:color w:val="FF0000"/>
          <w:lang w:eastAsia="en-GB"/>
        </w:rPr>
        <w:t xml:space="preserve"> </w:t>
      </w:r>
    </w:p>
    <w:p w14:paraId="316CC341" w14:textId="77777777" w:rsidR="0057329F" w:rsidRPr="00761D8B" w:rsidRDefault="0057329F" w:rsidP="0057329F">
      <w:pPr>
        <w:spacing w:after="160"/>
        <w:textAlignment w:val="baseline"/>
        <w:outlineLvl w:val="2"/>
        <w:rPr>
          <w:rFonts w:eastAsia="Times New Roman" w:cstheme="minorHAnsi"/>
          <w:b/>
          <w:bCs/>
          <w:lang w:eastAsia="en-GB"/>
        </w:rPr>
      </w:pPr>
      <w:r w:rsidRPr="00761D8B">
        <w:rPr>
          <w:rFonts w:eastAsia="Times New Roman" w:cstheme="minorHAnsi"/>
          <w:b/>
          <w:bCs/>
          <w:bdr w:val="none" w:sz="0" w:space="0" w:color="auto" w:frame="1"/>
          <w:lang w:eastAsia="en-GB"/>
        </w:rPr>
        <w:t>3.3 Export data</w:t>
      </w:r>
    </w:p>
    <w:p w14:paraId="348B623D" w14:textId="77777777" w:rsidR="0057329F" w:rsidRPr="00435BCC" w:rsidRDefault="0057329F" w:rsidP="0057329F">
      <w:pPr>
        <w:spacing w:after="160"/>
        <w:textAlignment w:val="baseline"/>
        <w:rPr>
          <w:rFonts w:eastAsia="Times New Roman" w:cstheme="minorHAnsi"/>
          <w:b/>
          <w:bCs/>
          <w:color w:val="FF0000"/>
          <w:lang w:eastAsia="en-GB"/>
        </w:rPr>
      </w:pPr>
      <w:bookmarkStart w:id="2" w:name="r3-3"/>
      <w:bookmarkEnd w:id="2"/>
      <w:r w:rsidRPr="00761D8B">
        <w:rPr>
          <w:rFonts w:eastAsia="Times New Roman" w:cstheme="minorHAnsi"/>
          <w:color w:val="000000"/>
          <w:lang w:eastAsia="en-GB"/>
        </w:rPr>
        <w:t>The objective of this requirement is to ensure public understanding of extractive commodity(ies) export levels and the valuation of extractive commodity exports, as a basis for assessing expected government revenues from the extractive industries and the potential for government revenue leakages linked to under-reported.</w:t>
      </w:r>
      <w:r>
        <w:rPr>
          <w:rFonts w:eastAsia="Times New Roman" w:cstheme="minorHAnsi"/>
          <w:color w:val="FF0000"/>
          <w:lang w:eastAsia="en-GB"/>
        </w:rPr>
        <w:t xml:space="preserve"> </w:t>
      </w:r>
      <w:r w:rsidRPr="002950F9">
        <w:rPr>
          <w:rFonts w:eastAsia="Times New Roman" w:cstheme="minorHAnsi"/>
          <w:b/>
          <w:bCs/>
          <w:lang w:eastAsia="en-GB"/>
        </w:rPr>
        <w:t>This makes no sense in a UK context as government revenues from extractive industries are not linked to the volume or value of exports.</w:t>
      </w:r>
    </w:p>
    <w:p w14:paraId="62449EE4" w14:textId="77777777" w:rsidR="0057329F" w:rsidRPr="00A43CB7" w:rsidRDefault="0057329F" w:rsidP="0057329F">
      <w:pPr>
        <w:pStyle w:val="ListParagraph"/>
        <w:numPr>
          <w:ilvl w:val="0"/>
          <w:numId w:val="8"/>
        </w:numPr>
        <w:spacing w:after="160"/>
        <w:ind w:left="360"/>
        <w:contextualSpacing w:val="0"/>
        <w:textAlignment w:val="baseline"/>
        <w:rPr>
          <w:rFonts w:eastAsia="Times New Roman" w:cstheme="minorHAnsi"/>
          <w:color w:val="000000"/>
          <w:lang w:eastAsia="en-GB"/>
        </w:rPr>
      </w:pPr>
      <w:r w:rsidRPr="00A43CB7">
        <w:rPr>
          <w:rFonts w:eastAsia="Times New Roman" w:cstheme="minorHAnsi"/>
          <w:color w:val="000000"/>
          <w:lang w:eastAsia="en-GB"/>
        </w:rPr>
        <w:t>Implementing countries are required to disclose timely export data, including export volumes and the value by commodity and by exporting company.</w:t>
      </w:r>
      <w:r w:rsidRPr="006B0BD3">
        <w:rPr>
          <w:rFonts w:eastAsia="Times New Roman" w:cstheme="minorHAnsi"/>
          <w:b/>
          <w:bCs/>
          <w:color w:val="ED0000"/>
          <w:lang w:eastAsia="en-GB"/>
        </w:rPr>
        <w:t xml:space="preserve"> </w:t>
      </w:r>
      <w:r w:rsidRPr="002950F9">
        <w:rPr>
          <w:rFonts w:eastAsia="Times New Roman" w:cstheme="minorHAnsi"/>
          <w:b/>
          <w:bCs/>
          <w:lang w:eastAsia="en-GB"/>
        </w:rPr>
        <w:t xml:space="preserve">Data on the volume of total UK exports of </w:t>
      </w:r>
      <w:hyperlink r:id="rId18" w:history="1">
        <w:r w:rsidRPr="002950F9">
          <w:rPr>
            <w:rStyle w:val="Hyperlink"/>
            <w:rFonts w:eastAsia="Times New Roman" w:cstheme="minorHAnsi"/>
            <w:b/>
            <w:bCs/>
            <w:color w:val="auto"/>
            <w:lang w:eastAsia="en-GB"/>
          </w:rPr>
          <w:t>oil</w:t>
        </w:r>
      </w:hyperlink>
      <w:r w:rsidRPr="002950F9">
        <w:rPr>
          <w:rFonts w:eastAsia="Times New Roman" w:cstheme="minorHAnsi"/>
          <w:b/>
          <w:bCs/>
          <w:lang w:eastAsia="en-GB"/>
        </w:rPr>
        <w:t xml:space="preserve">, </w:t>
      </w:r>
      <w:hyperlink r:id="rId19" w:history="1">
        <w:r w:rsidRPr="002950F9">
          <w:rPr>
            <w:rStyle w:val="Hyperlink"/>
            <w:rFonts w:eastAsia="Times New Roman" w:cstheme="minorHAnsi"/>
            <w:b/>
            <w:bCs/>
            <w:color w:val="auto"/>
            <w:lang w:eastAsia="en-GB"/>
          </w:rPr>
          <w:t>natural gas</w:t>
        </w:r>
      </w:hyperlink>
      <w:r w:rsidRPr="002950F9">
        <w:rPr>
          <w:rFonts w:eastAsia="Times New Roman" w:cstheme="minorHAnsi"/>
          <w:b/>
          <w:bCs/>
          <w:lang w:eastAsia="en-GB"/>
        </w:rPr>
        <w:t xml:space="preserve"> and </w:t>
      </w:r>
      <w:hyperlink r:id="rId20" w:history="1">
        <w:r w:rsidRPr="002950F9">
          <w:rPr>
            <w:rStyle w:val="Hyperlink"/>
            <w:rFonts w:eastAsia="Times New Roman" w:cstheme="minorHAnsi"/>
            <w:b/>
            <w:bCs/>
            <w:color w:val="auto"/>
            <w:lang w:eastAsia="en-GB"/>
          </w:rPr>
          <w:t>coal</w:t>
        </w:r>
      </w:hyperlink>
      <w:r w:rsidRPr="002950F9">
        <w:rPr>
          <w:rFonts w:eastAsia="Times New Roman" w:cstheme="minorHAnsi"/>
          <w:b/>
          <w:bCs/>
          <w:lang w:eastAsia="en-GB"/>
        </w:rPr>
        <w:t xml:space="preserve"> is published online by DESNZ each month with a lag of 2 months; see Energy Trends tables 3.10 (oil), 4.2 (natural gas) and 2.5 (coal). Data on export values for oil, natural gas and coal are </w:t>
      </w:r>
      <w:hyperlink r:id="rId21" w:history="1">
        <w:r w:rsidRPr="002950F9">
          <w:rPr>
            <w:rStyle w:val="Hyperlink"/>
            <w:rFonts w:eastAsia="Times New Roman" w:cstheme="minorHAnsi"/>
            <w:b/>
            <w:bCs/>
            <w:color w:val="auto"/>
            <w:lang w:eastAsia="en-GB"/>
          </w:rPr>
          <w:t>published</w:t>
        </w:r>
      </w:hyperlink>
      <w:r w:rsidRPr="002950F9">
        <w:rPr>
          <w:rFonts w:eastAsia="Times New Roman" w:cstheme="minorHAnsi"/>
          <w:b/>
          <w:bCs/>
          <w:lang w:eastAsia="en-GB"/>
        </w:rPr>
        <w:t xml:space="preserve"> online by DESNZ annually in the July following the year in question; see DUKES 1.2. The UK government does not collect export data by exporting company. ONS/HMRC data on export values. Published aggregate UK data on export values are more timely than UK data on export volumes except for oil, gas and coal.</w:t>
      </w:r>
      <w:r w:rsidRPr="00244232">
        <w:rPr>
          <w:rFonts w:eastAsia="Times New Roman" w:cstheme="minorHAnsi"/>
          <w:color w:val="000000"/>
          <w:sz w:val="12"/>
          <w:szCs w:val="12"/>
          <w:lang w:eastAsia="en-GB"/>
        </w:rPr>
        <w:br/>
      </w:r>
      <w:r w:rsidRPr="00244232">
        <w:rPr>
          <w:rFonts w:eastAsia="Times New Roman" w:cstheme="minorHAnsi"/>
          <w:color w:val="000000"/>
          <w:sz w:val="12"/>
          <w:szCs w:val="12"/>
          <w:lang w:eastAsia="en-GB"/>
        </w:rPr>
        <w:br/>
      </w:r>
      <w:r w:rsidRPr="00A43CB7">
        <w:rPr>
          <w:rFonts w:eastAsia="Times New Roman" w:cstheme="minorHAnsi"/>
          <w:color w:val="000000"/>
          <w:lang w:eastAsia="en-GB"/>
        </w:rPr>
        <w:t>Implementing countries are expected to disaggregate export data by transaction.</w:t>
      </w:r>
      <w:r>
        <w:rPr>
          <w:rFonts w:eastAsia="Times New Roman" w:cstheme="minorHAnsi"/>
          <w:b/>
          <w:bCs/>
          <w:color w:val="ED0000"/>
          <w:lang w:eastAsia="en-GB"/>
        </w:rPr>
        <w:t xml:space="preserve"> </w:t>
      </w:r>
      <w:r w:rsidRPr="002950F9">
        <w:rPr>
          <w:rFonts w:eastAsia="Times New Roman" w:cstheme="minorHAnsi"/>
          <w:b/>
          <w:bCs/>
          <w:lang w:eastAsia="en-GB"/>
        </w:rPr>
        <w:t>The UK government does not collect export data by transaction.</w:t>
      </w:r>
      <w:r w:rsidRPr="00244232">
        <w:rPr>
          <w:rFonts w:eastAsia="Times New Roman" w:cstheme="minorHAnsi"/>
          <w:color w:val="000000"/>
          <w:sz w:val="12"/>
          <w:szCs w:val="12"/>
          <w:lang w:eastAsia="en-GB"/>
        </w:rPr>
        <w:br/>
      </w:r>
      <w:r w:rsidRPr="00244232">
        <w:rPr>
          <w:rFonts w:eastAsia="Times New Roman" w:cstheme="minorHAnsi"/>
          <w:color w:val="000000"/>
          <w:sz w:val="12"/>
          <w:szCs w:val="12"/>
          <w:lang w:eastAsia="en-GB"/>
        </w:rPr>
        <w:br/>
      </w:r>
      <w:r w:rsidRPr="00A43CB7">
        <w:rPr>
          <w:rFonts w:eastAsia="Times New Roman" w:cstheme="minorHAnsi"/>
          <w:color w:val="000000"/>
          <w:lang w:eastAsia="en-GB"/>
        </w:rPr>
        <w:t>An estimate of exports resulting from artisanal and small-scale activities must be disclosed where applicable and available.</w:t>
      </w:r>
      <w:r>
        <w:rPr>
          <w:rFonts w:eastAsia="Times New Roman" w:cstheme="minorHAnsi"/>
          <w:b/>
          <w:bCs/>
          <w:color w:val="ED0000"/>
          <w:lang w:eastAsia="en-GB"/>
        </w:rPr>
        <w:t xml:space="preserve"> </w:t>
      </w:r>
      <w:r w:rsidRPr="002950F9">
        <w:rPr>
          <w:rFonts w:eastAsia="Times New Roman" w:cstheme="minorHAnsi"/>
          <w:b/>
          <w:bCs/>
          <w:lang w:eastAsia="en-GB"/>
        </w:rPr>
        <w:t>Not relevant to the UK.</w:t>
      </w:r>
    </w:p>
    <w:p w14:paraId="7D907DC5" w14:textId="77777777" w:rsidR="0057329F" w:rsidRDefault="0057329F" w:rsidP="0057329F">
      <w:pPr>
        <w:pStyle w:val="ListParagraph"/>
        <w:numPr>
          <w:ilvl w:val="0"/>
          <w:numId w:val="8"/>
        </w:numPr>
        <w:spacing w:after="160"/>
        <w:ind w:left="360"/>
        <w:contextualSpacing w:val="0"/>
        <w:textAlignment w:val="baseline"/>
        <w:rPr>
          <w:rFonts w:eastAsia="Times New Roman" w:cstheme="minorHAnsi"/>
          <w:color w:val="000000"/>
          <w:lang w:eastAsia="en-GB"/>
        </w:rPr>
      </w:pPr>
      <w:r w:rsidRPr="00A43CB7">
        <w:rPr>
          <w:rFonts w:eastAsia="Times New Roman" w:cstheme="minorHAnsi"/>
          <w:color w:val="000000"/>
          <w:lang w:eastAsia="en-GB"/>
        </w:rPr>
        <w:t>The sources of and the methods for calculating export volumes and values must be disclosed.</w:t>
      </w:r>
      <w:r>
        <w:rPr>
          <w:rFonts w:eastAsia="Times New Roman" w:cstheme="minorHAnsi"/>
          <w:color w:val="000000"/>
          <w:lang w:eastAsia="en-GB"/>
        </w:rPr>
        <w:t xml:space="preserve"> </w:t>
      </w:r>
      <w:r w:rsidRPr="002950F9">
        <w:rPr>
          <w:rFonts w:eastAsia="Times New Roman" w:cstheme="minorHAnsi"/>
          <w:b/>
          <w:bCs/>
          <w:lang w:eastAsia="en-GB"/>
        </w:rPr>
        <w:t xml:space="preserve">See </w:t>
      </w:r>
      <w:hyperlink r:id="rId22" w:history="1">
        <w:r w:rsidRPr="002950F9">
          <w:rPr>
            <w:rStyle w:val="Hyperlink"/>
            <w:rFonts w:eastAsia="Times New Roman" w:cstheme="minorHAnsi"/>
            <w:b/>
            <w:bCs/>
            <w:color w:val="auto"/>
            <w:lang w:eastAsia="en-GB"/>
          </w:rPr>
          <w:t>UK Trade QMI</w:t>
        </w:r>
      </w:hyperlink>
      <w:r w:rsidRPr="002950F9">
        <w:rPr>
          <w:rFonts w:eastAsia="Times New Roman" w:cstheme="minorHAnsi"/>
          <w:b/>
          <w:bCs/>
          <w:lang w:eastAsia="en-GB"/>
        </w:rPr>
        <w:t xml:space="preserve"> (Quality and Methodology Information).</w:t>
      </w:r>
      <w:r w:rsidRPr="002950F9">
        <w:rPr>
          <w:rFonts w:eastAsia="Times New Roman" w:cstheme="minorHAnsi"/>
          <w:lang w:eastAsia="en-GB"/>
        </w:rPr>
        <w:t xml:space="preserve"> </w:t>
      </w:r>
      <w:r w:rsidRPr="00A43CB7">
        <w:rPr>
          <w:rFonts w:eastAsia="Times New Roman" w:cstheme="minorHAnsi"/>
          <w:color w:val="000000"/>
          <w:lang w:eastAsia="en-GB"/>
        </w:rPr>
        <w:t>Implementing countries must disclose existing mechanisms to monitor and verify the accuracy of export data and document findings, including any weaknesses related to the comprehensiveness and reliability of publicly available export data. This could involve analysing possible deviations between export values and market prices and/or import values reported by the destination country.</w:t>
      </w:r>
    </w:p>
    <w:p w14:paraId="500B3663" w14:textId="7A203FFE" w:rsidR="00D02F2F" w:rsidRPr="00D8348F" w:rsidRDefault="00D02F2F" w:rsidP="00D02F2F">
      <w:pPr>
        <w:pStyle w:val="ListParagraph"/>
        <w:spacing w:after="160"/>
        <w:ind w:left="360"/>
        <w:contextualSpacing w:val="0"/>
        <w:textAlignment w:val="baseline"/>
        <w:rPr>
          <w:rFonts w:eastAsia="Times New Roman" w:cstheme="minorHAnsi"/>
          <w:b/>
          <w:bCs/>
          <w:color w:val="FF0000"/>
          <w:lang w:eastAsia="en-GB"/>
        </w:rPr>
      </w:pPr>
      <w:r w:rsidRPr="00D8348F">
        <w:rPr>
          <w:rFonts w:eastAsia="Times New Roman" w:cstheme="minorHAnsi"/>
          <w:b/>
          <w:bCs/>
          <w:color w:val="FF0000"/>
          <w:lang w:eastAsia="en-GB"/>
        </w:rPr>
        <w:t xml:space="preserve">Action: Mike Nash to check with DESNZ </w:t>
      </w:r>
      <w:r w:rsidR="00D8348F" w:rsidRPr="00D8348F">
        <w:rPr>
          <w:rFonts w:eastAsia="Times New Roman" w:cstheme="minorHAnsi"/>
          <w:b/>
          <w:bCs/>
          <w:color w:val="FF0000"/>
          <w:lang w:eastAsia="en-GB"/>
        </w:rPr>
        <w:t xml:space="preserve">stats </w:t>
      </w:r>
      <w:r w:rsidRPr="00D8348F">
        <w:rPr>
          <w:rFonts w:eastAsia="Times New Roman" w:cstheme="minorHAnsi"/>
          <w:b/>
          <w:bCs/>
          <w:color w:val="FF0000"/>
          <w:lang w:eastAsia="en-GB"/>
        </w:rPr>
        <w:t>colleague</w:t>
      </w:r>
      <w:r w:rsidR="00D8348F" w:rsidRPr="00D8348F">
        <w:rPr>
          <w:rFonts w:eastAsia="Times New Roman" w:cstheme="minorHAnsi"/>
          <w:b/>
          <w:bCs/>
          <w:color w:val="FF0000"/>
          <w:lang w:eastAsia="en-GB"/>
        </w:rPr>
        <w:t>s</w:t>
      </w:r>
      <w:r w:rsidR="00D8348F">
        <w:rPr>
          <w:rFonts w:eastAsia="Times New Roman" w:cstheme="minorHAnsi"/>
          <w:b/>
          <w:bCs/>
          <w:color w:val="FF0000"/>
          <w:lang w:eastAsia="en-GB"/>
        </w:rPr>
        <w:t xml:space="preserve"> whether this information is available.</w:t>
      </w:r>
    </w:p>
    <w:p w14:paraId="2B35F2D1" w14:textId="77777777" w:rsidR="0057329F" w:rsidRPr="00766FBD" w:rsidRDefault="0057329F" w:rsidP="0057329F">
      <w:pPr>
        <w:pStyle w:val="ListParagraph"/>
        <w:numPr>
          <w:ilvl w:val="0"/>
          <w:numId w:val="8"/>
        </w:numPr>
        <w:spacing w:after="160"/>
        <w:ind w:left="360"/>
        <w:contextualSpacing w:val="0"/>
        <w:textAlignment w:val="baseline"/>
        <w:rPr>
          <w:rFonts w:eastAsia="Times New Roman" w:cstheme="minorHAnsi"/>
          <w:lang w:eastAsia="en-GB"/>
        </w:rPr>
      </w:pPr>
      <w:r w:rsidRPr="00A43CB7">
        <w:rPr>
          <w:rFonts w:eastAsia="Times New Roman" w:cstheme="minorHAnsi"/>
          <w:color w:val="000000"/>
          <w:lang w:eastAsia="en-GB"/>
        </w:rPr>
        <w:t>Implementing countries are expected to present export data using national and international commodity classification standards.</w:t>
      </w:r>
      <w:r w:rsidRPr="00E20A4F">
        <w:t xml:space="preserve"> </w:t>
      </w:r>
      <w:r w:rsidRPr="002950F9">
        <w:rPr>
          <w:rFonts w:eastAsia="Times New Roman" w:cstheme="minorHAnsi"/>
          <w:b/>
          <w:bCs/>
          <w:lang w:eastAsia="en-GB"/>
        </w:rPr>
        <w:t>UK trade data form part of the broader system of UK National Accounts. The international standard for national accounts is the System of National Accounts 2008 (SNA08). The EU published its own version of SNA08, European System of National Accounts 2010 (ESA 2010) upon which the UK's National Accounts are based.</w:t>
      </w:r>
    </w:p>
    <w:p w14:paraId="25F55190" w14:textId="77777777" w:rsidR="00766FBD" w:rsidRPr="007F7D1E" w:rsidRDefault="00766FBD" w:rsidP="007F7D1E">
      <w:pPr>
        <w:spacing w:after="160"/>
        <w:ind w:firstLine="360"/>
        <w:textAlignment w:val="baseline"/>
        <w:rPr>
          <w:rFonts w:eastAsia="Times New Roman" w:cstheme="minorHAnsi"/>
          <w:b/>
          <w:bCs/>
          <w:color w:val="FF0000"/>
          <w:lang w:eastAsia="en-GB"/>
        </w:rPr>
      </w:pPr>
      <w:r w:rsidRPr="007F7D1E">
        <w:rPr>
          <w:rFonts w:eastAsia="Times New Roman" w:cstheme="minorHAnsi"/>
          <w:b/>
          <w:bCs/>
          <w:color w:val="FF0000"/>
          <w:lang w:eastAsia="en-GB"/>
        </w:rPr>
        <w:t>Action: Mike Nash to check with DESNZ stats colleagues whether this information is available.</w:t>
      </w:r>
    </w:p>
    <w:p w14:paraId="4FB10654" w14:textId="77777777" w:rsidR="0057329F" w:rsidRPr="00A43CB7" w:rsidRDefault="0057329F" w:rsidP="0057329F">
      <w:pPr>
        <w:pStyle w:val="ListParagraph"/>
        <w:numPr>
          <w:ilvl w:val="0"/>
          <w:numId w:val="8"/>
        </w:numPr>
        <w:spacing w:after="160"/>
        <w:ind w:left="360"/>
        <w:contextualSpacing w:val="0"/>
        <w:textAlignment w:val="baseline"/>
        <w:rPr>
          <w:rFonts w:eastAsia="Times New Roman" w:cstheme="minorHAnsi"/>
          <w:color w:val="000000"/>
          <w:lang w:eastAsia="en-GB"/>
        </w:rPr>
      </w:pPr>
      <w:r w:rsidRPr="00A43CB7">
        <w:rPr>
          <w:rFonts w:eastAsia="Times New Roman" w:cstheme="minorHAnsi"/>
          <w:color w:val="000000"/>
          <w:lang w:eastAsia="en-GB"/>
        </w:rPr>
        <w:t>Exporting companies and buyers of commodities, including commodity traders, are encouraged to disclose realised sales volumes and values by project.</w:t>
      </w:r>
      <w:r w:rsidRPr="00884528">
        <w:rPr>
          <w:rFonts w:eastAsia="Times New Roman" w:cstheme="minorHAnsi"/>
          <w:b/>
          <w:bCs/>
          <w:color w:val="FF0000"/>
          <w:lang w:eastAsia="en-GB"/>
        </w:rPr>
        <w:t xml:space="preserve"> </w:t>
      </w:r>
      <w:r w:rsidRPr="002950F9">
        <w:rPr>
          <w:rFonts w:eastAsia="Times New Roman" w:cstheme="minorHAnsi"/>
          <w:b/>
          <w:bCs/>
          <w:lang w:eastAsia="en-GB"/>
        </w:rPr>
        <w:t>Not likely to happen because such data are generally regarded as being commercially confidential.</w:t>
      </w:r>
    </w:p>
    <w:p w14:paraId="554CAC84" w14:textId="77777777" w:rsidR="0057329F" w:rsidRPr="00A43CB7" w:rsidRDefault="0057329F" w:rsidP="0057329F">
      <w:pPr>
        <w:pStyle w:val="ListParagraph"/>
        <w:numPr>
          <w:ilvl w:val="0"/>
          <w:numId w:val="8"/>
        </w:numPr>
        <w:spacing w:after="160"/>
        <w:ind w:left="360"/>
        <w:contextualSpacing w:val="0"/>
        <w:textAlignment w:val="baseline"/>
        <w:rPr>
          <w:rFonts w:eastAsia="Times New Roman" w:cstheme="minorHAnsi"/>
          <w:color w:val="000000"/>
          <w:lang w:eastAsia="en-GB"/>
        </w:rPr>
      </w:pPr>
      <w:r w:rsidRPr="00A43CB7">
        <w:rPr>
          <w:rFonts w:eastAsia="Times New Roman" w:cstheme="minorHAnsi"/>
          <w:color w:val="000000"/>
          <w:lang w:eastAsia="en-GB"/>
        </w:rPr>
        <w:t>Implementing countries are encouraged to present export data by region, destination and buyer. Exporting companies and implementing countries are encouraged to disclose whether the buyer is a related party.</w:t>
      </w:r>
      <w:r>
        <w:rPr>
          <w:rFonts w:eastAsia="Times New Roman" w:cstheme="minorHAnsi"/>
          <w:color w:val="000000"/>
          <w:lang w:eastAsia="en-GB"/>
        </w:rPr>
        <w:t xml:space="preserve"> </w:t>
      </w:r>
      <w:r w:rsidRPr="002950F9">
        <w:rPr>
          <w:rFonts w:eastAsia="Times New Roman" w:cstheme="minorHAnsi"/>
          <w:b/>
          <w:bCs/>
          <w:lang w:eastAsia="en-GB"/>
        </w:rPr>
        <w:t xml:space="preserve">Trade volumes for </w:t>
      </w:r>
      <w:hyperlink r:id="rId23" w:history="1">
        <w:r w:rsidRPr="002950F9">
          <w:rPr>
            <w:rStyle w:val="Hyperlink"/>
            <w:rFonts w:eastAsia="Times New Roman" w:cstheme="minorHAnsi"/>
            <w:b/>
            <w:bCs/>
            <w:color w:val="auto"/>
            <w:lang w:eastAsia="en-GB"/>
          </w:rPr>
          <w:t>oil</w:t>
        </w:r>
      </w:hyperlink>
      <w:r w:rsidRPr="002950F9">
        <w:rPr>
          <w:rFonts w:eastAsia="Times New Roman" w:cstheme="minorHAnsi"/>
          <w:b/>
          <w:bCs/>
          <w:lang w:eastAsia="en-GB"/>
        </w:rPr>
        <w:t xml:space="preserve"> and </w:t>
      </w:r>
      <w:hyperlink r:id="rId24" w:history="1">
        <w:r w:rsidRPr="002950F9">
          <w:rPr>
            <w:rStyle w:val="Hyperlink"/>
            <w:rFonts w:eastAsia="Times New Roman" w:cstheme="minorHAnsi"/>
            <w:b/>
            <w:bCs/>
            <w:color w:val="auto"/>
            <w:lang w:eastAsia="en-GB"/>
          </w:rPr>
          <w:t>natural gas</w:t>
        </w:r>
      </w:hyperlink>
      <w:r w:rsidRPr="002950F9">
        <w:rPr>
          <w:rFonts w:eastAsia="Times New Roman" w:cstheme="minorHAnsi"/>
          <w:b/>
          <w:bCs/>
          <w:lang w:eastAsia="en-GB"/>
        </w:rPr>
        <w:t xml:space="preserve"> are given by proximate source and destination country in the data published by DESNZ; see Energy Trends tables 3.14 and 3.15 (oil) and 4.3 and 4.4 (natural gas). Import volumes for </w:t>
      </w:r>
      <w:hyperlink r:id="rId25" w:history="1">
        <w:r w:rsidRPr="002950F9">
          <w:rPr>
            <w:rStyle w:val="Hyperlink"/>
            <w:rFonts w:eastAsia="Times New Roman" w:cstheme="minorHAnsi"/>
            <w:b/>
            <w:bCs/>
            <w:color w:val="auto"/>
            <w:lang w:eastAsia="en-GB"/>
          </w:rPr>
          <w:t>coal</w:t>
        </w:r>
      </w:hyperlink>
      <w:r w:rsidRPr="002950F9">
        <w:rPr>
          <w:rFonts w:eastAsia="Times New Roman" w:cstheme="minorHAnsi"/>
          <w:b/>
          <w:bCs/>
          <w:lang w:eastAsia="en-GB"/>
        </w:rPr>
        <w:t xml:space="preserve"> are given by proximate source in the data published by DESNZ; see Energy Trends table 2.4.</w:t>
      </w:r>
    </w:p>
    <w:p w14:paraId="79832249" w14:textId="77777777" w:rsidR="0057329F" w:rsidRPr="00761D8B" w:rsidRDefault="0057329F" w:rsidP="0057329F">
      <w:pPr>
        <w:spacing w:after="160"/>
        <w:textAlignment w:val="baseline"/>
        <w:outlineLvl w:val="2"/>
        <w:rPr>
          <w:rFonts w:eastAsia="Times New Roman" w:cstheme="minorHAnsi"/>
          <w:b/>
          <w:bCs/>
          <w:lang w:eastAsia="en-GB"/>
        </w:rPr>
      </w:pPr>
      <w:r w:rsidRPr="00761D8B">
        <w:rPr>
          <w:rFonts w:eastAsia="Times New Roman" w:cstheme="minorHAnsi"/>
          <w:b/>
          <w:bCs/>
          <w:bdr w:val="none" w:sz="0" w:space="0" w:color="auto" w:frame="1"/>
          <w:lang w:eastAsia="en-GB"/>
        </w:rPr>
        <w:t>3.4 Greenhouse gas emissions</w:t>
      </w:r>
    </w:p>
    <w:p w14:paraId="6D3A215A" w14:textId="77777777" w:rsidR="00930B26" w:rsidRDefault="0057329F" w:rsidP="00930B26">
      <w:pPr>
        <w:spacing w:after="160"/>
        <w:textAlignment w:val="baseline"/>
        <w:rPr>
          <w:rFonts w:eastAsia="Times New Roman" w:cstheme="minorHAnsi"/>
          <w:b/>
          <w:bCs/>
          <w:bdr w:val="none" w:sz="0" w:space="0" w:color="auto" w:frame="1"/>
          <w:lang w:eastAsia="en-GB"/>
        </w:rPr>
      </w:pPr>
      <w:bookmarkStart w:id="3" w:name="r3-4"/>
      <w:bookmarkEnd w:id="3"/>
      <w:r w:rsidRPr="00761D8B">
        <w:rPr>
          <w:rFonts w:eastAsia="Times New Roman" w:cstheme="minorHAnsi"/>
          <w:color w:val="000000"/>
          <w:bdr w:val="none" w:sz="0" w:space="0" w:color="auto" w:frame="1"/>
          <w:lang w:eastAsia="en-GB"/>
        </w:rPr>
        <w:t>Companies are encouraged to disclose greenhouse gas (GHG) emissions in alignment with existing leading disclosure standards. Where feasible, the multi-stakeholder group is encouraged to request disaggregated disclosures.</w:t>
      </w:r>
      <w:r>
        <w:rPr>
          <w:rFonts w:eastAsia="Times New Roman" w:cstheme="minorHAnsi"/>
          <w:color w:val="000000"/>
          <w:bdr w:val="none" w:sz="0" w:space="0" w:color="auto" w:frame="1"/>
          <w:lang w:eastAsia="en-GB"/>
        </w:rPr>
        <w:t xml:space="preserve"> </w:t>
      </w:r>
      <w:r w:rsidRPr="00021C18">
        <w:rPr>
          <w:rFonts w:eastAsia="Times New Roman" w:cstheme="minorHAnsi"/>
          <w:b/>
          <w:bCs/>
          <w:bdr w:val="none" w:sz="0" w:space="0" w:color="auto" w:frame="1"/>
          <w:lang w:eastAsia="en-GB"/>
        </w:rPr>
        <w:t xml:space="preserve">Detailed data on total UK GHG emissions are </w:t>
      </w:r>
      <w:hyperlink r:id="rId26" w:history="1">
        <w:r w:rsidRPr="00021C18">
          <w:rPr>
            <w:rStyle w:val="Hyperlink"/>
            <w:rFonts w:eastAsia="Times New Roman" w:cstheme="minorHAnsi"/>
            <w:b/>
            <w:bCs/>
            <w:color w:val="auto"/>
            <w:bdr w:val="none" w:sz="0" w:space="0" w:color="auto" w:frame="1"/>
            <w:lang w:eastAsia="en-GB"/>
          </w:rPr>
          <w:t>published</w:t>
        </w:r>
      </w:hyperlink>
      <w:r w:rsidRPr="00021C18">
        <w:rPr>
          <w:rFonts w:eastAsia="Times New Roman" w:cstheme="minorHAnsi"/>
          <w:b/>
          <w:bCs/>
          <w:bdr w:val="none" w:sz="0" w:space="0" w:color="auto" w:frame="1"/>
          <w:lang w:eastAsia="en-GB"/>
        </w:rPr>
        <w:t xml:space="preserve"> by DESNZ.</w:t>
      </w:r>
    </w:p>
    <w:p w14:paraId="6EA43D1E" w14:textId="2F0A6A0F" w:rsidR="007F7D1E" w:rsidRDefault="007F7D1E" w:rsidP="007F7D1E">
      <w:pPr>
        <w:pStyle w:val="ListParagraph"/>
        <w:shd w:val="clear" w:color="auto" w:fill="FFFFFF"/>
        <w:spacing w:after="160"/>
        <w:ind w:left="360"/>
        <w:contextualSpacing w:val="0"/>
        <w:textAlignment w:val="baseline"/>
        <w:rPr>
          <w:rFonts w:eastAsia="Times New Roman" w:cstheme="minorHAnsi"/>
          <w:b/>
          <w:bCs/>
          <w:color w:val="FF0000"/>
          <w:lang w:eastAsia="en-GB"/>
        </w:rPr>
      </w:pPr>
      <w:r w:rsidRPr="0021205E">
        <w:rPr>
          <w:rFonts w:eastAsia="Times New Roman" w:cstheme="minorHAnsi"/>
          <w:b/>
          <w:bCs/>
          <w:color w:val="FF0000"/>
          <w:lang w:eastAsia="en-GB"/>
        </w:rPr>
        <w:t>Action: Mike Nash to contact EITI International Secretariat to ask for clarification</w:t>
      </w:r>
      <w:r>
        <w:rPr>
          <w:rFonts w:eastAsia="Times New Roman" w:cstheme="minorHAnsi"/>
          <w:b/>
          <w:bCs/>
          <w:color w:val="FF0000"/>
          <w:lang w:eastAsia="en-GB"/>
        </w:rPr>
        <w:t xml:space="preserve"> on whether this refers to all companies are just those covered by the reconciliation</w:t>
      </w:r>
      <w:r w:rsidR="00C07B45">
        <w:rPr>
          <w:rFonts w:eastAsia="Times New Roman" w:cstheme="minorHAnsi"/>
          <w:b/>
          <w:bCs/>
          <w:color w:val="FF0000"/>
          <w:lang w:eastAsia="en-GB"/>
        </w:rPr>
        <w:t>.</w:t>
      </w:r>
    </w:p>
    <w:p w14:paraId="2C73F2AF" w14:textId="0EBBA863" w:rsidR="00930B26" w:rsidRDefault="00C07B45" w:rsidP="006F31DF">
      <w:pPr>
        <w:pStyle w:val="ListParagraph"/>
        <w:shd w:val="clear" w:color="auto" w:fill="FFFFFF"/>
        <w:spacing w:after="160"/>
        <w:ind w:left="360"/>
        <w:contextualSpacing w:val="0"/>
        <w:textAlignment w:val="baseline"/>
        <w:rPr>
          <w:rFonts w:eastAsia="Times New Roman" w:cstheme="minorHAnsi"/>
          <w:color w:val="000000"/>
          <w:bdr w:val="none" w:sz="0" w:space="0" w:color="auto" w:frame="1"/>
          <w:lang w:eastAsia="en-GB"/>
        </w:rPr>
      </w:pPr>
      <w:r>
        <w:rPr>
          <w:rFonts w:eastAsia="Times New Roman" w:cstheme="minorHAnsi"/>
          <w:b/>
          <w:bCs/>
          <w:color w:val="FF0000"/>
          <w:lang w:eastAsia="en-GB"/>
        </w:rPr>
        <w:t xml:space="preserve">Action: </w:t>
      </w:r>
      <w:r w:rsidR="004432C8">
        <w:rPr>
          <w:rFonts w:eastAsia="Times New Roman" w:cstheme="minorHAnsi"/>
          <w:b/>
          <w:bCs/>
          <w:color w:val="FF0000"/>
          <w:lang w:eastAsia="en-GB"/>
        </w:rPr>
        <w:t xml:space="preserve">Possible Mining &amp; Quarrying subgroup meeting required to </w:t>
      </w:r>
      <w:r w:rsidR="007209AC">
        <w:rPr>
          <w:rFonts w:eastAsia="Times New Roman" w:cstheme="minorHAnsi"/>
          <w:b/>
          <w:bCs/>
          <w:color w:val="FF0000"/>
          <w:lang w:eastAsia="en-GB"/>
        </w:rPr>
        <w:t>ensure that all companies are being captured by the reconciliation process.</w:t>
      </w:r>
    </w:p>
    <w:p w14:paraId="14BBA1DA" w14:textId="4B393885" w:rsidR="0057329F" w:rsidRPr="00F225DD" w:rsidRDefault="0057329F" w:rsidP="00930B26">
      <w:pPr>
        <w:spacing w:after="160"/>
        <w:textAlignment w:val="baseline"/>
        <w:rPr>
          <w:rFonts w:eastAsia="Times New Roman" w:cstheme="minorHAnsi"/>
          <w:b/>
          <w:bCs/>
          <w:lang w:eastAsia="en-GB"/>
        </w:rPr>
      </w:pPr>
      <w:r w:rsidRPr="00F225DD">
        <w:rPr>
          <w:rFonts w:eastAsia="Times New Roman" w:cstheme="minorHAnsi"/>
          <w:b/>
          <w:bCs/>
          <w:bdr w:val="none" w:sz="0" w:space="0" w:color="auto" w:frame="1"/>
          <w:lang w:eastAsia="en-GB"/>
        </w:rPr>
        <w:t>4.10 Project costs</w:t>
      </w:r>
    </w:p>
    <w:p w14:paraId="7D3CF478" w14:textId="77777777" w:rsidR="0057329F" w:rsidRPr="00F225DD" w:rsidRDefault="0057329F" w:rsidP="0057329F">
      <w:pPr>
        <w:shd w:val="clear" w:color="auto" w:fill="FFFFFF"/>
        <w:spacing w:after="160"/>
        <w:textAlignment w:val="baseline"/>
        <w:rPr>
          <w:rFonts w:eastAsia="Times New Roman" w:cstheme="minorHAnsi"/>
          <w:color w:val="000000"/>
          <w:lang w:eastAsia="en-GB"/>
        </w:rPr>
      </w:pPr>
      <w:bookmarkStart w:id="4" w:name="r4-10"/>
      <w:bookmarkEnd w:id="4"/>
      <w:r w:rsidRPr="00F225DD">
        <w:rPr>
          <w:rFonts w:eastAsia="Times New Roman" w:cstheme="minorHAnsi"/>
          <w:color w:val="000000"/>
          <w:lang w:eastAsia="en-GB"/>
        </w:rPr>
        <w:t>The objective of this requirement is to increase public understanding about exploration and production costs in the country’s extractive sector and about government policies and practices to monitor companies’ costs.</w:t>
      </w:r>
    </w:p>
    <w:p w14:paraId="267B9C5A" w14:textId="77777777" w:rsidR="0057329F" w:rsidRPr="00A43CB7" w:rsidRDefault="0057329F" w:rsidP="0057329F">
      <w:pPr>
        <w:pStyle w:val="ListParagraph"/>
        <w:numPr>
          <w:ilvl w:val="0"/>
          <w:numId w:val="9"/>
        </w:numPr>
        <w:shd w:val="clear" w:color="auto" w:fill="FFFFFF"/>
        <w:spacing w:after="160"/>
        <w:ind w:left="360"/>
        <w:contextualSpacing w:val="0"/>
        <w:textAlignment w:val="baseline"/>
        <w:rPr>
          <w:rFonts w:eastAsia="Times New Roman" w:cstheme="minorHAnsi"/>
          <w:color w:val="000000"/>
          <w:lang w:eastAsia="en-GB"/>
        </w:rPr>
      </w:pPr>
      <w:r w:rsidRPr="00A43CB7">
        <w:rPr>
          <w:rFonts w:eastAsia="Times New Roman" w:cstheme="minorHAnsi"/>
          <w:color w:val="000000"/>
          <w:lang w:eastAsia="en-GB"/>
        </w:rPr>
        <w:t>Implementing countries are required to disclose government policies and practices for monitoring oil, gas and mining project costs and managing revenue loss risks. This must include the disclosure of relevant laws, regulations and policies, as well as actions undertaken to monitor costs.</w:t>
      </w:r>
      <w:r>
        <w:rPr>
          <w:rFonts w:eastAsia="Times New Roman" w:cstheme="minorHAnsi"/>
          <w:color w:val="000000"/>
          <w:lang w:eastAsia="en-GB"/>
        </w:rPr>
        <w:t xml:space="preserve"> </w:t>
      </w:r>
      <w:r w:rsidRPr="00021C18">
        <w:rPr>
          <w:rFonts w:eastAsia="Times New Roman" w:cstheme="minorHAnsi"/>
          <w:b/>
          <w:bCs/>
          <w:lang w:eastAsia="en-GB"/>
        </w:rPr>
        <w:t>HMRC to advise.</w:t>
      </w:r>
    </w:p>
    <w:p w14:paraId="6F29ECCD" w14:textId="77777777" w:rsidR="0057329F" w:rsidRPr="00A43CB7" w:rsidRDefault="0057329F" w:rsidP="0057329F">
      <w:pPr>
        <w:pStyle w:val="ListParagraph"/>
        <w:numPr>
          <w:ilvl w:val="0"/>
          <w:numId w:val="9"/>
        </w:numPr>
        <w:shd w:val="clear" w:color="auto" w:fill="FFFFFF"/>
        <w:spacing w:after="160"/>
        <w:ind w:left="360"/>
        <w:contextualSpacing w:val="0"/>
        <w:textAlignment w:val="baseline"/>
        <w:rPr>
          <w:rFonts w:eastAsia="Times New Roman" w:cstheme="minorHAnsi"/>
          <w:color w:val="000000"/>
          <w:lang w:eastAsia="en-GB"/>
        </w:rPr>
      </w:pPr>
      <w:r w:rsidRPr="00A43CB7">
        <w:rPr>
          <w:rFonts w:eastAsia="Times New Roman" w:cstheme="minorHAnsi"/>
          <w:color w:val="000000"/>
          <w:lang w:eastAsia="en-GB"/>
        </w:rPr>
        <w:t>Implementing countries are expected to disclose final cost and tax audit reports, or summaries of those reports, including costs deemed as non-recoverable and costs deemed non-deductible and any additional revenues to be collected as a result.</w:t>
      </w:r>
      <w:r>
        <w:rPr>
          <w:rFonts w:eastAsia="Times New Roman" w:cstheme="minorHAnsi"/>
          <w:color w:val="000000"/>
          <w:lang w:eastAsia="en-GB"/>
        </w:rPr>
        <w:t xml:space="preserve"> </w:t>
      </w:r>
      <w:r w:rsidRPr="00021C18">
        <w:rPr>
          <w:rFonts w:eastAsia="Times New Roman" w:cstheme="minorHAnsi"/>
          <w:b/>
          <w:bCs/>
          <w:lang w:eastAsia="en-GB"/>
        </w:rPr>
        <w:t>HMRC to advise.</w:t>
      </w:r>
    </w:p>
    <w:p w14:paraId="25D0715A" w14:textId="0089042F" w:rsidR="008C7D33" w:rsidRPr="000D195E" w:rsidRDefault="0057329F" w:rsidP="008C7D33">
      <w:pPr>
        <w:pStyle w:val="ListParagraph"/>
        <w:numPr>
          <w:ilvl w:val="0"/>
          <w:numId w:val="9"/>
        </w:numPr>
        <w:shd w:val="clear" w:color="auto" w:fill="FFFFFF"/>
        <w:spacing w:after="160"/>
        <w:ind w:left="360"/>
        <w:contextualSpacing w:val="0"/>
        <w:textAlignment w:val="baseline"/>
        <w:rPr>
          <w:sz w:val="24"/>
          <w:szCs w:val="24"/>
        </w:rPr>
      </w:pPr>
      <w:r w:rsidRPr="00021C18">
        <w:rPr>
          <w:rFonts w:eastAsia="Times New Roman" w:cstheme="minorHAnsi"/>
          <w:color w:val="000000"/>
          <w:lang w:eastAsia="en-GB"/>
        </w:rPr>
        <w:t xml:space="preserve">Companies and implementing countries are encouraged to disclose declared costs disaggregated by project, and by costs related to operating and capital expenditures. Operating expenditures declared in the reporting year may include amortisation or depreciation of costs incurred in prior years. Companies and implementing countries are encouraged to disclose costs incurred since the commencement of the project. </w:t>
      </w:r>
      <w:r w:rsidRPr="00021C18">
        <w:rPr>
          <w:rFonts w:eastAsia="Times New Roman" w:cstheme="minorHAnsi"/>
          <w:b/>
          <w:bCs/>
          <w:lang w:eastAsia="en-GB"/>
        </w:rPr>
        <w:t xml:space="preserve">Not likely to happen because such data are generally regarded as being commercially confidential. For the UK upstream oil and gas sector, the NSTA </w:t>
      </w:r>
      <w:hyperlink r:id="rId27" w:history="1">
        <w:r w:rsidRPr="00021C18">
          <w:rPr>
            <w:rStyle w:val="Hyperlink"/>
            <w:rFonts w:eastAsia="Times New Roman" w:cstheme="minorHAnsi"/>
            <w:b/>
            <w:bCs/>
            <w:color w:val="auto"/>
            <w:lang w:eastAsia="en-GB"/>
          </w:rPr>
          <w:t>publishes</w:t>
        </w:r>
      </w:hyperlink>
      <w:r w:rsidRPr="00021C18">
        <w:rPr>
          <w:rFonts w:eastAsia="Times New Roman" w:cstheme="minorHAnsi"/>
          <w:b/>
          <w:bCs/>
          <w:lang w:eastAsia="en-GB"/>
        </w:rPr>
        <w:t xml:space="preserve"> annual estimates of total exploration and appraisal costs, capital expenditure, operating costs and decommissioning costs.</w:t>
      </w:r>
    </w:p>
    <w:p w14:paraId="7C15A768" w14:textId="16ECBCB5" w:rsidR="000D195E" w:rsidRPr="00230724" w:rsidRDefault="000D195E" w:rsidP="007748CC">
      <w:pPr>
        <w:shd w:val="clear" w:color="auto" w:fill="FFFFFF"/>
        <w:spacing w:after="160"/>
        <w:ind w:firstLine="360"/>
        <w:textAlignment w:val="baseline"/>
        <w:rPr>
          <w:b/>
          <w:bCs/>
          <w:color w:val="FF0000"/>
          <w:sz w:val="24"/>
          <w:szCs w:val="24"/>
        </w:rPr>
      </w:pPr>
      <w:r w:rsidRPr="00230724">
        <w:rPr>
          <w:b/>
          <w:bCs/>
          <w:color w:val="FF0000"/>
          <w:sz w:val="24"/>
          <w:szCs w:val="24"/>
        </w:rPr>
        <w:t xml:space="preserve">Action: BDO </w:t>
      </w:r>
      <w:r w:rsidR="00230724" w:rsidRPr="00230724">
        <w:rPr>
          <w:b/>
          <w:bCs/>
          <w:color w:val="FF0000"/>
          <w:sz w:val="24"/>
          <w:szCs w:val="24"/>
        </w:rPr>
        <w:t xml:space="preserve">to ensure that all new requirements </w:t>
      </w:r>
      <w:r w:rsidR="007748CC">
        <w:rPr>
          <w:b/>
          <w:bCs/>
          <w:color w:val="FF0000"/>
          <w:sz w:val="24"/>
          <w:szCs w:val="24"/>
        </w:rPr>
        <w:t xml:space="preserve">of the Standard </w:t>
      </w:r>
      <w:r w:rsidR="00230724" w:rsidRPr="00230724">
        <w:rPr>
          <w:b/>
          <w:bCs/>
          <w:color w:val="FF0000"/>
          <w:sz w:val="24"/>
          <w:szCs w:val="24"/>
        </w:rPr>
        <w:t>are being captured</w:t>
      </w:r>
      <w:r w:rsidR="007748CC">
        <w:rPr>
          <w:b/>
          <w:bCs/>
          <w:color w:val="FF0000"/>
          <w:sz w:val="24"/>
          <w:szCs w:val="24"/>
        </w:rPr>
        <w:t xml:space="preserve"> for the reporting process</w:t>
      </w:r>
      <w:r w:rsidR="00230724" w:rsidRPr="00230724">
        <w:rPr>
          <w:b/>
          <w:bCs/>
          <w:color w:val="FF0000"/>
          <w:sz w:val="24"/>
          <w:szCs w:val="24"/>
        </w:rPr>
        <w:t>.</w:t>
      </w:r>
    </w:p>
    <w:p w14:paraId="257C9A77" w14:textId="77FB39D7" w:rsidR="003071FB" w:rsidRDefault="003071FB" w:rsidP="003071FB">
      <w:pPr>
        <w:rPr>
          <w:b/>
          <w:bCs/>
          <w:sz w:val="24"/>
          <w:szCs w:val="24"/>
          <w:u w:val="single"/>
        </w:rPr>
      </w:pPr>
      <w:r w:rsidRPr="003071FB">
        <w:rPr>
          <w:b/>
          <w:bCs/>
          <w:sz w:val="24"/>
          <w:szCs w:val="24"/>
          <w:u w:val="single"/>
        </w:rPr>
        <w:t>AOB</w:t>
      </w:r>
    </w:p>
    <w:p w14:paraId="6E48780F" w14:textId="77777777" w:rsidR="007748CC" w:rsidRDefault="003071FB" w:rsidP="003071FB">
      <w:pPr>
        <w:pStyle w:val="ListParagraph"/>
        <w:numPr>
          <w:ilvl w:val="0"/>
          <w:numId w:val="3"/>
        </w:numPr>
        <w:rPr>
          <w:sz w:val="24"/>
          <w:szCs w:val="24"/>
        </w:rPr>
      </w:pPr>
      <w:r w:rsidRPr="00586A91">
        <w:rPr>
          <w:sz w:val="24"/>
          <w:szCs w:val="24"/>
        </w:rPr>
        <w:t xml:space="preserve">The next meeting to be arranged for </w:t>
      </w:r>
      <w:r w:rsidR="00FC26BC">
        <w:rPr>
          <w:sz w:val="24"/>
          <w:szCs w:val="24"/>
        </w:rPr>
        <w:t>28</w:t>
      </w:r>
      <w:r w:rsidR="00FC26BC" w:rsidRPr="00FC26BC">
        <w:rPr>
          <w:sz w:val="24"/>
          <w:szCs w:val="24"/>
          <w:vertAlign w:val="superscript"/>
        </w:rPr>
        <w:t>th</w:t>
      </w:r>
      <w:r w:rsidR="00FC26BC">
        <w:rPr>
          <w:sz w:val="24"/>
          <w:szCs w:val="24"/>
        </w:rPr>
        <w:t xml:space="preserve"> February 2</w:t>
      </w:r>
      <w:r w:rsidR="00C50D6B">
        <w:rPr>
          <w:sz w:val="24"/>
          <w:szCs w:val="24"/>
        </w:rPr>
        <w:t>024</w:t>
      </w:r>
      <w:r w:rsidRPr="00586A91">
        <w:rPr>
          <w:sz w:val="24"/>
          <w:szCs w:val="24"/>
        </w:rPr>
        <w:t xml:space="preserve">. </w:t>
      </w:r>
    </w:p>
    <w:p w14:paraId="5F01F91D" w14:textId="6B18BF24" w:rsidR="003071FB" w:rsidRPr="007748CC" w:rsidRDefault="003071FB" w:rsidP="007748CC">
      <w:pPr>
        <w:ind w:firstLine="360"/>
        <w:rPr>
          <w:color w:val="FF0000"/>
          <w:sz w:val="24"/>
          <w:szCs w:val="24"/>
        </w:rPr>
      </w:pPr>
      <w:r w:rsidRPr="007748CC">
        <w:rPr>
          <w:b/>
          <w:bCs/>
          <w:color w:val="FF0000"/>
          <w:sz w:val="24"/>
          <w:szCs w:val="24"/>
        </w:rPr>
        <w:t xml:space="preserve">Action: UK Secretariat </w:t>
      </w:r>
      <w:r w:rsidR="0035039C" w:rsidRPr="007748CC">
        <w:rPr>
          <w:b/>
          <w:bCs/>
          <w:color w:val="FF0000"/>
          <w:sz w:val="24"/>
          <w:szCs w:val="24"/>
        </w:rPr>
        <w:t>have arranged the next meeting</w:t>
      </w:r>
      <w:r w:rsidRPr="007748CC">
        <w:rPr>
          <w:b/>
          <w:bCs/>
          <w:color w:val="FF0000"/>
          <w:sz w:val="24"/>
          <w:szCs w:val="24"/>
        </w:rPr>
        <w:t xml:space="preserve"> for </w:t>
      </w:r>
      <w:r w:rsidR="00C50D6B" w:rsidRPr="007748CC">
        <w:rPr>
          <w:b/>
          <w:bCs/>
          <w:color w:val="FF0000"/>
          <w:sz w:val="24"/>
          <w:szCs w:val="24"/>
        </w:rPr>
        <w:t>28</w:t>
      </w:r>
      <w:r w:rsidR="00C50D6B" w:rsidRPr="007748CC">
        <w:rPr>
          <w:b/>
          <w:bCs/>
          <w:color w:val="FF0000"/>
          <w:sz w:val="24"/>
          <w:szCs w:val="24"/>
          <w:vertAlign w:val="superscript"/>
        </w:rPr>
        <w:t>th</w:t>
      </w:r>
      <w:r w:rsidR="00C50D6B" w:rsidRPr="007748CC">
        <w:rPr>
          <w:b/>
          <w:bCs/>
          <w:color w:val="FF0000"/>
          <w:sz w:val="24"/>
          <w:szCs w:val="24"/>
        </w:rPr>
        <w:t xml:space="preserve"> </w:t>
      </w:r>
      <w:r w:rsidRPr="007748CC">
        <w:rPr>
          <w:b/>
          <w:bCs/>
          <w:color w:val="FF0000"/>
          <w:sz w:val="24"/>
          <w:szCs w:val="24"/>
        </w:rPr>
        <w:t>February 2024.</w:t>
      </w:r>
    </w:p>
    <w:sectPr w:rsidR="003071FB" w:rsidRPr="007748CC">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21DE" w14:textId="77777777" w:rsidR="008D71BE" w:rsidRDefault="008D71BE" w:rsidP="003071FB">
      <w:pPr>
        <w:spacing w:after="0" w:line="240" w:lineRule="auto"/>
      </w:pPr>
      <w:r>
        <w:separator/>
      </w:r>
    </w:p>
  </w:endnote>
  <w:endnote w:type="continuationSeparator" w:id="0">
    <w:p w14:paraId="746B3E13" w14:textId="77777777" w:rsidR="008D71BE" w:rsidRDefault="008D71BE" w:rsidP="003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47EF" w14:textId="77777777" w:rsidR="00E70850" w:rsidRDefault="00E7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2EF2" w14:textId="77777777" w:rsidR="00E70850" w:rsidRDefault="00E70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DA90" w14:textId="77777777" w:rsidR="00E70850" w:rsidRDefault="00E7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39DB" w14:textId="77777777" w:rsidR="008D71BE" w:rsidRDefault="008D71BE" w:rsidP="003071FB">
      <w:pPr>
        <w:spacing w:after="0" w:line="240" w:lineRule="auto"/>
      </w:pPr>
      <w:r>
        <w:separator/>
      </w:r>
    </w:p>
  </w:footnote>
  <w:footnote w:type="continuationSeparator" w:id="0">
    <w:p w14:paraId="5B336DCB" w14:textId="77777777" w:rsidR="008D71BE" w:rsidRDefault="008D71BE" w:rsidP="003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DD7A" w14:textId="77777777" w:rsidR="00E70850" w:rsidRDefault="00E7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E1FB" w14:textId="77777777" w:rsidR="00E70850" w:rsidRDefault="00E70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D484" w14:textId="77777777" w:rsidR="00E70850" w:rsidRDefault="00E7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28"/>
    <w:multiLevelType w:val="hybridMultilevel"/>
    <w:tmpl w:val="CF2C6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9723A"/>
    <w:multiLevelType w:val="multilevel"/>
    <w:tmpl w:val="78FE06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67145"/>
    <w:multiLevelType w:val="hybridMultilevel"/>
    <w:tmpl w:val="1778C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12903"/>
    <w:multiLevelType w:val="hybridMultilevel"/>
    <w:tmpl w:val="7C66F2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67EC2"/>
    <w:multiLevelType w:val="hybridMultilevel"/>
    <w:tmpl w:val="2C869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D1DF1"/>
    <w:multiLevelType w:val="hybridMultilevel"/>
    <w:tmpl w:val="7328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167B8"/>
    <w:multiLevelType w:val="hybridMultilevel"/>
    <w:tmpl w:val="AAA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F64BB"/>
    <w:multiLevelType w:val="hybridMultilevel"/>
    <w:tmpl w:val="6FF4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4511B"/>
    <w:multiLevelType w:val="hybridMultilevel"/>
    <w:tmpl w:val="7104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E2F4D"/>
    <w:multiLevelType w:val="hybridMultilevel"/>
    <w:tmpl w:val="8EB4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105575">
    <w:abstractNumId w:val="4"/>
  </w:num>
  <w:num w:numId="2" w16cid:durableId="2032606043">
    <w:abstractNumId w:val="5"/>
  </w:num>
  <w:num w:numId="3" w16cid:durableId="965042247">
    <w:abstractNumId w:val="7"/>
  </w:num>
  <w:num w:numId="4" w16cid:durableId="882715975">
    <w:abstractNumId w:val="6"/>
  </w:num>
  <w:num w:numId="5" w16cid:durableId="2128769817">
    <w:abstractNumId w:val="9"/>
  </w:num>
  <w:num w:numId="6" w16cid:durableId="1136531069">
    <w:abstractNumId w:val="8"/>
  </w:num>
  <w:num w:numId="7" w16cid:durableId="839202031">
    <w:abstractNumId w:val="1"/>
  </w:num>
  <w:num w:numId="8" w16cid:durableId="256527435">
    <w:abstractNumId w:val="2"/>
  </w:num>
  <w:num w:numId="9" w16cid:durableId="1921014772">
    <w:abstractNumId w:val="0"/>
  </w:num>
  <w:num w:numId="10" w16cid:durableId="1258322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76"/>
    <w:rsid w:val="00006DF8"/>
    <w:rsid w:val="00011B54"/>
    <w:rsid w:val="00021C18"/>
    <w:rsid w:val="000B4DF6"/>
    <w:rsid w:val="000C0FFD"/>
    <w:rsid w:val="000D195E"/>
    <w:rsid w:val="000E1561"/>
    <w:rsid w:val="000E1EB4"/>
    <w:rsid w:val="00123D8E"/>
    <w:rsid w:val="00153AF5"/>
    <w:rsid w:val="00165487"/>
    <w:rsid w:val="001F6000"/>
    <w:rsid w:val="001F6B88"/>
    <w:rsid w:val="0021205E"/>
    <w:rsid w:val="00230724"/>
    <w:rsid w:val="00285FA8"/>
    <w:rsid w:val="002950F9"/>
    <w:rsid w:val="003071FB"/>
    <w:rsid w:val="00310EC6"/>
    <w:rsid w:val="00315376"/>
    <w:rsid w:val="00330EC0"/>
    <w:rsid w:val="00343A3F"/>
    <w:rsid w:val="0035039C"/>
    <w:rsid w:val="00402A11"/>
    <w:rsid w:val="004432C8"/>
    <w:rsid w:val="00483FA5"/>
    <w:rsid w:val="005145F6"/>
    <w:rsid w:val="00551426"/>
    <w:rsid w:val="0057329F"/>
    <w:rsid w:val="00586A91"/>
    <w:rsid w:val="005A629B"/>
    <w:rsid w:val="006337E7"/>
    <w:rsid w:val="00687AFB"/>
    <w:rsid w:val="006A43E2"/>
    <w:rsid w:val="006F31DF"/>
    <w:rsid w:val="007209AC"/>
    <w:rsid w:val="00726343"/>
    <w:rsid w:val="00766FBD"/>
    <w:rsid w:val="007748CC"/>
    <w:rsid w:val="007B353B"/>
    <w:rsid w:val="007F7D1E"/>
    <w:rsid w:val="00813FD9"/>
    <w:rsid w:val="00820208"/>
    <w:rsid w:val="00842E3A"/>
    <w:rsid w:val="00853924"/>
    <w:rsid w:val="00871658"/>
    <w:rsid w:val="008C3A8E"/>
    <w:rsid w:val="008C7D33"/>
    <w:rsid w:val="008D71BE"/>
    <w:rsid w:val="00930B26"/>
    <w:rsid w:val="00944D26"/>
    <w:rsid w:val="00961FF0"/>
    <w:rsid w:val="00976240"/>
    <w:rsid w:val="00996757"/>
    <w:rsid w:val="009E6AA3"/>
    <w:rsid w:val="009F2239"/>
    <w:rsid w:val="00A1160D"/>
    <w:rsid w:val="00A17413"/>
    <w:rsid w:val="00A71C2F"/>
    <w:rsid w:val="00B405E3"/>
    <w:rsid w:val="00C07B45"/>
    <w:rsid w:val="00C1484C"/>
    <w:rsid w:val="00C50D6B"/>
    <w:rsid w:val="00CD6C7E"/>
    <w:rsid w:val="00D02F2F"/>
    <w:rsid w:val="00D34712"/>
    <w:rsid w:val="00D8348F"/>
    <w:rsid w:val="00DB08F9"/>
    <w:rsid w:val="00DE33EF"/>
    <w:rsid w:val="00E30694"/>
    <w:rsid w:val="00E5410F"/>
    <w:rsid w:val="00E70850"/>
    <w:rsid w:val="00E9226B"/>
    <w:rsid w:val="00EA54A0"/>
    <w:rsid w:val="00EB7E9E"/>
    <w:rsid w:val="00EF0B9D"/>
    <w:rsid w:val="00F21865"/>
    <w:rsid w:val="00FC26BC"/>
    <w:rsid w:val="00FD696B"/>
    <w:rsid w:val="00FF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A4C0"/>
  <w15:chartTrackingRefBased/>
  <w15:docId w15:val="{E395E108-95F7-4C0F-9B3F-142726D3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7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76"/>
    <w:pPr>
      <w:ind w:left="720"/>
      <w:contextualSpacing/>
    </w:pPr>
  </w:style>
  <w:style w:type="paragraph" w:styleId="Header">
    <w:name w:val="header"/>
    <w:basedOn w:val="Normal"/>
    <w:link w:val="HeaderChar"/>
    <w:uiPriority w:val="99"/>
    <w:unhideWhenUsed/>
    <w:rsid w:val="00315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376"/>
    <w:rPr>
      <w:kern w:val="0"/>
      <w14:ligatures w14:val="none"/>
    </w:rPr>
  </w:style>
  <w:style w:type="paragraph" w:styleId="Footer">
    <w:name w:val="footer"/>
    <w:basedOn w:val="Normal"/>
    <w:link w:val="FooterChar"/>
    <w:uiPriority w:val="99"/>
    <w:unhideWhenUsed/>
    <w:rsid w:val="00315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376"/>
    <w:rPr>
      <w:kern w:val="0"/>
      <w14:ligatures w14:val="none"/>
    </w:rPr>
  </w:style>
  <w:style w:type="table" w:styleId="TableGrid">
    <w:name w:val="Table Grid"/>
    <w:basedOn w:val="TableNormal"/>
    <w:rsid w:val="003071F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tatistics/solid-fuels-and-derived-gases-chapter-2-digest-of-united-kingdom-energy-statistics-dukes" TargetMode="External"/><Relationship Id="rId13" Type="http://schemas.openxmlformats.org/officeDocument/2006/relationships/hyperlink" Target="https://www.gov.uk/government/statistics/energy-chapter-1-digest-of-united-kingdom-energy-statistics-dukes" TargetMode="External"/><Relationship Id="rId18" Type="http://schemas.openxmlformats.org/officeDocument/2006/relationships/hyperlink" Target="https://www.gov.uk/government/statistics/oil-and-oil-products-section-3-energy-trends" TargetMode="External"/><Relationship Id="rId26" Type="http://schemas.openxmlformats.org/officeDocument/2006/relationships/hyperlink" Target="https://www.gov.uk/government/collections/uk-territorial-greenhouse-gas-emissions-national-statistics" TargetMode="External"/><Relationship Id="rId3" Type="http://schemas.openxmlformats.org/officeDocument/2006/relationships/settings" Target="settings.xml"/><Relationship Id="rId21" Type="http://schemas.openxmlformats.org/officeDocument/2006/relationships/hyperlink" Target="https://www.gov.uk/government/statistics/energy-chapter-1-digest-of-united-kingdom-energy-statistics-dukes" TargetMode="External"/><Relationship Id="rId34" Type="http://schemas.openxmlformats.org/officeDocument/2006/relationships/fontTable" Target="fontTable.xml"/><Relationship Id="rId7" Type="http://schemas.openxmlformats.org/officeDocument/2006/relationships/hyperlink" Target="https://www.nstauthority.co.uk/news-publications/reserves-and-resources-2022-report/" TargetMode="External"/><Relationship Id="rId12" Type="http://schemas.openxmlformats.org/officeDocument/2006/relationships/hyperlink" Target="https://www.gov.uk/government/statistics/solid-fuels-and-derived-gases-section-2-energy-trends" TargetMode="External"/><Relationship Id="rId17" Type="http://schemas.openxmlformats.org/officeDocument/2006/relationships/hyperlink" Target="https://www.ons.gov.uk/economy/environmentalaccounts/methodologies/environmentalaccountsonmaterialflowsqmi" TargetMode="External"/><Relationship Id="rId25" Type="http://schemas.openxmlformats.org/officeDocument/2006/relationships/hyperlink" Target="https://www.gov.uk/government/statistics/solid-fuels-and-derived-gases-section-2-energy-trends"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ons.gov.uk/economy/economicoutputandproductivity/output/methodologies/qualityassuranceofadministrativedatareportforminingofcoalandligniteandextractionofcrudepetroleumandnaturalgasindustries" TargetMode="External"/><Relationship Id="rId20" Type="http://schemas.openxmlformats.org/officeDocument/2006/relationships/hyperlink" Target="https://www.gov.uk/government/statistics/solid-fuels-and-derived-gases-section-2-energy-trend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statistics/gas-section-4-energy-trends" TargetMode="External"/><Relationship Id="rId24" Type="http://schemas.openxmlformats.org/officeDocument/2006/relationships/hyperlink" Target="https://www.gov.uk/government/statistics/gas-section-4-energy-trend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opendata-nstauthority.hub.arcgis.com/maps/f9c3682919c0426186e1c346d5534d6c" TargetMode="External"/><Relationship Id="rId23" Type="http://schemas.openxmlformats.org/officeDocument/2006/relationships/hyperlink" Target="https://www.gov.uk/government/statistics/oil-and-oil-products-section-3-energy-trends" TargetMode="External"/><Relationship Id="rId28" Type="http://schemas.openxmlformats.org/officeDocument/2006/relationships/header" Target="header1.xml"/><Relationship Id="rId10" Type="http://schemas.openxmlformats.org/officeDocument/2006/relationships/hyperlink" Target="https://www.gov.uk/government/statistics/oil-and-oil-products-section-3-energy-trends" TargetMode="External"/><Relationship Id="rId19" Type="http://schemas.openxmlformats.org/officeDocument/2006/relationships/hyperlink" Target="https://www.gov.uk/government/statistics/gas-section-4-energy-trend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2.bgs.ac.uk/mineralsuk/planning/resource.html" TargetMode="External"/><Relationship Id="rId14" Type="http://schemas.openxmlformats.org/officeDocument/2006/relationships/hyperlink" Target="https://www.nstauthority.co.uk/data-and-insights/insights-and-analysis/income-and-expenditure/" TargetMode="External"/><Relationship Id="rId22" Type="http://schemas.openxmlformats.org/officeDocument/2006/relationships/hyperlink" Target="https://www.ons.gov.uk/economy/nationalaccounts/balanceofpayments/methodologies/uktradeqmi" TargetMode="External"/><Relationship Id="rId27" Type="http://schemas.openxmlformats.org/officeDocument/2006/relationships/hyperlink" Target="https://www.nstauthority.co.uk/data-and-insights/insights-and-analysis/income-and-expenditur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65</cp:revision>
  <dcterms:created xsi:type="dcterms:W3CDTF">2024-02-15T14:06:00Z</dcterms:created>
  <dcterms:modified xsi:type="dcterms:W3CDTF">2024-02-20T11:38:00Z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2024-02-02T10:24:53Z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c332b46f-84b4-48b0-8037-f53be373c7e7</vt:lpwstr>
  </property>
  <property fmtid="{D5CDD505-2E9C-101B-9397-08002B2CF9AE}" pid="8" name="MSIP_Label_ba62f585-b40f-4ab9-bafe-39150f03d124_ContentBits">
    <vt:lpwstr>0</vt:lpwstr>
  </property>
</Properties>
</file>