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D16F6" w14:textId="20708721" w:rsidR="00315376" w:rsidRPr="00F30B46" w:rsidRDefault="00315376" w:rsidP="00315376">
      <w:pPr>
        <w:rPr>
          <w:b/>
          <w:sz w:val="24"/>
          <w:szCs w:val="24"/>
          <w:u w:val="single"/>
        </w:rPr>
      </w:pPr>
      <w:r w:rsidRPr="00F30B46">
        <w:rPr>
          <w:b/>
          <w:sz w:val="24"/>
          <w:szCs w:val="24"/>
          <w:u w:val="single"/>
        </w:rPr>
        <w:t xml:space="preserve">Reconciliation subgroup meeting, </w:t>
      </w:r>
      <w:r w:rsidR="00071A4C">
        <w:rPr>
          <w:b/>
          <w:sz w:val="24"/>
          <w:szCs w:val="24"/>
          <w:u w:val="single"/>
        </w:rPr>
        <w:t>Wedne</w:t>
      </w:r>
      <w:r>
        <w:rPr>
          <w:b/>
          <w:sz w:val="24"/>
          <w:szCs w:val="24"/>
          <w:u w:val="single"/>
        </w:rPr>
        <w:t>s</w:t>
      </w:r>
      <w:r w:rsidRPr="00F30B46">
        <w:rPr>
          <w:b/>
          <w:sz w:val="24"/>
          <w:szCs w:val="24"/>
          <w:u w:val="single"/>
        </w:rPr>
        <w:t>day</w:t>
      </w:r>
      <w:r>
        <w:rPr>
          <w:b/>
          <w:sz w:val="24"/>
          <w:szCs w:val="24"/>
          <w:u w:val="single"/>
        </w:rPr>
        <w:t xml:space="preserve"> </w:t>
      </w:r>
      <w:r w:rsidR="00071A4C">
        <w:rPr>
          <w:b/>
          <w:sz w:val="24"/>
          <w:szCs w:val="24"/>
          <w:u w:val="single"/>
        </w:rPr>
        <w:t>28</w:t>
      </w:r>
      <w:r w:rsidR="009E6AA3" w:rsidRPr="009E6AA3">
        <w:rPr>
          <w:b/>
          <w:sz w:val="24"/>
          <w:szCs w:val="24"/>
          <w:u w:val="single"/>
          <w:vertAlign w:val="superscript"/>
        </w:rPr>
        <w:t>th</w:t>
      </w:r>
      <w:r w:rsidR="009E6AA3">
        <w:rPr>
          <w:b/>
          <w:sz w:val="24"/>
          <w:szCs w:val="24"/>
          <w:u w:val="single"/>
        </w:rPr>
        <w:t xml:space="preserve"> </w:t>
      </w:r>
      <w:r>
        <w:rPr>
          <w:b/>
          <w:sz w:val="24"/>
          <w:szCs w:val="24"/>
          <w:u w:val="single"/>
        </w:rPr>
        <w:t>February 2024</w:t>
      </w:r>
      <w:r w:rsidRPr="00F30B46">
        <w:rPr>
          <w:b/>
          <w:sz w:val="24"/>
          <w:szCs w:val="24"/>
          <w:u w:val="single"/>
        </w:rPr>
        <w:t xml:space="preserve"> via Microsoft Teams Attendees:</w:t>
      </w:r>
    </w:p>
    <w:p w14:paraId="719E545F" w14:textId="6EAC7409" w:rsidR="00D34712" w:rsidRDefault="00A1160D" w:rsidP="00315376">
      <w:pPr>
        <w:rPr>
          <w:sz w:val="24"/>
          <w:szCs w:val="24"/>
        </w:rPr>
      </w:pPr>
      <w:r>
        <w:rPr>
          <w:sz w:val="24"/>
          <w:szCs w:val="24"/>
        </w:rPr>
        <w:t>L</w:t>
      </w:r>
      <w:r w:rsidR="00315376">
        <w:rPr>
          <w:sz w:val="24"/>
          <w:szCs w:val="24"/>
        </w:rPr>
        <w:t>eo Kellaway</w:t>
      </w:r>
      <w:r w:rsidR="00315376" w:rsidRPr="00F30B46">
        <w:rPr>
          <w:sz w:val="24"/>
          <w:szCs w:val="24"/>
        </w:rPr>
        <w:t xml:space="preserve"> (Chair)</w:t>
      </w:r>
      <w:r w:rsidR="00315376" w:rsidRPr="00F30B46">
        <w:rPr>
          <w:sz w:val="24"/>
          <w:szCs w:val="24"/>
        </w:rPr>
        <w:tab/>
      </w:r>
      <w:r w:rsidR="00315376" w:rsidRPr="00F30B46">
        <w:rPr>
          <w:sz w:val="24"/>
          <w:szCs w:val="24"/>
        </w:rPr>
        <w:tab/>
      </w:r>
      <w:r w:rsidR="00071A4C">
        <w:rPr>
          <w:sz w:val="24"/>
          <w:szCs w:val="24"/>
        </w:rPr>
        <w:t>Aurelie Delanno</w:t>
      </w:r>
      <w:r w:rsidR="002D2E38">
        <w:rPr>
          <w:sz w:val="24"/>
          <w:szCs w:val="24"/>
        </w:rPr>
        <w:t>y</w:t>
      </w:r>
      <w:r w:rsidR="002D2E38">
        <w:rPr>
          <w:sz w:val="24"/>
          <w:szCs w:val="24"/>
        </w:rPr>
        <w:tab/>
      </w:r>
      <w:r w:rsidR="002D2E38">
        <w:rPr>
          <w:sz w:val="24"/>
          <w:szCs w:val="24"/>
        </w:rPr>
        <w:tab/>
      </w:r>
      <w:r w:rsidR="00315376" w:rsidRPr="00F30B46">
        <w:rPr>
          <w:sz w:val="24"/>
          <w:szCs w:val="24"/>
        </w:rPr>
        <w:t xml:space="preserve">Mike Earp </w:t>
      </w:r>
      <w:r w:rsidR="00315376" w:rsidRPr="00F30B46">
        <w:rPr>
          <w:sz w:val="24"/>
          <w:szCs w:val="24"/>
        </w:rPr>
        <w:tab/>
      </w:r>
      <w:r w:rsidR="00315376" w:rsidRPr="00F30B46">
        <w:rPr>
          <w:sz w:val="24"/>
          <w:szCs w:val="24"/>
        </w:rPr>
        <w:tab/>
      </w:r>
      <w:r w:rsidR="009F2239">
        <w:rPr>
          <w:sz w:val="24"/>
          <w:szCs w:val="24"/>
        </w:rPr>
        <w:tab/>
      </w:r>
      <w:r w:rsidR="00315376">
        <w:rPr>
          <w:sz w:val="24"/>
          <w:szCs w:val="24"/>
        </w:rPr>
        <w:t>Pat Foster</w:t>
      </w:r>
      <w:r w:rsidR="00315376">
        <w:rPr>
          <w:sz w:val="24"/>
          <w:szCs w:val="24"/>
        </w:rPr>
        <w:tab/>
      </w:r>
      <w:r w:rsidR="00315376">
        <w:rPr>
          <w:sz w:val="24"/>
          <w:szCs w:val="24"/>
        </w:rPr>
        <w:tab/>
      </w:r>
    </w:p>
    <w:p w14:paraId="5E7AE040" w14:textId="0815B3BD" w:rsidR="00315376" w:rsidRDefault="00315376" w:rsidP="00315376">
      <w:pPr>
        <w:rPr>
          <w:sz w:val="24"/>
          <w:szCs w:val="24"/>
        </w:rPr>
      </w:pPr>
      <w:r w:rsidRPr="00F30B46">
        <w:rPr>
          <w:sz w:val="24"/>
          <w:szCs w:val="24"/>
        </w:rPr>
        <w:t>Hedi Zaghouani</w:t>
      </w:r>
      <w:r>
        <w:rPr>
          <w:sz w:val="24"/>
          <w:szCs w:val="24"/>
        </w:rPr>
        <w:tab/>
      </w:r>
      <w:r>
        <w:rPr>
          <w:sz w:val="24"/>
          <w:szCs w:val="24"/>
        </w:rPr>
        <w:tab/>
      </w:r>
      <w:r w:rsidR="009E6AA3">
        <w:rPr>
          <w:sz w:val="24"/>
          <w:szCs w:val="24"/>
        </w:rPr>
        <w:t>Mark Henderson</w:t>
      </w:r>
      <w:r w:rsidR="009E6AA3">
        <w:rPr>
          <w:sz w:val="24"/>
          <w:szCs w:val="24"/>
        </w:rPr>
        <w:tab/>
      </w:r>
      <w:r w:rsidR="009E6AA3">
        <w:rPr>
          <w:sz w:val="24"/>
          <w:szCs w:val="24"/>
        </w:rPr>
        <w:tab/>
      </w:r>
      <w:r w:rsidRPr="00F30B46">
        <w:rPr>
          <w:sz w:val="24"/>
          <w:szCs w:val="24"/>
        </w:rPr>
        <w:t>Mike Nash</w:t>
      </w:r>
    </w:p>
    <w:p w14:paraId="2AF9DCEE" w14:textId="58E8A6DD" w:rsidR="00315376" w:rsidRDefault="00315376" w:rsidP="00315376">
      <w:pPr>
        <w:rPr>
          <w:b/>
          <w:bCs/>
          <w:sz w:val="24"/>
          <w:szCs w:val="24"/>
          <w:u w:val="single"/>
        </w:rPr>
      </w:pPr>
      <w:r>
        <w:rPr>
          <w:b/>
          <w:bCs/>
          <w:sz w:val="24"/>
          <w:szCs w:val="24"/>
          <w:u w:val="single"/>
        </w:rPr>
        <w:t>U</w:t>
      </w:r>
      <w:r w:rsidR="00CD6C7E">
        <w:rPr>
          <w:b/>
          <w:bCs/>
          <w:sz w:val="24"/>
          <w:szCs w:val="24"/>
          <w:u w:val="single"/>
        </w:rPr>
        <w:t>pdates on actions from the last meeting</w:t>
      </w:r>
    </w:p>
    <w:p w14:paraId="0BA3E559" w14:textId="77777777" w:rsidR="003D7C30" w:rsidRPr="003D7C30" w:rsidRDefault="003D7C30" w:rsidP="003D7C30">
      <w:pPr>
        <w:textAlignment w:val="baseline"/>
        <w:outlineLvl w:val="2"/>
        <w:rPr>
          <w:b/>
          <w:bCs/>
        </w:rPr>
      </w:pPr>
      <w:r w:rsidRPr="003D7C30">
        <w:rPr>
          <w:rFonts w:eastAsia="Times New Roman" w:cstheme="minorHAnsi"/>
          <w:b/>
          <w:bCs/>
          <w:bdr w:val="none" w:sz="0" w:space="0" w:color="auto" w:frame="1"/>
          <w:lang w:eastAsia="en-GB"/>
        </w:rPr>
        <w:t xml:space="preserve">3.2 Production data &amp; </w:t>
      </w:r>
      <w:r w:rsidRPr="003D7C30">
        <w:rPr>
          <w:b/>
          <w:bCs/>
        </w:rPr>
        <w:t>3.3 Export data</w:t>
      </w:r>
    </w:p>
    <w:p w14:paraId="29A24F57" w14:textId="77777777" w:rsidR="003D7C30" w:rsidRPr="003D7C30" w:rsidRDefault="003D7C30" w:rsidP="003D7C30">
      <w:pPr>
        <w:textAlignment w:val="baseline"/>
        <w:outlineLvl w:val="2"/>
        <w:rPr>
          <w:rFonts w:eastAsia="Times New Roman" w:cstheme="minorHAnsi"/>
          <w:i/>
          <w:iCs/>
          <w:color w:val="000000"/>
        </w:rPr>
      </w:pPr>
      <w:r w:rsidRPr="003D7C30">
        <w:rPr>
          <w:i/>
          <w:iCs/>
        </w:rPr>
        <w:t xml:space="preserve">UK Secretariat wrote to DESNZ Statisticians to enquire whether the sources of and the methods for calculating production/export volumes and values is available. They sent a link to the methodology and source document </w:t>
      </w:r>
      <w:r w:rsidRPr="003D7C30">
        <w:rPr>
          <w:rFonts w:eastAsia="Times New Roman" w:cstheme="minorHAnsi"/>
          <w:i/>
          <w:iCs/>
          <w:color w:val="000000"/>
        </w:rPr>
        <w:t>(</w:t>
      </w:r>
      <w:hyperlink r:id="rId7" w:history="1">
        <w:r w:rsidRPr="003D7C30">
          <w:rPr>
            <w:rStyle w:val="Hyperlink"/>
            <w:rFonts w:eastAsia="Times New Roman" w:cstheme="minorHAnsi"/>
            <w:i/>
            <w:iCs/>
          </w:rPr>
          <w:t>oil</w:t>
        </w:r>
      </w:hyperlink>
      <w:r w:rsidRPr="003D7C30">
        <w:rPr>
          <w:rFonts w:eastAsia="Times New Roman" w:cstheme="minorHAnsi"/>
          <w:i/>
          <w:iCs/>
          <w:color w:val="000000"/>
        </w:rPr>
        <w:t xml:space="preserve">, </w:t>
      </w:r>
      <w:hyperlink r:id="rId8" w:history="1">
        <w:r w:rsidRPr="003D7C30">
          <w:rPr>
            <w:rStyle w:val="Hyperlink"/>
            <w:rFonts w:eastAsia="Times New Roman" w:cstheme="minorHAnsi"/>
            <w:i/>
            <w:iCs/>
          </w:rPr>
          <w:t>gas</w:t>
        </w:r>
      </w:hyperlink>
      <w:r w:rsidRPr="003D7C30">
        <w:rPr>
          <w:rFonts w:eastAsia="Times New Roman" w:cstheme="minorHAnsi"/>
          <w:i/>
          <w:iCs/>
          <w:color w:val="000000"/>
        </w:rPr>
        <w:t>).</w:t>
      </w:r>
    </w:p>
    <w:p w14:paraId="52CA856F" w14:textId="77777777" w:rsidR="003D7C30" w:rsidRPr="003D7C30" w:rsidRDefault="003D7C30" w:rsidP="003D7C30">
      <w:pPr>
        <w:textAlignment w:val="baseline"/>
        <w:outlineLvl w:val="2"/>
        <w:rPr>
          <w:rFonts w:eastAsia="Times New Roman" w:cstheme="minorHAnsi"/>
          <w:b/>
          <w:bCs/>
          <w:color w:val="000000"/>
        </w:rPr>
      </w:pPr>
      <w:r w:rsidRPr="003D7C30">
        <w:rPr>
          <w:rFonts w:eastAsia="Times New Roman" w:cstheme="minorHAnsi"/>
          <w:b/>
          <w:bCs/>
          <w:color w:val="000000"/>
        </w:rPr>
        <w:t>3.2 Production data</w:t>
      </w:r>
    </w:p>
    <w:p w14:paraId="3E6DE271" w14:textId="77777777" w:rsidR="003D7C30" w:rsidRPr="003D7C30" w:rsidRDefault="003D7C30" w:rsidP="003D7C30">
      <w:pPr>
        <w:pStyle w:val="ListParagraph"/>
        <w:numPr>
          <w:ilvl w:val="0"/>
          <w:numId w:val="12"/>
        </w:numPr>
        <w:shd w:val="clear" w:color="auto" w:fill="FFFFFF"/>
        <w:textAlignment w:val="baseline"/>
        <w:rPr>
          <w:rFonts w:eastAsia="Times New Roman" w:cstheme="minorHAnsi"/>
          <w:color w:val="000000"/>
          <w:lang w:eastAsia="en-GB"/>
        </w:rPr>
      </w:pPr>
      <w:r w:rsidRPr="003D7C30">
        <w:rPr>
          <w:rFonts w:eastAsia="Times New Roman" w:cstheme="minorHAnsi"/>
          <w:color w:val="000000"/>
          <w:lang w:eastAsia="en-GB"/>
        </w:rPr>
        <w:t xml:space="preserve">Implementing countries are expected to present production data using national and international commodity classification standards. </w:t>
      </w:r>
    </w:p>
    <w:p w14:paraId="1894F134" w14:textId="77777777" w:rsidR="003D7C30" w:rsidRPr="003D7C30" w:rsidRDefault="003D7C30" w:rsidP="003D7C30">
      <w:pPr>
        <w:shd w:val="clear" w:color="auto" w:fill="FFFFFF"/>
        <w:textAlignment w:val="baseline"/>
        <w:rPr>
          <w:rFonts w:eastAsia="Times New Roman" w:cstheme="minorHAnsi"/>
          <w:i/>
          <w:iCs/>
          <w:lang w:eastAsia="en-GB"/>
        </w:rPr>
      </w:pPr>
      <w:r w:rsidRPr="003D7C30">
        <w:rPr>
          <w:rFonts w:eastAsia="Times New Roman" w:cstheme="minorHAnsi"/>
          <w:i/>
          <w:iCs/>
          <w:lang w:eastAsia="en-GB"/>
        </w:rPr>
        <w:t>EITI International Secretariat to ask for clarification on what this means.</w:t>
      </w:r>
      <w:r w:rsidRPr="003D7C30">
        <w:rPr>
          <w:b/>
          <w:bCs/>
          <w:color w:val="00B050"/>
          <w:lang w:eastAsia="en-GB"/>
        </w:rPr>
        <w:t xml:space="preserve"> </w:t>
      </w:r>
      <w:r w:rsidRPr="003D7C30">
        <w:rPr>
          <w:rFonts w:eastAsia="Times New Roman" w:cstheme="minorHAnsi"/>
          <w:i/>
          <w:iCs/>
          <w:lang w:eastAsia="en-GB"/>
        </w:rPr>
        <w:t xml:space="preserve">See examples in the Guidance Note on 7.2, appendix on data standards with links to examples: </w:t>
      </w:r>
      <w:hyperlink r:id="rId9" w:history="1">
        <w:r w:rsidRPr="003D7C30">
          <w:rPr>
            <w:rFonts w:eastAsia="Times New Roman" w:cstheme="minorHAnsi"/>
            <w:i/>
            <w:iCs/>
            <w:lang w:eastAsia="en-GB"/>
          </w:rPr>
          <w:t>en_eiti_gn_7.2.pdf</w:t>
        </w:r>
      </w:hyperlink>
    </w:p>
    <w:p w14:paraId="24F61DCD" w14:textId="77777777" w:rsidR="003D7C30" w:rsidRPr="003D7C30" w:rsidRDefault="003D7C30" w:rsidP="003D7C30">
      <w:pPr>
        <w:pStyle w:val="ListParagraph"/>
        <w:numPr>
          <w:ilvl w:val="0"/>
          <w:numId w:val="11"/>
        </w:numPr>
        <w:shd w:val="clear" w:color="auto" w:fill="FFFFFF"/>
        <w:textAlignment w:val="baseline"/>
        <w:rPr>
          <w:rFonts w:eastAsia="Times New Roman" w:cstheme="minorHAnsi"/>
          <w:color w:val="000000"/>
          <w:lang w:eastAsia="en-GB"/>
        </w:rPr>
      </w:pPr>
      <w:r w:rsidRPr="003D7C30">
        <w:rPr>
          <w:rFonts w:eastAsia="Times New Roman" w:cstheme="minorHAnsi"/>
          <w:color w:val="000000"/>
          <w:lang w:eastAsia="en-GB"/>
        </w:rPr>
        <w:t xml:space="preserve">Companies are encouraged to disclose realised sales volumes and values by project. </w:t>
      </w:r>
      <w:r w:rsidRPr="003D7C30">
        <w:rPr>
          <w:rFonts w:eastAsia="Times New Roman" w:cstheme="minorHAnsi"/>
          <w:b/>
          <w:bCs/>
          <w:lang w:eastAsia="en-GB"/>
        </w:rPr>
        <w:t>Not likely to happen because such data are generally regarded as being commercially confidential.</w:t>
      </w:r>
    </w:p>
    <w:p w14:paraId="10E20702" w14:textId="77777777" w:rsidR="003D7C30" w:rsidRPr="003D7C30" w:rsidRDefault="003D7C30" w:rsidP="003D7C30">
      <w:pPr>
        <w:shd w:val="clear" w:color="auto" w:fill="FFFFFF"/>
        <w:textAlignment w:val="baseline"/>
        <w:rPr>
          <w:rFonts w:eastAsia="Times New Roman" w:cstheme="minorHAnsi"/>
          <w:i/>
          <w:iCs/>
          <w:lang w:eastAsia="en-GB"/>
        </w:rPr>
      </w:pPr>
      <w:r w:rsidRPr="003D7C30">
        <w:rPr>
          <w:rFonts w:eastAsia="Times New Roman" w:cstheme="minorHAnsi"/>
          <w:i/>
          <w:iCs/>
          <w:lang w:eastAsia="en-GB"/>
        </w:rPr>
        <w:t xml:space="preserve">UK Secretariat contacted industry colleagues (Jacqui, Aurelie, Pat and John) for their thoughts on whether companies are likely to be forthcoming with this information. Responses so far indicate that this is very unlikely given the commercial sensitivities. </w:t>
      </w:r>
    </w:p>
    <w:p w14:paraId="4A33A0C8" w14:textId="77777777" w:rsidR="003D7C30" w:rsidRPr="003D7C30" w:rsidRDefault="003D7C30" w:rsidP="003D7C30">
      <w:pPr>
        <w:textAlignment w:val="baseline"/>
        <w:outlineLvl w:val="2"/>
        <w:rPr>
          <w:rFonts w:eastAsia="Times New Roman" w:cstheme="minorHAnsi"/>
          <w:b/>
          <w:bCs/>
          <w:lang w:eastAsia="en-GB"/>
        </w:rPr>
      </w:pPr>
      <w:r w:rsidRPr="003D7C30">
        <w:rPr>
          <w:rFonts w:eastAsia="Times New Roman" w:cstheme="minorHAnsi"/>
          <w:b/>
          <w:bCs/>
          <w:bdr w:val="none" w:sz="0" w:space="0" w:color="auto" w:frame="1"/>
          <w:lang w:eastAsia="en-GB"/>
        </w:rPr>
        <w:t>3.4 Greenhouse gas emissions</w:t>
      </w:r>
    </w:p>
    <w:p w14:paraId="39ABF651" w14:textId="77777777" w:rsidR="003D7C30" w:rsidRPr="003D7C30" w:rsidRDefault="003D7C30" w:rsidP="003D7C30">
      <w:pPr>
        <w:pStyle w:val="ListParagraph"/>
        <w:numPr>
          <w:ilvl w:val="0"/>
          <w:numId w:val="11"/>
        </w:numPr>
        <w:textAlignment w:val="baseline"/>
        <w:rPr>
          <w:rFonts w:eastAsia="Times New Roman" w:cstheme="minorHAnsi"/>
          <w:b/>
          <w:bCs/>
          <w:bdr w:val="none" w:sz="0" w:space="0" w:color="auto" w:frame="1"/>
          <w:lang w:eastAsia="en-GB"/>
        </w:rPr>
      </w:pPr>
      <w:r w:rsidRPr="003D7C30">
        <w:rPr>
          <w:rFonts w:eastAsia="Times New Roman" w:cstheme="minorHAnsi"/>
          <w:color w:val="000000"/>
          <w:bdr w:val="none" w:sz="0" w:space="0" w:color="auto" w:frame="1"/>
          <w:lang w:eastAsia="en-GB"/>
        </w:rPr>
        <w:t xml:space="preserve">Companies are encouraged to disclose greenhouse gas (GHG) emissions in alignment with existing leading disclosure standards. Where feasible, the multi-stakeholder group is encouraged to request disaggregated disclosures. </w:t>
      </w:r>
    </w:p>
    <w:p w14:paraId="15155D37" w14:textId="77777777" w:rsidR="003D7C30" w:rsidRPr="003D7C30" w:rsidRDefault="003D7C30" w:rsidP="003D7C30">
      <w:pPr>
        <w:textAlignment w:val="baseline"/>
        <w:rPr>
          <w:rFonts w:eastAsia="Times New Roman" w:cstheme="minorHAnsi"/>
          <w:i/>
          <w:iCs/>
          <w:color w:val="000000"/>
          <w:bdr w:val="none" w:sz="0" w:space="0" w:color="auto" w:frame="1"/>
          <w:lang w:eastAsia="en-GB"/>
        </w:rPr>
      </w:pPr>
      <w:r w:rsidRPr="003D7C30">
        <w:rPr>
          <w:rFonts w:eastAsia="Times New Roman" w:cstheme="minorHAnsi"/>
          <w:i/>
          <w:iCs/>
          <w:color w:val="000000"/>
          <w:bdr w:val="none" w:sz="0" w:space="0" w:color="auto" w:frame="1"/>
          <w:lang w:eastAsia="en-GB"/>
        </w:rPr>
        <w:t>UK Secretariat contacted EITI International Secretariat to ask for clarification on whether this refers to all companies are just those covered by the reconciliation. It was confirmed that this refers to companies making material payments to government and included in the scope of EITI reporting.</w:t>
      </w:r>
    </w:p>
    <w:p w14:paraId="6FA5CE03" w14:textId="77777777" w:rsidR="003D7C30" w:rsidRPr="003D7C30" w:rsidRDefault="003D7C30" w:rsidP="003D7C30">
      <w:pPr>
        <w:pStyle w:val="ListParagraph"/>
        <w:numPr>
          <w:ilvl w:val="0"/>
          <w:numId w:val="11"/>
        </w:numPr>
        <w:shd w:val="clear" w:color="auto" w:fill="FFFFFF"/>
        <w:textAlignment w:val="baseline"/>
        <w:rPr>
          <w:rFonts w:eastAsia="Times New Roman" w:cstheme="minorHAnsi"/>
          <w:b/>
          <w:bCs/>
          <w:lang w:eastAsia="en-GB"/>
        </w:rPr>
      </w:pPr>
      <w:r w:rsidRPr="003D7C30">
        <w:rPr>
          <w:rFonts w:eastAsia="Times New Roman" w:cstheme="minorHAnsi"/>
          <w:color w:val="000000"/>
          <w:bdr w:val="none" w:sz="0" w:space="0" w:color="auto" w:frame="1"/>
          <w:lang w:eastAsia="en-GB"/>
        </w:rPr>
        <w:t>Other</w:t>
      </w:r>
    </w:p>
    <w:p w14:paraId="46DD2A6C" w14:textId="26B541BB" w:rsidR="003D7C30" w:rsidRPr="003D7C30" w:rsidRDefault="003D7C30" w:rsidP="003D7C30">
      <w:pPr>
        <w:shd w:val="clear" w:color="auto" w:fill="FFFFFF"/>
        <w:textAlignment w:val="baseline"/>
        <w:rPr>
          <w:rFonts w:eastAsia="Times New Roman" w:cstheme="minorHAnsi"/>
          <w:i/>
          <w:iCs/>
          <w:lang w:eastAsia="en-GB"/>
        </w:rPr>
      </w:pPr>
      <w:r w:rsidRPr="003D7C30">
        <w:rPr>
          <w:rFonts w:eastAsia="Times New Roman" w:cstheme="minorHAnsi"/>
          <w:i/>
          <w:iCs/>
          <w:lang w:eastAsia="en-GB"/>
        </w:rPr>
        <w:t>Mining &amp; Quarrying subgroup meeting has been arranged for 5</w:t>
      </w:r>
      <w:r w:rsidRPr="003D7C30">
        <w:rPr>
          <w:rFonts w:eastAsia="Times New Roman" w:cstheme="minorHAnsi"/>
          <w:i/>
          <w:iCs/>
          <w:vertAlign w:val="superscript"/>
          <w:lang w:eastAsia="en-GB"/>
        </w:rPr>
        <w:t>th</w:t>
      </w:r>
      <w:r w:rsidRPr="003D7C30">
        <w:rPr>
          <w:rFonts w:eastAsia="Times New Roman" w:cstheme="minorHAnsi"/>
          <w:i/>
          <w:iCs/>
          <w:lang w:eastAsia="en-GB"/>
        </w:rPr>
        <w:t xml:space="preserve"> March. The meeting will look </w:t>
      </w:r>
      <w:r w:rsidR="00B959F5">
        <w:rPr>
          <w:rFonts w:eastAsia="Times New Roman" w:cstheme="minorHAnsi"/>
          <w:i/>
          <w:iCs/>
          <w:lang w:eastAsia="en-GB"/>
        </w:rPr>
        <w:t>at</w:t>
      </w:r>
      <w:r w:rsidRPr="003D7C30">
        <w:rPr>
          <w:rFonts w:eastAsia="Times New Roman" w:cstheme="minorHAnsi"/>
          <w:i/>
          <w:iCs/>
          <w:lang w:eastAsia="en-GB"/>
        </w:rPr>
        <w:t xml:space="preserve"> ensur</w:t>
      </w:r>
      <w:r w:rsidR="00B959F5">
        <w:rPr>
          <w:rFonts w:eastAsia="Times New Roman" w:cstheme="minorHAnsi"/>
          <w:i/>
          <w:iCs/>
          <w:lang w:eastAsia="en-GB"/>
        </w:rPr>
        <w:t>ing</w:t>
      </w:r>
      <w:r w:rsidRPr="003D7C30">
        <w:rPr>
          <w:rFonts w:eastAsia="Times New Roman" w:cstheme="minorHAnsi"/>
          <w:i/>
          <w:iCs/>
          <w:lang w:eastAsia="en-GB"/>
        </w:rPr>
        <w:t xml:space="preserve"> that all </w:t>
      </w:r>
      <w:r w:rsidR="00B959F5">
        <w:rPr>
          <w:rFonts w:eastAsia="Times New Roman" w:cstheme="minorHAnsi"/>
          <w:i/>
          <w:iCs/>
          <w:lang w:eastAsia="en-GB"/>
        </w:rPr>
        <w:t xml:space="preserve">in-scope M&amp;Q </w:t>
      </w:r>
      <w:r w:rsidRPr="003D7C30">
        <w:rPr>
          <w:rFonts w:eastAsia="Times New Roman" w:cstheme="minorHAnsi"/>
          <w:i/>
          <w:iCs/>
          <w:lang w:eastAsia="en-GB"/>
        </w:rPr>
        <w:t>companies are being captured by the reconciliation process.</w:t>
      </w:r>
    </w:p>
    <w:p w14:paraId="2DB14947" w14:textId="77777777" w:rsidR="003D7C30" w:rsidRPr="003D7C30" w:rsidRDefault="003D7C30" w:rsidP="003D7C30">
      <w:pPr>
        <w:pStyle w:val="ListParagraph"/>
        <w:numPr>
          <w:ilvl w:val="0"/>
          <w:numId w:val="11"/>
        </w:numPr>
        <w:shd w:val="clear" w:color="auto" w:fill="FFFFFF"/>
        <w:textAlignment w:val="baseline"/>
        <w:rPr>
          <w:rFonts w:eastAsia="Times New Roman" w:cstheme="minorHAnsi"/>
          <w:lang w:eastAsia="en-GB"/>
        </w:rPr>
      </w:pPr>
      <w:r w:rsidRPr="003D7C30">
        <w:rPr>
          <w:rFonts w:eastAsia="Times New Roman" w:cstheme="minorHAnsi"/>
          <w:lang w:eastAsia="en-GB"/>
        </w:rPr>
        <w:t xml:space="preserve">BDO to ensure that all new requirements of the Standard are being captured for the reporting process. </w:t>
      </w:r>
    </w:p>
    <w:p w14:paraId="0554ECAF" w14:textId="77777777" w:rsidR="003D7C30" w:rsidRPr="003D7C30" w:rsidRDefault="003D7C30" w:rsidP="003D7C30">
      <w:pPr>
        <w:rPr>
          <w:rFonts w:eastAsia="Times New Roman" w:cstheme="minorHAnsi"/>
          <w:i/>
          <w:iCs/>
          <w:lang w:eastAsia="en-GB"/>
        </w:rPr>
      </w:pPr>
      <w:r w:rsidRPr="003D7C30">
        <w:rPr>
          <w:rFonts w:eastAsia="Times New Roman" w:cstheme="minorHAnsi"/>
          <w:i/>
          <w:iCs/>
          <w:lang w:eastAsia="en-GB"/>
        </w:rPr>
        <w:t xml:space="preserve">BDO have drafted an EITI Standard 2023 checklist that includes all 165 provisions divided into 92 requirements, 19 expectations and 54 encouragements. </w:t>
      </w:r>
    </w:p>
    <w:p w14:paraId="32D9892B" w14:textId="310A76CB" w:rsidR="003071FB" w:rsidRDefault="00F87EDA" w:rsidP="00315376">
      <w:pPr>
        <w:rPr>
          <w:b/>
          <w:bCs/>
          <w:sz w:val="24"/>
          <w:szCs w:val="24"/>
          <w:u w:val="single"/>
        </w:rPr>
      </w:pPr>
      <w:r>
        <w:rPr>
          <w:b/>
          <w:bCs/>
          <w:sz w:val="24"/>
          <w:szCs w:val="24"/>
          <w:u w:val="single"/>
        </w:rPr>
        <w:t>EITI Standard and further</w:t>
      </w:r>
      <w:r w:rsidR="002D2E38">
        <w:rPr>
          <w:b/>
          <w:bCs/>
          <w:sz w:val="24"/>
          <w:szCs w:val="24"/>
          <w:u w:val="single"/>
        </w:rPr>
        <w:t xml:space="preserve"> </w:t>
      </w:r>
      <w:r w:rsidR="00A96255">
        <w:rPr>
          <w:b/>
          <w:bCs/>
          <w:sz w:val="24"/>
          <w:szCs w:val="24"/>
          <w:u w:val="single"/>
        </w:rPr>
        <w:t>encouragements for reporting purposes</w:t>
      </w:r>
    </w:p>
    <w:p w14:paraId="7C15A768" w14:textId="3E0405B5" w:rsidR="000D195E" w:rsidRDefault="00127A4B" w:rsidP="00386AC0">
      <w:pPr>
        <w:shd w:val="clear" w:color="auto" w:fill="FFFFFF"/>
        <w:spacing w:after="160"/>
        <w:textAlignment w:val="baseline"/>
        <w:rPr>
          <w:b/>
          <w:bCs/>
          <w:sz w:val="24"/>
          <w:szCs w:val="24"/>
        </w:rPr>
      </w:pPr>
      <w:bookmarkStart w:id="0" w:name="r3-1"/>
      <w:bookmarkStart w:id="1" w:name="r3-2"/>
      <w:bookmarkStart w:id="2" w:name="r3-3"/>
      <w:bookmarkStart w:id="3" w:name="r3-4"/>
      <w:bookmarkStart w:id="4" w:name="r4-10"/>
      <w:bookmarkEnd w:id="0"/>
      <w:bookmarkEnd w:id="1"/>
      <w:bookmarkEnd w:id="2"/>
      <w:bookmarkEnd w:id="3"/>
      <w:bookmarkEnd w:id="4"/>
      <w:r w:rsidRPr="00127A4B">
        <w:rPr>
          <w:b/>
          <w:bCs/>
          <w:sz w:val="24"/>
          <w:szCs w:val="24"/>
        </w:rPr>
        <w:t>3.1 Exploration activities</w:t>
      </w:r>
      <w:r w:rsidR="008C18CB">
        <w:rPr>
          <w:b/>
          <w:bCs/>
          <w:sz w:val="24"/>
          <w:szCs w:val="24"/>
        </w:rPr>
        <w:t xml:space="preserve"> – </w:t>
      </w:r>
      <w:r w:rsidR="00900152">
        <w:rPr>
          <w:b/>
          <w:bCs/>
          <w:sz w:val="24"/>
          <w:szCs w:val="24"/>
        </w:rPr>
        <w:t xml:space="preserve">disclosure of </w:t>
      </w:r>
      <w:r w:rsidR="008C18CB">
        <w:rPr>
          <w:b/>
          <w:bCs/>
          <w:sz w:val="24"/>
          <w:szCs w:val="24"/>
        </w:rPr>
        <w:t xml:space="preserve">oil, </w:t>
      </w:r>
      <w:proofErr w:type="gramStart"/>
      <w:r w:rsidR="008C18CB">
        <w:rPr>
          <w:b/>
          <w:bCs/>
          <w:sz w:val="24"/>
          <w:szCs w:val="24"/>
        </w:rPr>
        <w:t>gas</w:t>
      </w:r>
      <w:proofErr w:type="gramEnd"/>
      <w:r w:rsidR="008C18CB">
        <w:rPr>
          <w:b/>
          <w:bCs/>
          <w:sz w:val="24"/>
          <w:szCs w:val="24"/>
        </w:rPr>
        <w:t xml:space="preserve"> and mineral reserves</w:t>
      </w:r>
      <w:r w:rsidR="00D5489C">
        <w:rPr>
          <w:b/>
          <w:bCs/>
          <w:sz w:val="24"/>
          <w:szCs w:val="24"/>
        </w:rPr>
        <w:t>.</w:t>
      </w:r>
    </w:p>
    <w:p w14:paraId="2B6C67B8" w14:textId="0B656963" w:rsidR="00AE2B84" w:rsidRDefault="00982007" w:rsidP="00386AC0">
      <w:pPr>
        <w:shd w:val="clear" w:color="auto" w:fill="FFFFFF"/>
        <w:spacing w:after="160"/>
        <w:textAlignment w:val="baseline"/>
        <w:rPr>
          <w:sz w:val="24"/>
          <w:szCs w:val="24"/>
        </w:rPr>
      </w:pPr>
      <w:r>
        <w:rPr>
          <w:sz w:val="24"/>
          <w:szCs w:val="24"/>
        </w:rPr>
        <w:t>MPA agreed to look at what is available and can be included</w:t>
      </w:r>
      <w:r w:rsidR="00567FFC">
        <w:rPr>
          <w:sz w:val="24"/>
          <w:szCs w:val="24"/>
        </w:rPr>
        <w:t xml:space="preserve">. There was some data </w:t>
      </w:r>
      <w:r w:rsidR="00435219">
        <w:rPr>
          <w:sz w:val="24"/>
          <w:szCs w:val="24"/>
        </w:rPr>
        <w:t>available for</w:t>
      </w:r>
      <w:r w:rsidR="00567FFC">
        <w:rPr>
          <w:sz w:val="24"/>
          <w:szCs w:val="24"/>
        </w:rPr>
        <w:t xml:space="preserve"> mining</w:t>
      </w:r>
      <w:r w:rsidR="00435219">
        <w:rPr>
          <w:sz w:val="24"/>
          <w:szCs w:val="24"/>
        </w:rPr>
        <w:t xml:space="preserve"> projects</w:t>
      </w:r>
      <w:r w:rsidR="00567FFC">
        <w:rPr>
          <w:sz w:val="24"/>
          <w:szCs w:val="24"/>
        </w:rPr>
        <w:t>, but not all</w:t>
      </w:r>
      <w:r w:rsidR="00435219">
        <w:rPr>
          <w:sz w:val="24"/>
          <w:szCs w:val="24"/>
        </w:rPr>
        <w:t>.</w:t>
      </w:r>
      <w:r w:rsidR="00A80E36">
        <w:rPr>
          <w:sz w:val="24"/>
          <w:szCs w:val="24"/>
        </w:rPr>
        <w:t xml:space="preserve"> For oil and gas </w:t>
      </w:r>
      <w:r w:rsidR="00127DE6">
        <w:rPr>
          <w:sz w:val="24"/>
          <w:szCs w:val="24"/>
        </w:rPr>
        <w:t>reserves are only cla</w:t>
      </w:r>
      <w:r w:rsidR="00F85791">
        <w:rPr>
          <w:sz w:val="24"/>
          <w:szCs w:val="24"/>
        </w:rPr>
        <w:t xml:space="preserve">ssified when field </w:t>
      </w:r>
      <w:r w:rsidR="00E1173F">
        <w:rPr>
          <w:sz w:val="24"/>
          <w:szCs w:val="24"/>
        </w:rPr>
        <w:t>developments</w:t>
      </w:r>
      <w:r w:rsidR="00F85791">
        <w:rPr>
          <w:sz w:val="24"/>
          <w:szCs w:val="24"/>
        </w:rPr>
        <w:t xml:space="preserve"> are approved, until this takes place </w:t>
      </w:r>
      <w:r w:rsidR="000B2EF8">
        <w:rPr>
          <w:sz w:val="24"/>
          <w:szCs w:val="24"/>
        </w:rPr>
        <w:t xml:space="preserve">they are </w:t>
      </w:r>
      <w:r w:rsidR="00F85791">
        <w:rPr>
          <w:sz w:val="24"/>
          <w:szCs w:val="24"/>
        </w:rPr>
        <w:t>cla</w:t>
      </w:r>
      <w:r w:rsidR="00E1173F">
        <w:rPr>
          <w:sz w:val="24"/>
          <w:szCs w:val="24"/>
        </w:rPr>
        <w:t>ssified as a resource, not reserve.</w:t>
      </w:r>
      <w:r w:rsidR="004B7DAD">
        <w:rPr>
          <w:sz w:val="24"/>
          <w:szCs w:val="24"/>
        </w:rPr>
        <w:t xml:space="preserve"> It was agreed that if data was not available the government data should be used.</w:t>
      </w:r>
    </w:p>
    <w:p w14:paraId="3A81B8E2" w14:textId="5BC5148D" w:rsidR="009E08A0" w:rsidRDefault="009E08A0" w:rsidP="00386AC0">
      <w:pPr>
        <w:shd w:val="clear" w:color="auto" w:fill="FFFFFF"/>
        <w:spacing w:after="160"/>
        <w:textAlignment w:val="baseline"/>
        <w:rPr>
          <w:b/>
          <w:bCs/>
          <w:sz w:val="24"/>
          <w:szCs w:val="24"/>
        </w:rPr>
      </w:pPr>
      <w:r w:rsidRPr="009E08A0">
        <w:rPr>
          <w:b/>
          <w:bCs/>
          <w:sz w:val="24"/>
          <w:szCs w:val="24"/>
        </w:rPr>
        <w:t>3.2</w:t>
      </w:r>
      <w:r>
        <w:rPr>
          <w:b/>
          <w:bCs/>
          <w:sz w:val="24"/>
          <w:szCs w:val="24"/>
        </w:rPr>
        <w:t xml:space="preserve"> Production data </w:t>
      </w:r>
      <w:r w:rsidR="00B706CC">
        <w:rPr>
          <w:b/>
          <w:bCs/>
          <w:sz w:val="24"/>
          <w:szCs w:val="24"/>
        </w:rPr>
        <w:t>–</w:t>
      </w:r>
      <w:r>
        <w:rPr>
          <w:b/>
          <w:bCs/>
          <w:sz w:val="24"/>
          <w:szCs w:val="24"/>
        </w:rPr>
        <w:t xml:space="preserve"> </w:t>
      </w:r>
      <w:r w:rsidR="00900152">
        <w:rPr>
          <w:b/>
          <w:bCs/>
          <w:sz w:val="24"/>
          <w:szCs w:val="24"/>
        </w:rPr>
        <w:t xml:space="preserve">disclosure of </w:t>
      </w:r>
      <w:r w:rsidR="00B706CC">
        <w:rPr>
          <w:b/>
          <w:bCs/>
          <w:sz w:val="24"/>
          <w:szCs w:val="24"/>
        </w:rPr>
        <w:t>values and volumes</w:t>
      </w:r>
      <w:r w:rsidR="00D5489C">
        <w:rPr>
          <w:b/>
          <w:bCs/>
          <w:sz w:val="24"/>
          <w:szCs w:val="24"/>
        </w:rPr>
        <w:t>.</w:t>
      </w:r>
    </w:p>
    <w:p w14:paraId="0ACD0DAB" w14:textId="09D52B21" w:rsidR="00B706CC" w:rsidRDefault="00B706CC" w:rsidP="00386AC0">
      <w:pPr>
        <w:shd w:val="clear" w:color="auto" w:fill="FFFFFF"/>
        <w:spacing w:after="160"/>
        <w:textAlignment w:val="baseline"/>
        <w:rPr>
          <w:sz w:val="24"/>
          <w:szCs w:val="24"/>
        </w:rPr>
      </w:pPr>
      <w:r>
        <w:rPr>
          <w:sz w:val="24"/>
          <w:szCs w:val="24"/>
        </w:rPr>
        <w:t xml:space="preserve">It was agreed that as companies </w:t>
      </w:r>
      <w:r w:rsidR="00D5489C">
        <w:rPr>
          <w:sz w:val="24"/>
          <w:szCs w:val="24"/>
        </w:rPr>
        <w:t xml:space="preserve">would </w:t>
      </w:r>
      <w:r>
        <w:rPr>
          <w:sz w:val="24"/>
          <w:szCs w:val="24"/>
        </w:rPr>
        <w:t xml:space="preserve">consider this information </w:t>
      </w:r>
      <w:r w:rsidR="00D5489C">
        <w:rPr>
          <w:sz w:val="24"/>
          <w:szCs w:val="24"/>
        </w:rPr>
        <w:t xml:space="preserve">to be </w:t>
      </w:r>
      <w:r>
        <w:rPr>
          <w:sz w:val="24"/>
          <w:szCs w:val="24"/>
        </w:rPr>
        <w:t xml:space="preserve">commercially </w:t>
      </w:r>
      <w:r w:rsidR="00D5489C">
        <w:rPr>
          <w:sz w:val="24"/>
          <w:szCs w:val="24"/>
        </w:rPr>
        <w:t>confidential and</w:t>
      </w:r>
      <w:r w:rsidR="001A5869">
        <w:rPr>
          <w:sz w:val="24"/>
          <w:szCs w:val="24"/>
        </w:rPr>
        <w:t xml:space="preserve"> disclosure will not happen.</w:t>
      </w:r>
    </w:p>
    <w:p w14:paraId="54E77403" w14:textId="3D17BEFF" w:rsidR="007B0003" w:rsidRDefault="006E604C" w:rsidP="00386AC0">
      <w:pPr>
        <w:shd w:val="clear" w:color="auto" w:fill="FFFFFF"/>
        <w:spacing w:after="160"/>
        <w:textAlignment w:val="baseline"/>
        <w:rPr>
          <w:b/>
          <w:bCs/>
          <w:sz w:val="24"/>
          <w:szCs w:val="24"/>
        </w:rPr>
      </w:pPr>
      <w:r w:rsidRPr="006E604C">
        <w:rPr>
          <w:b/>
          <w:bCs/>
          <w:sz w:val="24"/>
          <w:szCs w:val="24"/>
        </w:rPr>
        <w:t>3.3 Export data</w:t>
      </w:r>
      <w:r w:rsidR="007B0003">
        <w:rPr>
          <w:b/>
          <w:bCs/>
          <w:sz w:val="24"/>
          <w:szCs w:val="24"/>
        </w:rPr>
        <w:t xml:space="preserve"> – disclosure of sales volumes and values by project</w:t>
      </w:r>
      <w:r w:rsidR="00D5489C">
        <w:rPr>
          <w:b/>
          <w:bCs/>
          <w:sz w:val="24"/>
          <w:szCs w:val="24"/>
        </w:rPr>
        <w:t>.</w:t>
      </w:r>
    </w:p>
    <w:p w14:paraId="21571C7C" w14:textId="77777777" w:rsidR="00D5489C" w:rsidRDefault="00D5489C" w:rsidP="00D5489C">
      <w:pPr>
        <w:shd w:val="clear" w:color="auto" w:fill="FFFFFF"/>
        <w:spacing w:after="160"/>
        <w:textAlignment w:val="baseline"/>
        <w:rPr>
          <w:sz w:val="24"/>
          <w:szCs w:val="24"/>
        </w:rPr>
      </w:pPr>
      <w:r>
        <w:rPr>
          <w:sz w:val="24"/>
          <w:szCs w:val="24"/>
        </w:rPr>
        <w:t>It was agreed that as companies would consider this information to be commercially confidential and disclosure will not happen.</w:t>
      </w:r>
    </w:p>
    <w:p w14:paraId="3F56433F" w14:textId="232E0F2E" w:rsidR="00AD28A8" w:rsidRPr="00834930" w:rsidRDefault="00AD28A8" w:rsidP="007F7569">
      <w:pPr>
        <w:rPr>
          <w:b/>
          <w:bCs/>
          <w:color w:val="FF0000"/>
          <w:sz w:val="24"/>
          <w:szCs w:val="24"/>
        </w:rPr>
      </w:pPr>
      <w:r w:rsidRPr="00834930">
        <w:rPr>
          <w:b/>
          <w:bCs/>
          <w:color w:val="FF0000"/>
          <w:sz w:val="24"/>
          <w:szCs w:val="24"/>
        </w:rPr>
        <w:t>Action: UK Secretariat to follow-up on proposed</w:t>
      </w:r>
      <w:r w:rsidR="00834930" w:rsidRPr="00834930">
        <w:rPr>
          <w:b/>
          <w:bCs/>
          <w:color w:val="FF0000"/>
          <w:sz w:val="24"/>
          <w:szCs w:val="24"/>
        </w:rPr>
        <w:t xml:space="preserve"> </w:t>
      </w:r>
      <w:r w:rsidR="007F7569">
        <w:rPr>
          <w:b/>
          <w:bCs/>
          <w:color w:val="FF0000"/>
          <w:sz w:val="24"/>
          <w:szCs w:val="24"/>
        </w:rPr>
        <w:t xml:space="preserve">discussion </w:t>
      </w:r>
      <w:r w:rsidR="00834930" w:rsidRPr="00834930">
        <w:rPr>
          <w:b/>
          <w:bCs/>
          <w:color w:val="FF0000"/>
          <w:sz w:val="24"/>
          <w:szCs w:val="24"/>
        </w:rPr>
        <w:t>paper from</w:t>
      </w:r>
      <w:r w:rsidRPr="00834930">
        <w:rPr>
          <w:b/>
          <w:bCs/>
          <w:color w:val="FF0000"/>
          <w:sz w:val="24"/>
          <w:szCs w:val="24"/>
        </w:rPr>
        <w:t xml:space="preserve"> Compliance subgroup colleagues</w:t>
      </w:r>
      <w:r w:rsidR="007F7569" w:rsidRPr="007F7569">
        <w:rPr>
          <w:b/>
          <w:bCs/>
          <w:color w:val="FF0000"/>
          <w:sz w:val="24"/>
          <w:szCs w:val="24"/>
        </w:rPr>
        <w:t xml:space="preserve"> around the disclosure of production and export data by volume, </w:t>
      </w:r>
      <w:proofErr w:type="gramStart"/>
      <w:r w:rsidR="007F7569" w:rsidRPr="007F7569">
        <w:rPr>
          <w:b/>
          <w:bCs/>
          <w:color w:val="FF0000"/>
          <w:sz w:val="24"/>
          <w:szCs w:val="24"/>
        </w:rPr>
        <w:t>value</w:t>
      </w:r>
      <w:proofErr w:type="gramEnd"/>
      <w:r w:rsidR="007F7569" w:rsidRPr="007F7569">
        <w:rPr>
          <w:b/>
          <w:bCs/>
          <w:color w:val="FF0000"/>
          <w:sz w:val="24"/>
          <w:szCs w:val="24"/>
        </w:rPr>
        <w:t xml:space="preserve"> and project</w:t>
      </w:r>
      <w:r w:rsidR="007F7569">
        <w:rPr>
          <w:b/>
          <w:bCs/>
          <w:color w:val="FF0000"/>
          <w:sz w:val="24"/>
          <w:szCs w:val="24"/>
        </w:rPr>
        <w:t xml:space="preserve"> to be tabled at a future MSG</w:t>
      </w:r>
      <w:r w:rsidR="007F7569" w:rsidRPr="007F7569">
        <w:rPr>
          <w:b/>
          <w:bCs/>
          <w:color w:val="FF0000"/>
          <w:sz w:val="24"/>
          <w:szCs w:val="24"/>
        </w:rPr>
        <w:t>.</w:t>
      </w:r>
    </w:p>
    <w:p w14:paraId="556D3FF6" w14:textId="2912E8E1" w:rsidR="00D5489C" w:rsidRDefault="00D64381" w:rsidP="00386AC0">
      <w:pPr>
        <w:shd w:val="clear" w:color="auto" w:fill="FFFFFF"/>
        <w:spacing w:after="160"/>
        <w:textAlignment w:val="baseline"/>
        <w:rPr>
          <w:b/>
          <w:bCs/>
          <w:sz w:val="24"/>
          <w:szCs w:val="24"/>
        </w:rPr>
      </w:pPr>
      <w:r>
        <w:rPr>
          <w:b/>
          <w:bCs/>
          <w:sz w:val="24"/>
          <w:szCs w:val="24"/>
        </w:rPr>
        <w:t xml:space="preserve">4.10 Project costs </w:t>
      </w:r>
      <w:r w:rsidR="00462BA7">
        <w:rPr>
          <w:b/>
          <w:bCs/>
          <w:sz w:val="24"/>
          <w:szCs w:val="24"/>
        </w:rPr>
        <w:t>–</w:t>
      </w:r>
      <w:r>
        <w:rPr>
          <w:b/>
          <w:bCs/>
          <w:sz w:val="24"/>
          <w:szCs w:val="24"/>
        </w:rPr>
        <w:t xml:space="preserve"> </w:t>
      </w:r>
      <w:r w:rsidR="00462BA7">
        <w:rPr>
          <w:b/>
          <w:bCs/>
          <w:sz w:val="24"/>
          <w:szCs w:val="24"/>
        </w:rPr>
        <w:t xml:space="preserve">disclosure </w:t>
      </w:r>
      <w:r w:rsidR="00BF553B">
        <w:rPr>
          <w:b/>
          <w:bCs/>
          <w:sz w:val="24"/>
          <w:szCs w:val="24"/>
        </w:rPr>
        <w:t>of declared costs disaggregated by project</w:t>
      </w:r>
      <w:r w:rsidR="00FE1DC4">
        <w:rPr>
          <w:b/>
          <w:bCs/>
          <w:sz w:val="24"/>
          <w:szCs w:val="24"/>
        </w:rPr>
        <w:t xml:space="preserve"> and by costs related to operating</w:t>
      </w:r>
      <w:r w:rsidR="003D1F9D">
        <w:rPr>
          <w:b/>
          <w:bCs/>
          <w:sz w:val="24"/>
          <w:szCs w:val="24"/>
        </w:rPr>
        <w:t xml:space="preserve"> and capital expenditures.</w:t>
      </w:r>
    </w:p>
    <w:p w14:paraId="3130DA9B" w14:textId="77777777" w:rsidR="003D1F9D" w:rsidRDefault="003D1F9D" w:rsidP="003D1F9D">
      <w:pPr>
        <w:shd w:val="clear" w:color="auto" w:fill="FFFFFF"/>
        <w:spacing w:after="160"/>
        <w:textAlignment w:val="baseline"/>
        <w:rPr>
          <w:sz w:val="24"/>
          <w:szCs w:val="24"/>
        </w:rPr>
      </w:pPr>
      <w:r>
        <w:rPr>
          <w:sz w:val="24"/>
          <w:szCs w:val="24"/>
        </w:rPr>
        <w:t>It was agreed that as companies would consider this information to be commercially confidential and disclosure will not happen.</w:t>
      </w:r>
    </w:p>
    <w:p w14:paraId="2E1BFDD3" w14:textId="2B610E0D" w:rsidR="003D1F9D" w:rsidRDefault="003D1F9D" w:rsidP="00386AC0">
      <w:pPr>
        <w:shd w:val="clear" w:color="auto" w:fill="FFFFFF"/>
        <w:spacing w:after="160"/>
        <w:textAlignment w:val="baseline"/>
        <w:rPr>
          <w:b/>
          <w:bCs/>
          <w:sz w:val="24"/>
          <w:szCs w:val="24"/>
        </w:rPr>
      </w:pPr>
      <w:r>
        <w:rPr>
          <w:b/>
          <w:bCs/>
          <w:sz w:val="24"/>
          <w:szCs w:val="24"/>
        </w:rPr>
        <w:t xml:space="preserve">5.3 </w:t>
      </w:r>
      <w:r w:rsidR="00934D9C">
        <w:rPr>
          <w:b/>
          <w:bCs/>
          <w:sz w:val="24"/>
          <w:szCs w:val="24"/>
        </w:rPr>
        <w:t xml:space="preserve">Additional </w:t>
      </w:r>
      <w:r w:rsidR="00D33754">
        <w:rPr>
          <w:b/>
          <w:bCs/>
          <w:sz w:val="24"/>
          <w:szCs w:val="24"/>
        </w:rPr>
        <w:t>on</w:t>
      </w:r>
      <w:r w:rsidR="005A220D">
        <w:rPr>
          <w:b/>
          <w:bCs/>
          <w:sz w:val="24"/>
          <w:szCs w:val="24"/>
        </w:rPr>
        <w:t xml:space="preserve"> information</w:t>
      </w:r>
      <w:r w:rsidR="00D33754">
        <w:rPr>
          <w:b/>
          <w:bCs/>
          <w:sz w:val="24"/>
          <w:szCs w:val="24"/>
        </w:rPr>
        <w:t xml:space="preserve"> revenue management and expenditures</w:t>
      </w:r>
      <w:r w:rsidR="005A220D">
        <w:rPr>
          <w:b/>
          <w:bCs/>
          <w:sz w:val="24"/>
          <w:szCs w:val="24"/>
        </w:rPr>
        <w:t>.</w:t>
      </w:r>
    </w:p>
    <w:p w14:paraId="483DD80A" w14:textId="134EE2EF" w:rsidR="005A220D" w:rsidRDefault="005A220D" w:rsidP="00386AC0">
      <w:pPr>
        <w:shd w:val="clear" w:color="auto" w:fill="FFFFFF"/>
        <w:spacing w:after="160"/>
        <w:textAlignment w:val="baseline"/>
        <w:rPr>
          <w:sz w:val="24"/>
          <w:szCs w:val="24"/>
        </w:rPr>
      </w:pPr>
      <w:r>
        <w:rPr>
          <w:sz w:val="24"/>
          <w:szCs w:val="24"/>
        </w:rPr>
        <w:t>We are still awaiting clarification from the EITI International Secretariat on this</w:t>
      </w:r>
      <w:r w:rsidR="003D0B13">
        <w:rPr>
          <w:sz w:val="24"/>
          <w:szCs w:val="24"/>
        </w:rPr>
        <w:t>.</w:t>
      </w:r>
    </w:p>
    <w:p w14:paraId="77C73F91" w14:textId="5BDE3CAB" w:rsidR="00834930" w:rsidRPr="00834930" w:rsidRDefault="00834930" w:rsidP="00386AC0">
      <w:pPr>
        <w:shd w:val="clear" w:color="auto" w:fill="FFFFFF"/>
        <w:spacing w:after="160"/>
        <w:textAlignment w:val="baseline"/>
        <w:rPr>
          <w:b/>
          <w:bCs/>
          <w:color w:val="FF0000"/>
          <w:sz w:val="24"/>
          <w:szCs w:val="24"/>
        </w:rPr>
      </w:pPr>
      <w:r w:rsidRPr="00834930">
        <w:rPr>
          <w:b/>
          <w:bCs/>
          <w:color w:val="FF0000"/>
          <w:sz w:val="24"/>
          <w:szCs w:val="24"/>
        </w:rPr>
        <w:t>Action: BDO to chase EITI International Secretariat.</w:t>
      </w:r>
    </w:p>
    <w:p w14:paraId="257C9A77" w14:textId="77FB39D7" w:rsidR="003071FB" w:rsidRDefault="003071FB" w:rsidP="003071FB">
      <w:pPr>
        <w:rPr>
          <w:b/>
          <w:bCs/>
          <w:sz w:val="24"/>
          <w:szCs w:val="24"/>
          <w:u w:val="single"/>
        </w:rPr>
      </w:pPr>
      <w:r w:rsidRPr="003071FB">
        <w:rPr>
          <w:b/>
          <w:bCs/>
          <w:sz w:val="24"/>
          <w:szCs w:val="24"/>
          <w:u w:val="single"/>
        </w:rPr>
        <w:t>AOB</w:t>
      </w:r>
    </w:p>
    <w:p w14:paraId="33EB9834" w14:textId="30C697EF" w:rsidR="003D0B13" w:rsidRDefault="003D0B13" w:rsidP="003071FB">
      <w:pPr>
        <w:rPr>
          <w:sz w:val="24"/>
          <w:szCs w:val="24"/>
        </w:rPr>
      </w:pPr>
      <w:r>
        <w:rPr>
          <w:sz w:val="24"/>
          <w:szCs w:val="24"/>
        </w:rPr>
        <w:t>All reporting documents</w:t>
      </w:r>
      <w:r w:rsidR="00DE6183">
        <w:rPr>
          <w:sz w:val="24"/>
          <w:szCs w:val="24"/>
        </w:rPr>
        <w:t xml:space="preserve"> for 2023</w:t>
      </w:r>
      <w:r>
        <w:rPr>
          <w:sz w:val="24"/>
          <w:szCs w:val="24"/>
        </w:rPr>
        <w:t xml:space="preserve"> were </w:t>
      </w:r>
      <w:r w:rsidR="00C60098">
        <w:rPr>
          <w:sz w:val="24"/>
          <w:szCs w:val="24"/>
        </w:rPr>
        <w:t>agreed</w:t>
      </w:r>
      <w:r>
        <w:rPr>
          <w:sz w:val="24"/>
          <w:szCs w:val="24"/>
        </w:rPr>
        <w:t xml:space="preserve"> </w:t>
      </w:r>
      <w:r w:rsidR="00C60098">
        <w:rPr>
          <w:sz w:val="24"/>
          <w:szCs w:val="24"/>
        </w:rPr>
        <w:t xml:space="preserve">by the Reconciliation subgroup </w:t>
      </w:r>
      <w:r>
        <w:rPr>
          <w:sz w:val="24"/>
          <w:szCs w:val="24"/>
        </w:rPr>
        <w:t xml:space="preserve">and it was agreed that </w:t>
      </w:r>
      <w:r w:rsidR="004D18C4">
        <w:rPr>
          <w:sz w:val="24"/>
          <w:szCs w:val="24"/>
        </w:rPr>
        <w:t xml:space="preserve">the MSG should be asked to approve </w:t>
      </w:r>
      <w:r w:rsidR="00C60098">
        <w:rPr>
          <w:sz w:val="24"/>
          <w:szCs w:val="24"/>
        </w:rPr>
        <w:t>all documents</w:t>
      </w:r>
      <w:r w:rsidR="004D18C4">
        <w:rPr>
          <w:sz w:val="24"/>
          <w:szCs w:val="24"/>
        </w:rPr>
        <w:t xml:space="preserve"> at the</w:t>
      </w:r>
      <w:r w:rsidR="00DE6183">
        <w:rPr>
          <w:sz w:val="24"/>
          <w:szCs w:val="24"/>
        </w:rPr>
        <w:t>ir</w:t>
      </w:r>
      <w:r w:rsidR="004D18C4">
        <w:rPr>
          <w:sz w:val="24"/>
          <w:szCs w:val="24"/>
        </w:rPr>
        <w:t xml:space="preserve"> meeting on 20</w:t>
      </w:r>
      <w:r w:rsidR="004D18C4" w:rsidRPr="004D18C4">
        <w:rPr>
          <w:sz w:val="24"/>
          <w:szCs w:val="24"/>
          <w:vertAlign w:val="superscript"/>
        </w:rPr>
        <w:t>th</w:t>
      </w:r>
      <w:r w:rsidR="004D18C4">
        <w:rPr>
          <w:sz w:val="24"/>
          <w:szCs w:val="24"/>
        </w:rPr>
        <w:t xml:space="preserve"> March and the 2023 process should start on 28</w:t>
      </w:r>
      <w:r w:rsidR="004D18C4" w:rsidRPr="004D18C4">
        <w:rPr>
          <w:sz w:val="24"/>
          <w:szCs w:val="24"/>
          <w:vertAlign w:val="superscript"/>
        </w:rPr>
        <w:t>th</w:t>
      </w:r>
      <w:r w:rsidR="004D18C4">
        <w:rPr>
          <w:sz w:val="24"/>
          <w:szCs w:val="24"/>
        </w:rPr>
        <w:t xml:space="preserve"> March 2024.</w:t>
      </w:r>
    </w:p>
    <w:p w14:paraId="5F01F91D" w14:textId="0E4C2ED1" w:rsidR="003071FB" w:rsidRPr="003912C3" w:rsidRDefault="00834930" w:rsidP="005C38B5">
      <w:pPr>
        <w:rPr>
          <w:b/>
          <w:bCs/>
          <w:color w:val="FF0000"/>
          <w:sz w:val="24"/>
          <w:szCs w:val="24"/>
        </w:rPr>
      </w:pPr>
      <w:r w:rsidRPr="003912C3">
        <w:rPr>
          <w:b/>
          <w:bCs/>
          <w:color w:val="FF0000"/>
          <w:sz w:val="24"/>
          <w:szCs w:val="24"/>
        </w:rPr>
        <w:t>Action: UK Secretariat to</w:t>
      </w:r>
      <w:r w:rsidR="00AF11CA" w:rsidRPr="003912C3">
        <w:rPr>
          <w:b/>
          <w:bCs/>
          <w:color w:val="FF0000"/>
          <w:sz w:val="24"/>
          <w:szCs w:val="24"/>
        </w:rPr>
        <w:t xml:space="preserve"> circulate 2023 reporting process documents</w:t>
      </w:r>
      <w:r w:rsidR="005C38B5" w:rsidRPr="003912C3">
        <w:rPr>
          <w:b/>
          <w:bCs/>
          <w:color w:val="FF0000"/>
          <w:sz w:val="24"/>
          <w:szCs w:val="24"/>
        </w:rPr>
        <w:t xml:space="preserve"> with the MSG papers and </w:t>
      </w:r>
      <w:r w:rsidR="003912C3" w:rsidRPr="003912C3">
        <w:rPr>
          <w:b/>
          <w:bCs/>
          <w:color w:val="FF0000"/>
          <w:sz w:val="24"/>
          <w:szCs w:val="24"/>
        </w:rPr>
        <w:t>seek</w:t>
      </w:r>
      <w:r w:rsidR="005C38B5" w:rsidRPr="003912C3">
        <w:rPr>
          <w:b/>
          <w:bCs/>
          <w:color w:val="FF0000"/>
          <w:sz w:val="24"/>
          <w:szCs w:val="24"/>
        </w:rPr>
        <w:t xml:space="preserve"> approval </w:t>
      </w:r>
      <w:r w:rsidR="003912C3" w:rsidRPr="003912C3">
        <w:rPr>
          <w:b/>
          <w:bCs/>
          <w:color w:val="FF0000"/>
          <w:sz w:val="24"/>
          <w:szCs w:val="24"/>
        </w:rPr>
        <w:t>of documentation and Reconciliation subgroup proposals</w:t>
      </w:r>
      <w:r w:rsidR="005258C6">
        <w:rPr>
          <w:b/>
          <w:bCs/>
          <w:color w:val="FF0000"/>
          <w:sz w:val="24"/>
          <w:szCs w:val="24"/>
        </w:rPr>
        <w:t xml:space="preserve"> on launching the process in late March</w:t>
      </w:r>
      <w:r w:rsidR="003912C3" w:rsidRPr="003912C3">
        <w:rPr>
          <w:b/>
          <w:bCs/>
          <w:color w:val="FF0000"/>
          <w:sz w:val="24"/>
          <w:szCs w:val="24"/>
        </w:rPr>
        <w:t>.</w:t>
      </w:r>
    </w:p>
    <w:sectPr w:rsidR="003071FB" w:rsidRPr="003912C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08309" w14:textId="77777777" w:rsidR="00AE59E2" w:rsidRDefault="00AE59E2" w:rsidP="003071FB">
      <w:pPr>
        <w:spacing w:after="0" w:line="240" w:lineRule="auto"/>
      </w:pPr>
      <w:r>
        <w:separator/>
      </w:r>
    </w:p>
  </w:endnote>
  <w:endnote w:type="continuationSeparator" w:id="0">
    <w:p w14:paraId="01E679AD" w14:textId="77777777" w:rsidR="00AE59E2" w:rsidRDefault="00AE59E2" w:rsidP="0030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E47EF" w14:textId="77777777" w:rsidR="00E70850" w:rsidRDefault="00E708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02EF2" w14:textId="77777777" w:rsidR="00E70850" w:rsidRDefault="00E708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DA90" w14:textId="77777777" w:rsidR="00E70850" w:rsidRDefault="00E70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F3E32" w14:textId="77777777" w:rsidR="00AE59E2" w:rsidRDefault="00AE59E2" w:rsidP="003071FB">
      <w:pPr>
        <w:spacing w:after="0" w:line="240" w:lineRule="auto"/>
      </w:pPr>
      <w:r>
        <w:separator/>
      </w:r>
    </w:p>
  </w:footnote>
  <w:footnote w:type="continuationSeparator" w:id="0">
    <w:p w14:paraId="5A924500" w14:textId="77777777" w:rsidR="00AE59E2" w:rsidRDefault="00AE59E2" w:rsidP="00307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DD7A" w14:textId="77777777" w:rsidR="00E70850" w:rsidRDefault="00E70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1E1FB" w14:textId="77777777" w:rsidR="00E70850" w:rsidRDefault="00E708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D484" w14:textId="77777777" w:rsidR="00E70850" w:rsidRDefault="00E70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428"/>
    <w:multiLevelType w:val="hybridMultilevel"/>
    <w:tmpl w:val="CF2C6F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59723A"/>
    <w:multiLevelType w:val="multilevel"/>
    <w:tmpl w:val="78FE065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67145"/>
    <w:multiLevelType w:val="hybridMultilevel"/>
    <w:tmpl w:val="1778C0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912903"/>
    <w:multiLevelType w:val="hybridMultilevel"/>
    <w:tmpl w:val="7C66F2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867EC2"/>
    <w:multiLevelType w:val="hybridMultilevel"/>
    <w:tmpl w:val="2C869C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DD1DF1"/>
    <w:multiLevelType w:val="hybridMultilevel"/>
    <w:tmpl w:val="73285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2167B8"/>
    <w:multiLevelType w:val="hybridMultilevel"/>
    <w:tmpl w:val="AAA04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E57301"/>
    <w:multiLevelType w:val="hybridMultilevel"/>
    <w:tmpl w:val="CEECB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DF64BB"/>
    <w:multiLevelType w:val="hybridMultilevel"/>
    <w:tmpl w:val="6FF45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E4511B"/>
    <w:multiLevelType w:val="hybridMultilevel"/>
    <w:tmpl w:val="71044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2E2F4D"/>
    <w:multiLevelType w:val="hybridMultilevel"/>
    <w:tmpl w:val="8EB41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5E3DED"/>
    <w:multiLevelType w:val="hybridMultilevel"/>
    <w:tmpl w:val="0024A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6105575">
    <w:abstractNumId w:val="4"/>
  </w:num>
  <w:num w:numId="2" w16cid:durableId="2032606043">
    <w:abstractNumId w:val="5"/>
  </w:num>
  <w:num w:numId="3" w16cid:durableId="965042247">
    <w:abstractNumId w:val="8"/>
  </w:num>
  <w:num w:numId="4" w16cid:durableId="882715975">
    <w:abstractNumId w:val="6"/>
  </w:num>
  <w:num w:numId="5" w16cid:durableId="2128769817">
    <w:abstractNumId w:val="10"/>
  </w:num>
  <w:num w:numId="6" w16cid:durableId="1136531069">
    <w:abstractNumId w:val="9"/>
  </w:num>
  <w:num w:numId="7" w16cid:durableId="839202031">
    <w:abstractNumId w:val="1"/>
  </w:num>
  <w:num w:numId="8" w16cid:durableId="256527435">
    <w:abstractNumId w:val="2"/>
  </w:num>
  <w:num w:numId="9" w16cid:durableId="1921014772">
    <w:abstractNumId w:val="0"/>
  </w:num>
  <w:num w:numId="10" w16cid:durableId="1258322650">
    <w:abstractNumId w:val="3"/>
  </w:num>
  <w:num w:numId="11" w16cid:durableId="1071807528">
    <w:abstractNumId w:val="7"/>
  </w:num>
  <w:num w:numId="12" w16cid:durableId="10413956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376"/>
    <w:rsid w:val="00006DF8"/>
    <w:rsid w:val="00011B54"/>
    <w:rsid w:val="00016A64"/>
    <w:rsid w:val="00021C18"/>
    <w:rsid w:val="00071A4C"/>
    <w:rsid w:val="000A1DC1"/>
    <w:rsid w:val="000B2EF8"/>
    <w:rsid w:val="000B4DF6"/>
    <w:rsid w:val="000C0FFD"/>
    <w:rsid w:val="000D195E"/>
    <w:rsid w:val="000E1561"/>
    <w:rsid w:val="000E1EB4"/>
    <w:rsid w:val="00123D8E"/>
    <w:rsid w:val="00127A4B"/>
    <w:rsid w:val="00127DE6"/>
    <w:rsid w:val="00153AF5"/>
    <w:rsid w:val="00165487"/>
    <w:rsid w:val="001A5869"/>
    <w:rsid w:val="001C3314"/>
    <w:rsid w:val="001F6000"/>
    <w:rsid w:val="001F6B88"/>
    <w:rsid w:val="0021205E"/>
    <w:rsid w:val="00230724"/>
    <w:rsid w:val="00285FA8"/>
    <w:rsid w:val="002950F9"/>
    <w:rsid w:val="002D2E38"/>
    <w:rsid w:val="003071FB"/>
    <w:rsid w:val="00310EC6"/>
    <w:rsid w:val="00315376"/>
    <w:rsid w:val="00330EC0"/>
    <w:rsid w:val="00343A3F"/>
    <w:rsid w:val="0035039C"/>
    <w:rsid w:val="00386AC0"/>
    <w:rsid w:val="003912C3"/>
    <w:rsid w:val="003D0B13"/>
    <w:rsid w:val="003D1F9D"/>
    <w:rsid w:val="003D7C30"/>
    <w:rsid w:val="00402A11"/>
    <w:rsid w:val="004058F4"/>
    <w:rsid w:val="00435219"/>
    <w:rsid w:val="004432C8"/>
    <w:rsid w:val="00462BA7"/>
    <w:rsid w:val="00483FA5"/>
    <w:rsid w:val="004B7DAD"/>
    <w:rsid w:val="004D18C4"/>
    <w:rsid w:val="005145F6"/>
    <w:rsid w:val="005258C6"/>
    <w:rsid w:val="00551426"/>
    <w:rsid w:val="00567FFC"/>
    <w:rsid w:val="0057329F"/>
    <w:rsid w:val="00586A91"/>
    <w:rsid w:val="005A220D"/>
    <w:rsid w:val="005A629B"/>
    <w:rsid w:val="005C38B5"/>
    <w:rsid w:val="006337E7"/>
    <w:rsid w:val="00687AFB"/>
    <w:rsid w:val="006A43E2"/>
    <w:rsid w:val="006E604C"/>
    <w:rsid w:val="006F31DF"/>
    <w:rsid w:val="007209AC"/>
    <w:rsid w:val="00726343"/>
    <w:rsid w:val="00766FBD"/>
    <w:rsid w:val="007748CC"/>
    <w:rsid w:val="007B0003"/>
    <w:rsid w:val="007B353B"/>
    <w:rsid w:val="007F7569"/>
    <w:rsid w:val="007F7D1E"/>
    <w:rsid w:val="00813FD9"/>
    <w:rsid w:val="00820208"/>
    <w:rsid w:val="00834930"/>
    <w:rsid w:val="00842E3A"/>
    <w:rsid w:val="00853924"/>
    <w:rsid w:val="00871658"/>
    <w:rsid w:val="00887BBB"/>
    <w:rsid w:val="008A06DD"/>
    <w:rsid w:val="008C18CB"/>
    <w:rsid w:val="008C3A8E"/>
    <w:rsid w:val="008C7D33"/>
    <w:rsid w:val="008D71BE"/>
    <w:rsid w:val="00900152"/>
    <w:rsid w:val="00930B26"/>
    <w:rsid w:val="00934D9C"/>
    <w:rsid w:val="00944D26"/>
    <w:rsid w:val="00961FF0"/>
    <w:rsid w:val="00976240"/>
    <w:rsid w:val="00982007"/>
    <w:rsid w:val="00996757"/>
    <w:rsid w:val="009E08A0"/>
    <w:rsid w:val="009E6AA3"/>
    <w:rsid w:val="009F2239"/>
    <w:rsid w:val="00A1160D"/>
    <w:rsid w:val="00A17413"/>
    <w:rsid w:val="00A71C2F"/>
    <w:rsid w:val="00A80E36"/>
    <w:rsid w:val="00A96255"/>
    <w:rsid w:val="00AD28A8"/>
    <w:rsid w:val="00AE2B84"/>
    <w:rsid w:val="00AE59E2"/>
    <w:rsid w:val="00AF11CA"/>
    <w:rsid w:val="00B405E3"/>
    <w:rsid w:val="00B706CC"/>
    <w:rsid w:val="00B959F5"/>
    <w:rsid w:val="00BF553B"/>
    <w:rsid w:val="00C07B45"/>
    <w:rsid w:val="00C1484C"/>
    <w:rsid w:val="00C50D6B"/>
    <w:rsid w:val="00C60098"/>
    <w:rsid w:val="00CD6C7E"/>
    <w:rsid w:val="00D02F2F"/>
    <w:rsid w:val="00D33754"/>
    <w:rsid w:val="00D34712"/>
    <w:rsid w:val="00D5489C"/>
    <w:rsid w:val="00D64381"/>
    <w:rsid w:val="00D7778A"/>
    <w:rsid w:val="00D8348F"/>
    <w:rsid w:val="00DB08F9"/>
    <w:rsid w:val="00DE33EF"/>
    <w:rsid w:val="00DE6183"/>
    <w:rsid w:val="00E1173F"/>
    <w:rsid w:val="00E20F2B"/>
    <w:rsid w:val="00E30694"/>
    <w:rsid w:val="00E4683B"/>
    <w:rsid w:val="00E5410F"/>
    <w:rsid w:val="00E70850"/>
    <w:rsid w:val="00E9226B"/>
    <w:rsid w:val="00EA54A0"/>
    <w:rsid w:val="00EB7E9E"/>
    <w:rsid w:val="00EF0B9D"/>
    <w:rsid w:val="00F21865"/>
    <w:rsid w:val="00F85791"/>
    <w:rsid w:val="00F87EDA"/>
    <w:rsid w:val="00FC26BC"/>
    <w:rsid w:val="00FD696B"/>
    <w:rsid w:val="00FE1DC4"/>
    <w:rsid w:val="00FF5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EA4C0"/>
  <w15:chartTrackingRefBased/>
  <w15:docId w15:val="{E395E108-95F7-4C0F-9B3F-142726D3B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376"/>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376"/>
    <w:pPr>
      <w:ind w:left="720"/>
      <w:contextualSpacing/>
    </w:pPr>
  </w:style>
  <w:style w:type="paragraph" w:styleId="Header">
    <w:name w:val="header"/>
    <w:basedOn w:val="Normal"/>
    <w:link w:val="HeaderChar"/>
    <w:uiPriority w:val="99"/>
    <w:unhideWhenUsed/>
    <w:rsid w:val="003153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376"/>
    <w:rPr>
      <w:kern w:val="0"/>
      <w14:ligatures w14:val="none"/>
    </w:rPr>
  </w:style>
  <w:style w:type="paragraph" w:styleId="Footer">
    <w:name w:val="footer"/>
    <w:basedOn w:val="Normal"/>
    <w:link w:val="FooterChar"/>
    <w:uiPriority w:val="99"/>
    <w:unhideWhenUsed/>
    <w:rsid w:val="003153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376"/>
    <w:rPr>
      <w:kern w:val="0"/>
      <w14:ligatures w14:val="none"/>
    </w:rPr>
  </w:style>
  <w:style w:type="table" w:styleId="TableGrid">
    <w:name w:val="Table Grid"/>
    <w:basedOn w:val="TableNormal"/>
    <w:rsid w:val="003071FB"/>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32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15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www.gov.uk%2Fgovernment%2Fpublications%2Fnatural-gas-statistics-data-sources-and-methodologies&amp;data=05%7C02%7CMichael.Nash%40energysecurity.gov.uk%7Cb2680b943b3b477aa18808dc36e810d2%7Ccbac700502c143ebb497e6492d1b2dd8%7C0%7C0%7C638445617631351600%7CUnknown%7CTWFpbGZsb3d8eyJWIjoiMC4wLjAwMDAiLCJQIjoiV2luMzIiLCJBTiI6Ik1haWwiLCJXVCI6Mn0%3D%7C0%7C%7C%7C&amp;sdata=PXkaZtFK5GHD0ei4958fpr2glC4Elc%2FalojchQatC%2BA%3D&amp;reserved=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ur02.safelinks.protection.outlook.com/?url=https%3A%2F%2Fwww.gov.uk%2Fgovernment%2Fpublications%2Fcrude-oil-and-petroleum-products-methodology-note&amp;data=05%7C02%7CMichael.Nash%40energysecurity.gov.uk%7Cb2680b943b3b477aa18808dc36e810d2%7Ccbac700502c143ebb497e6492d1b2dd8%7C0%7C0%7C638445617631335603%7CUnknown%7CTWFpbGZsb3d8eyJWIjoiMC4wLjAwMDAiLCJQIjoiV2luMzIiLCJBTiI6Ik1haWwiLCJXVCI6Mn0%3D%7C0%7C%7C%7C&amp;sdata=321Z9Rr7C8jhgl2C97PH9pZJvw4Rflf4XcEM6Hg5y1w%3D&amp;reserved=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ur02.safelinks.protection.outlook.com/?url=https%3A%2F%2Feiti.org%2Fsites%2Fdefault%2Ffiles%2F2022-01%2Fen_eiti_gn_7.2.pdf&amp;data=05%7C02%7CMichael.Nash%40energysecurity.gov.uk%7Cc945837eacb24bd375d808dc321f4c22%7Ccbac700502c143ebb497e6492d1b2dd8%7C0%7C0%7C638440357344492330%7CUnknown%7CTWFpbGZsb3d8eyJWIjoiMC4wLjAwMDAiLCJQIjoiV2luMzIiLCJBTiI6Ik1haWwiLCJXVCI6Mn0%3D%7C0%7C%7C%7C&amp;sdata=%2BKZD95pa6YsZ5rr8Fpg2T4fQyZTw83IJfH8jy30%2Fcn4%3D&amp;reserved=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 Michael (Energy Security)</dc:creator>
  <cp:keywords/>
  <dc:description/>
  <cp:lastModifiedBy>Nash, Michael (Energy Security)</cp:lastModifiedBy>
  <cp:revision>54</cp:revision>
  <cp:lastPrinted>2024-03-04T08:21:00Z</cp:lastPrinted>
  <dcterms:created xsi:type="dcterms:W3CDTF">2024-02-28T10:54:00Z</dcterms:created>
  <dcterms:modified xsi:type="dcterms:W3CDTF">2024-03-04T09:45:00Z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2024-02-02T10:24:53Z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c332b46f-84b4-48b0-8037-f53be373c7e7</vt:lpwstr>
  </property>
  <property fmtid="{D5CDD505-2E9C-101B-9397-08002B2CF9AE}" pid="8" name="MSIP_Label_ba62f585-b40f-4ab9-bafe-39150f03d124_ContentBits">
    <vt:lpwstr>0</vt:lpwstr>
  </property>
</Properties>
</file>